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EEC8" w14:textId="0BA3351E" w:rsidR="005A427A" w:rsidRDefault="006B1C09">
      <w:proofErr w:type="spellStart"/>
      <w:r>
        <w:t>[teammate]</w:t>
      </w:r>
      <w:proofErr w:type="spellEnd"/>
      <w:r>
        <w:t xml:space="preserve"> Goohs [teammate] M4 Deliverable Document</w:t>
      </w:r>
    </w:p>
    <w:p w14:paraId="03FD14C8" w14:textId="4C09F48D" w:rsidR="006B1C09" w:rsidRDefault="006B1C09">
      <w:r>
        <w:t>CS3070 Operating Systems</w:t>
      </w:r>
    </w:p>
    <w:p w14:paraId="2C0B7D81" w14:textId="024CC39E" w:rsidR="006B0950" w:rsidRPr="006B0950" w:rsidRDefault="006B0950" w:rsidP="006B0950">
      <w:pPr>
        <w:rPr>
          <w:highlight w:val="yellow"/>
        </w:rPr>
      </w:pPr>
      <w:r w:rsidRPr="006B0950">
        <w:rPr>
          <w:b/>
          <w:bCs/>
          <w:highlight w:val="yellow"/>
        </w:rPr>
        <w:t>Proof by Contradiction:</w:t>
      </w:r>
      <w:r w:rsidRPr="006B0950">
        <w:rPr>
          <w:highlight w:val="yellow"/>
        </w:rPr>
        <w:t xml:space="preserve"> Assume k processes (where k &gt;= 2) are currently in the critical section, protected by </w:t>
      </w:r>
      <w:r w:rsidR="00941C2D">
        <w:rPr>
          <w:highlight w:val="yellow"/>
        </w:rPr>
        <w:t>the</w:t>
      </w:r>
      <w:r w:rsidRPr="006B0950">
        <w:rPr>
          <w:highlight w:val="yellow"/>
        </w:rPr>
        <w:t xml:space="preserve"> </w:t>
      </w:r>
      <w:r w:rsidR="00941C2D">
        <w:rPr>
          <w:highlight w:val="yellow"/>
        </w:rPr>
        <w:t>atomic lock</w:t>
      </w:r>
      <w:r w:rsidRPr="006B0950">
        <w:rPr>
          <w:highlight w:val="yellow"/>
        </w:rPr>
        <w:t xml:space="preserve">. All operations on the semaphore's internal state are protected by </w:t>
      </w:r>
      <w:proofErr w:type="spellStart"/>
      <w:r w:rsidRPr="006B0950">
        <w:rPr>
          <w:highlight w:val="yellow"/>
        </w:rPr>
        <w:t>self.lock.acquire</w:t>
      </w:r>
      <w:proofErr w:type="spellEnd"/>
      <w:r w:rsidRPr="006B0950">
        <w:rPr>
          <w:highlight w:val="yellow"/>
        </w:rPr>
        <w:t>(caller) in both internal critical sections, ensuring they act as a single atomic critical section for the semaphore's internal state.</w:t>
      </w:r>
    </w:p>
    <w:p w14:paraId="18D27689" w14:textId="03127AAA" w:rsidR="006B0950" w:rsidRPr="006B0950" w:rsidRDefault="00941C2D" w:rsidP="006B0950">
      <w:pPr>
        <w:rPr>
          <w:highlight w:val="yellow"/>
        </w:rPr>
      </w:pPr>
      <w:r w:rsidRPr="00941C2D">
        <w:rPr>
          <w:highlight w:val="yellow"/>
        </w:rPr>
        <w:t xml:space="preserve">Since all k processes are in the critical section, each must have successfully executed </w:t>
      </w:r>
      <w:proofErr w:type="spellStart"/>
      <w:r w:rsidRPr="00941C2D">
        <w:rPr>
          <w:highlight w:val="yellow"/>
        </w:rPr>
        <w:t>self.lock.acquire</w:t>
      </w:r>
      <w:proofErr w:type="spellEnd"/>
      <w:r w:rsidRPr="00941C2D">
        <w:rPr>
          <w:highlight w:val="yellow"/>
        </w:rPr>
        <w:t>(caller).</w:t>
      </w:r>
      <w:r>
        <w:rPr>
          <w:highlight w:val="yellow"/>
        </w:rPr>
        <w:t xml:space="preserve"> </w:t>
      </w:r>
    </w:p>
    <w:p w14:paraId="7FF64D9C" w14:textId="4E525345" w:rsidR="00941C2D" w:rsidRPr="00941C2D" w:rsidRDefault="006B0950" w:rsidP="00941C2D">
      <w:pPr>
        <w:rPr>
          <w:highlight w:val="yellow"/>
        </w:rPr>
      </w:pPr>
      <w:r w:rsidRPr="006B0950">
        <w:rPr>
          <w:b/>
          <w:bCs/>
          <w:highlight w:val="yellow"/>
        </w:rPr>
        <w:t>Contradiction:</w:t>
      </w:r>
      <w:r w:rsidRPr="006B0950">
        <w:rPr>
          <w:highlight w:val="yellow"/>
        </w:rPr>
        <w:t xml:space="preserve"> </w:t>
      </w:r>
      <w:r w:rsidR="00941C2D" w:rsidRPr="00941C2D">
        <w:rPr>
          <w:highlight w:val="yellow"/>
        </w:rPr>
        <w:t xml:space="preserve">Some </w:t>
      </w:r>
      <w:r w:rsidR="00941C2D" w:rsidRPr="00941C2D">
        <w:rPr>
          <w:highlight w:val="yellow"/>
        </w:rPr>
        <w:t>processes go</w:t>
      </w:r>
      <w:r w:rsidR="00941C2D">
        <w:rPr>
          <w:highlight w:val="yellow"/>
        </w:rPr>
        <w:t>es</w:t>
      </w:r>
      <w:r w:rsidR="00941C2D" w:rsidRPr="00941C2D">
        <w:rPr>
          <w:highlight w:val="yellow"/>
        </w:rPr>
        <w:t xml:space="preserve"> first and executes </w:t>
      </w:r>
      <w:proofErr w:type="spellStart"/>
      <w:r w:rsidR="00941C2D" w:rsidRPr="00941C2D">
        <w:rPr>
          <w:highlight w:val="yellow"/>
        </w:rPr>
        <w:t>self.lock.acquire</w:t>
      </w:r>
      <w:proofErr w:type="spellEnd"/>
      <w:r w:rsidR="00941C2D" w:rsidRPr="00941C2D">
        <w:rPr>
          <w:highlight w:val="yellow"/>
        </w:rPr>
        <w:t xml:space="preserve">(caller), acquiring the lock exclusively. When another process attempts </w:t>
      </w:r>
      <w:proofErr w:type="spellStart"/>
      <w:r w:rsidR="00941C2D" w:rsidRPr="00941C2D">
        <w:rPr>
          <w:highlight w:val="yellow"/>
        </w:rPr>
        <w:t>self.lock.acquire</w:t>
      </w:r>
      <w:proofErr w:type="spellEnd"/>
      <w:r w:rsidR="00941C2D" w:rsidRPr="00941C2D">
        <w:rPr>
          <w:highlight w:val="yellow"/>
        </w:rPr>
        <w:t xml:space="preserve">(caller), it cannot return because the lock is already held. However, our assumption states this other process (and all subsequent processes) are already in the critical section, which directly contradicts the fact that their </w:t>
      </w:r>
      <w:proofErr w:type="spellStart"/>
      <w:r w:rsidR="00941C2D" w:rsidRPr="00941C2D">
        <w:rPr>
          <w:highlight w:val="yellow"/>
        </w:rPr>
        <w:t>self.lock.acquire</w:t>
      </w:r>
      <w:proofErr w:type="spellEnd"/>
      <w:r w:rsidR="00941C2D" w:rsidRPr="00941C2D">
        <w:rPr>
          <w:highlight w:val="yellow"/>
        </w:rPr>
        <w:t>(caller) calls have not yet returned.</w:t>
      </w:r>
    </w:p>
    <w:p w14:paraId="270C5861" w14:textId="77777777" w:rsidR="00941C2D" w:rsidRPr="00941C2D" w:rsidRDefault="00941C2D" w:rsidP="00941C2D">
      <w:pPr>
        <w:rPr>
          <w:highlight w:val="yellow"/>
        </w:rPr>
      </w:pPr>
      <w:r w:rsidRPr="00941C2D">
        <w:rPr>
          <w:highlight w:val="yellow"/>
        </w:rPr>
        <w:t>Therefore, our assumption is false, and at most one process can be in the critical section at any time.</w:t>
      </w:r>
    </w:p>
    <w:p w14:paraId="37D69981" w14:textId="1FA73AB6" w:rsidR="00B426A4" w:rsidRDefault="00B426A4" w:rsidP="00941C2D">
      <w:r>
        <w:t>D2 – Discuss what insights have your group has gained from implementing a Semaphore.</w:t>
      </w:r>
    </w:p>
    <w:p w14:paraId="4C748002" w14:textId="03466CE6" w:rsidR="00B426A4" w:rsidRDefault="00B426A4" w:rsidP="00B426A4">
      <w:r w:rsidRPr="00B426A4">
        <w:rPr>
          <w:highlight w:val="yellow"/>
        </w:rPr>
        <w:t>We learned how mathematical proofs can verify the correctness of concurrent systems by establishing invariants and proving that our code maintains these invariants under all possible execution scenarios. This approach ensures data integrity and proper synchronization in multiprocessing environments.</w:t>
      </w:r>
    </w:p>
    <w:sectPr w:rsidR="00B426A4">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98E"/>
    <w:multiLevelType w:val="hybridMultilevel"/>
    <w:tmpl w:val="5D142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33B37"/>
    <w:multiLevelType w:val="hybridMultilevel"/>
    <w:tmpl w:val="F92A6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8E5560"/>
    <w:multiLevelType w:val="hybridMultilevel"/>
    <w:tmpl w:val="94B66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E0212"/>
    <w:multiLevelType w:val="hybridMultilevel"/>
    <w:tmpl w:val="B3184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A6CD4"/>
    <w:multiLevelType w:val="multilevel"/>
    <w:tmpl w:val="84147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8627B"/>
    <w:multiLevelType w:val="hybridMultilevel"/>
    <w:tmpl w:val="AA609D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D71777"/>
    <w:multiLevelType w:val="multilevel"/>
    <w:tmpl w:val="D79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8738E"/>
    <w:multiLevelType w:val="multilevel"/>
    <w:tmpl w:val="C15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791561">
    <w:abstractNumId w:val="3"/>
  </w:num>
  <w:num w:numId="2" w16cid:durableId="762730045">
    <w:abstractNumId w:val="0"/>
  </w:num>
  <w:num w:numId="3" w16cid:durableId="1024553259">
    <w:abstractNumId w:val="2"/>
  </w:num>
  <w:num w:numId="4" w16cid:durableId="1725062886">
    <w:abstractNumId w:val="5"/>
  </w:num>
  <w:num w:numId="5" w16cid:durableId="1456211873">
    <w:abstractNumId w:val="4"/>
  </w:num>
  <w:num w:numId="6" w16cid:durableId="1032994719">
    <w:abstractNumId w:val="1"/>
  </w:num>
  <w:num w:numId="7" w16cid:durableId="389498180">
    <w:abstractNumId w:val="6"/>
  </w:num>
  <w:num w:numId="8" w16cid:durableId="1153728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F2"/>
    <w:rsid w:val="000A1B2D"/>
    <w:rsid w:val="001907AB"/>
    <w:rsid w:val="002D52F2"/>
    <w:rsid w:val="003C72CD"/>
    <w:rsid w:val="004479A3"/>
    <w:rsid w:val="00460865"/>
    <w:rsid w:val="005170A1"/>
    <w:rsid w:val="00520118"/>
    <w:rsid w:val="005A427A"/>
    <w:rsid w:val="006B0950"/>
    <w:rsid w:val="006B1C09"/>
    <w:rsid w:val="007848A4"/>
    <w:rsid w:val="00814C94"/>
    <w:rsid w:val="008434D4"/>
    <w:rsid w:val="00895006"/>
    <w:rsid w:val="009035C9"/>
    <w:rsid w:val="00941C2D"/>
    <w:rsid w:val="009E264B"/>
    <w:rsid w:val="00B426A4"/>
    <w:rsid w:val="00BE31D5"/>
    <w:rsid w:val="00D061F9"/>
    <w:rsid w:val="00D71682"/>
    <w:rsid w:val="00DF657B"/>
    <w:rsid w:val="00E9399C"/>
    <w:rsid w:val="00F4097E"/>
    <w:rsid w:val="00F862D9"/>
    <w:rsid w:val="00FA78A3"/>
    <w:rsid w:val="00FE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FD15"/>
  <w15:chartTrackingRefBased/>
  <w15:docId w15:val="{F0410222-0F23-49D6-BD13-A70FDCEB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F2"/>
    <w:rPr>
      <w:rFonts w:eastAsiaTheme="majorEastAsia" w:cstheme="majorBidi"/>
      <w:color w:val="272727" w:themeColor="text1" w:themeTint="D8"/>
    </w:rPr>
  </w:style>
  <w:style w:type="paragraph" w:styleId="Title">
    <w:name w:val="Title"/>
    <w:basedOn w:val="Normal"/>
    <w:next w:val="Normal"/>
    <w:link w:val="TitleChar"/>
    <w:uiPriority w:val="10"/>
    <w:qFormat/>
    <w:rsid w:val="002D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F2"/>
    <w:pPr>
      <w:spacing w:before="160"/>
      <w:jc w:val="center"/>
    </w:pPr>
    <w:rPr>
      <w:i/>
      <w:iCs/>
      <w:color w:val="404040" w:themeColor="text1" w:themeTint="BF"/>
    </w:rPr>
  </w:style>
  <w:style w:type="character" w:customStyle="1" w:styleId="QuoteChar">
    <w:name w:val="Quote Char"/>
    <w:basedOn w:val="DefaultParagraphFont"/>
    <w:link w:val="Quote"/>
    <w:uiPriority w:val="29"/>
    <w:rsid w:val="002D52F2"/>
    <w:rPr>
      <w:i/>
      <w:iCs/>
      <w:color w:val="404040" w:themeColor="text1" w:themeTint="BF"/>
    </w:rPr>
  </w:style>
  <w:style w:type="paragraph" w:styleId="ListParagraph">
    <w:name w:val="List Paragraph"/>
    <w:basedOn w:val="Normal"/>
    <w:uiPriority w:val="34"/>
    <w:qFormat/>
    <w:rsid w:val="002D52F2"/>
    <w:pPr>
      <w:ind w:left="720"/>
      <w:contextualSpacing/>
    </w:pPr>
  </w:style>
  <w:style w:type="character" w:styleId="IntenseEmphasis">
    <w:name w:val="Intense Emphasis"/>
    <w:basedOn w:val="DefaultParagraphFont"/>
    <w:uiPriority w:val="21"/>
    <w:qFormat/>
    <w:rsid w:val="002D52F2"/>
    <w:rPr>
      <w:i/>
      <w:iCs/>
      <w:color w:val="0F4761" w:themeColor="accent1" w:themeShade="BF"/>
    </w:rPr>
  </w:style>
  <w:style w:type="paragraph" w:styleId="IntenseQuote">
    <w:name w:val="Intense Quote"/>
    <w:basedOn w:val="Normal"/>
    <w:next w:val="Normal"/>
    <w:link w:val="IntenseQuoteChar"/>
    <w:uiPriority w:val="30"/>
    <w:qFormat/>
    <w:rsid w:val="002D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F2"/>
    <w:rPr>
      <w:i/>
      <w:iCs/>
      <w:color w:val="0F4761" w:themeColor="accent1" w:themeShade="BF"/>
    </w:rPr>
  </w:style>
  <w:style w:type="character" w:styleId="IntenseReference">
    <w:name w:val="Intense Reference"/>
    <w:basedOn w:val="DefaultParagraphFont"/>
    <w:uiPriority w:val="32"/>
    <w:qFormat/>
    <w:rsid w:val="002D52F2"/>
    <w:rPr>
      <w:b/>
      <w:bCs/>
      <w:smallCaps/>
      <w:color w:val="0F4761" w:themeColor="accent1" w:themeShade="BF"/>
      <w:spacing w:val="5"/>
    </w:rPr>
  </w:style>
  <w:style w:type="character" w:styleId="Hyperlink">
    <w:name w:val="Hyperlink"/>
    <w:basedOn w:val="DefaultParagraphFont"/>
    <w:uiPriority w:val="99"/>
    <w:unhideWhenUsed/>
    <w:rsid w:val="005170A1"/>
    <w:rPr>
      <w:color w:val="467886" w:themeColor="hyperlink"/>
      <w:u w:val="single"/>
    </w:rPr>
  </w:style>
  <w:style w:type="character" w:styleId="UnresolvedMention">
    <w:name w:val="Unresolved Mention"/>
    <w:basedOn w:val="DefaultParagraphFont"/>
    <w:uiPriority w:val="99"/>
    <w:semiHidden/>
    <w:unhideWhenUsed/>
    <w:rsid w:val="00517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Goohs, Jonathan (LT)</dc:creator>
  <cp:keywords/>
  <dc:description/>
  <cp:lastModifiedBy>Goohs, Jonathan (LT)</cp:lastModifiedBy>
  <cp:revision>17</cp:revision>
  <cp:lastPrinted>2025-09-09T18:13:00Z</cp:lastPrinted>
  <dcterms:created xsi:type="dcterms:W3CDTF">2025-09-05T13:27:00Z</dcterms:created>
  <dcterms:modified xsi:type="dcterms:W3CDTF">2025-09-09T23:39:00Z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2025-09-05T13:44:12Z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cae09a92-a4db-4f2f-807d-0772902a511f</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