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sales-agreement"/>
    <w:p>
      <w:pPr>
        <w:pStyle w:val="Heading1"/>
      </w:pPr>
      <w:r>
        <w:t xml:space="preserve">SALES AGREEMENT</w:t>
      </w:r>
    </w:p>
    <w:p>
      <w:pPr>
        <w:pStyle w:val="FirstParagraph"/>
      </w:pPr>
      <w:r>
        <w:rPr>
          <w:b/>
          <w:bCs/>
        </w:rPr>
        <w:t xml:space="preserve">BETWEEN</w:t>
      </w:r>
    </w:p>
    <w:p>
      <w:pPr>
        <w:pStyle w:val="BodyText"/>
      </w:pPr>
      <w:r>
        <w:rPr>
          <w:b/>
          <w:bCs/>
        </w:rPr>
        <w:t xml:space="preserve">ARLAN COMMUNICATIONS (PTY) LTD</w:t>
      </w:r>
      <w:r>
        <w:br/>
      </w:r>
      <w:r>
        <w:t xml:space="preserve">Trading as MTN Ballito</w:t>
      </w:r>
      <w:r>
        <w:br/>
      </w:r>
      <w:r>
        <w:t xml:space="preserve">(</w:t>
      </w:r>
      <w:r>
        <w:t xml:space="preserve">“Seller”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AND</w:t>
      </w:r>
    </w:p>
    <w:p>
      <w:pPr>
        <w:pStyle w:val="BodyText"/>
      </w:pPr>
      <w:r>
        <w:rPr>
          <w:b/>
          <w:bCs/>
        </w:rPr>
        <w:t xml:space="preserve">CIRCLE TEL SA (PTY) LTD</w:t>
      </w:r>
      <w:r>
        <w:br/>
      </w:r>
      <w:r>
        <w:t xml:space="preserve">(</w:t>
      </w:r>
      <w:r>
        <w:t xml:space="preserve">“Buyer”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11" w:name="execution-version---for-review"/>
    <w:p>
      <w:pPr>
        <w:pStyle w:val="Heading2"/>
      </w:pPr>
      <w:r>
        <w:t xml:space="preserve">EXECUTION VERSION - FOR REVIEW</w:t>
      </w:r>
    </w:p>
    <w:bookmarkStart w:id="9" w:name="date-23-september-2025"/>
    <w:p>
      <w:pPr>
        <w:pStyle w:val="Heading3"/>
      </w:pPr>
      <w:r>
        <w:t xml:space="preserve">Date: 23 September 2025</w:t>
      </w:r>
    </w:p>
    <w:bookmarkEnd w:id="9"/>
    <w:bookmarkStart w:id="10" w:name="agreement-reference-cts-ac-2025-001"/>
    <w:p>
      <w:pPr>
        <w:pStyle w:val="Heading3"/>
      </w:pPr>
      <w:r>
        <w:t xml:space="preserve">Agreement Reference: CTS-AC-2025-001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whereas"/>
    <w:p>
      <w:pPr>
        <w:pStyle w:val="Heading2"/>
      </w:pPr>
      <w:r>
        <w:t xml:space="preserve">WHEREAS:</w:t>
      </w:r>
    </w:p>
    <w:p>
      <w:pPr>
        <w:pStyle w:val="FirstParagraph"/>
      </w:pPr>
      <w:r>
        <w:t xml:space="preserve">A. The Seller is an authorised distributor of MTN telecommunications products and services in the Ballito region, KwaZulu-Natal.</w:t>
      </w:r>
    </w:p>
    <w:p>
      <w:pPr>
        <w:pStyle w:val="BodyText"/>
      </w:pPr>
      <w:r>
        <w:t xml:space="preserve">B. The Buyer wishes to purchase telecommunications products and services for resale to end customers in South Africa.</w:t>
      </w:r>
    </w:p>
    <w:p>
      <w:pPr>
        <w:pStyle w:val="BodyText"/>
      </w:pPr>
      <w:r>
        <w:t xml:space="preserve">C. The parties wish to establish a mutually beneficial commercial relationship on the terms set out in this Agreement.</w:t>
      </w:r>
    </w:p>
    <w:p>
      <w:pPr>
        <w:pStyle w:val="BodyText"/>
      </w:pPr>
      <w:r>
        <w:rPr>
          <w:b/>
          <w:bCs/>
        </w:rPr>
        <w:t xml:space="preserve">NOW THEREFORE</w:t>
      </w:r>
      <w:r>
        <w:t xml:space="preserve"> </w:t>
      </w:r>
      <w:r>
        <w:t xml:space="preserve">the parties agree as follows:</w:t>
      </w:r>
    </w:p>
    <w:p>
      <w:r>
        <w:pict>
          <v:rect style="width:0;height:1.5pt" o:hralign="center" o:hrstd="t" o:hr="t"/>
        </w:pict>
      </w:r>
    </w:p>
    <w:bookmarkEnd w:id="12"/>
    <w:bookmarkStart w:id="15" w:name="definitions-and-interpretation"/>
    <w:p>
      <w:pPr>
        <w:pStyle w:val="Heading2"/>
      </w:pPr>
      <w:r>
        <w:t xml:space="preserve">1. DEFINITIONS AND INTERPRETATION</w:t>
      </w:r>
    </w:p>
    <w:bookmarkStart w:id="13" w:name="definitions"/>
    <w:p>
      <w:pPr>
        <w:pStyle w:val="Heading3"/>
      </w:pPr>
      <w:r>
        <w:t xml:space="preserve">1.1 Definitions</w:t>
      </w:r>
    </w:p>
    <w:p>
      <w:pPr>
        <w:pStyle w:val="FirstParagraph"/>
      </w:pPr>
      <w:r>
        <w:t xml:space="preserve">In this Agreement, unless the context indicates otherwise: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“Agreement”</w:t>
      </w:r>
      <w:r>
        <w:t xml:space="preserve"> </w:t>
      </w:r>
      <w:r>
        <w:t xml:space="preserve">means this sales agreement including all addenda and schedules;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“Business Day”</w:t>
      </w:r>
      <w:r>
        <w:t xml:space="preserve"> </w:t>
      </w:r>
      <w:r>
        <w:t xml:space="preserve">means any day other than a Saturday, Sunday or official public holiday in South Africa;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“Commencement Date”</w:t>
      </w:r>
      <w:r>
        <w:t xml:space="preserve"> </w:t>
      </w:r>
      <w:r>
        <w:t xml:space="preserve">means the date of signature by the last signing party;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“Commission”</w:t>
      </w:r>
      <w:r>
        <w:t xml:space="preserve"> </w:t>
      </w:r>
      <w:r>
        <w:t xml:space="preserve">means the fees payable to the Buyer as set out in Addendum A;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“Confidential Information”</w:t>
      </w:r>
      <w:r>
        <w:t xml:space="preserve"> </w:t>
      </w:r>
      <w:r>
        <w:t xml:space="preserve">means all information disclosed by one party to the other which is marked confidential or ought reasonably to be considered confidential;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“Customer”</w:t>
      </w:r>
      <w:r>
        <w:t xml:space="preserve"> </w:t>
      </w:r>
      <w:r>
        <w:t xml:space="preserve">means any end-user who purchases Products or Services through the Buyer;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“Goods”</w:t>
      </w:r>
      <w:r>
        <w:t xml:space="preserve"> </w:t>
      </w:r>
      <w:r>
        <w:t xml:space="preserve">means the telecommunications hardware, software and equipment supplied under this Agreement;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“Initial Term”</w:t>
      </w:r>
      <w:r>
        <w:t xml:space="preserve"> </w:t>
      </w:r>
      <w:r>
        <w:t xml:space="preserve">means 24 (twenty-four) months from the Commencement Date;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“MTN”</w:t>
      </w:r>
      <w:r>
        <w:t xml:space="preserve"> </w:t>
      </w:r>
      <w:r>
        <w:t xml:space="preserve">means Mobile Telephone Networks (Proprietary) Limited;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“Products”</w:t>
      </w:r>
      <w:r>
        <w:t xml:space="preserve"> </w:t>
      </w:r>
      <w:r>
        <w:t xml:space="preserve">means collectively the Goods and Services;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“Services”</w:t>
      </w:r>
      <w:r>
        <w:t xml:space="preserve"> </w:t>
      </w:r>
      <w:r>
        <w:t xml:space="preserve">means the telecommunications services, contracts and related offerings;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“Territory”</w:t>
      </w:r>
      <w:r>
        <w:t xml:space="preserve"> </w:t>
      </w:r>
      <w:r>
        <w:t xml:space="preserve">means the Republic of South Africa.</w:t>
      </w:r>
    </w:p>
    <w:bookmarkEnd w:id="13"/>
    <w:bookmarkStart w:id="14" w:name="interpretation"/>
    <w:p>
      <w:pPr>
        <w:pStyle w:val="Heading3"/>
      </w:pPr>
      <w:r>
        <w:t xml:space="preserve">1.2 Interpretation</w:t>
      </w:r>
    </w:p>
    <w:p>
      <w:pPr>
        <w:pStyle w:val="FirstParagraph"/>
      </w:pPr>
      <w:r>
        <w:t xml:space="preserve">1.2.1 Words importing the singular include the plural and vice versa.</w:t>
      </w:r>
      <w:r>
        <w:br/>
      </w:r>
      <w:r>
        <w:t xml:space="preserve">1.2.2 Words importing one gender include the other genders.</w:t>
      </w:r>
      <w:r>
        <w:br/>
      </w:r>
      <w:r>
        <w:t xml:space="preserve">1.2.3 References to persons include juristic persons.</w:t>
      </w:r>
      <w:r>
        <w:br/>
      </w:r>
      <w:r>
        <w:t xml:space="preserve">1.2.4 The headings are for convenience only and shall not affect interpretation.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appointment-and-scope"/>
    <w:p>
      <w:pPr>
        <w:pStyle w:val="Heading2"/>
      </w:pPr>
      <w:r>
        <w:t xml:space="preserve">2. APPOINTMENT AND SCOPE</w:t>
      </w:r>
    </w:p>
    <w:bookmarkStart w:id="16" w:name="appointment"/>
    <w:p>
      <w:pPr>
        <w:pStyle w:val="Heading3"/>
      </w:pPr>
      <w:r>
        <w:t xml:space="preserve">2.1 Appointment</w:t>
      </w:r>
    </w:p>
    <w:p>
      <w:pPr>
        <w:pStyle w:val="FirstParagraph"/>
      </w:pPr>
      <w:r>
        <w:t xml:space="preserve">The Seller appoints the Buyer as a non-exclusive reseller of Products in the Territory, and the Buyer accepts such appointment on the terms of this Agreement.</w:t>
      </w:r>
    </w:p>
    <w:bookmarkEnd w:id="16"/>
    <w:bookmarkStart w:id="17" w:name="products-and-services"/>
    <w:p>
      <w:pPr>
        <w:pStyle w:val="Heading3"/>
      </w:pPr>
      <w:r>
        <w:t xml:space="preserve">2.2 Products and Services</w:t>
      </w:r>
    </w:p>
    <w:p>
      <w:pPr>
        <w:pStyle w:val="FirstParagraph"/>
      </w:pPr>
      <w:r>
        <w:t xml:space="preserve">The Seller agrees to supply and the Buyer agrees to purchase:</w:t>
      </w:r>
    </w:p>
    <w:p>
      <w:pPr>
        <w:pStyle w:val="Compact"/>
        <w:numPr>
          <w:ilvl w:val="0"/>
          <w:numId w:val="1002"/>
        </w:numPr>
      </w:pPr>
      <w:r>
        <w:t xml:space="preserve">Telecommunications hardware including but not limited to:</w:t>
      </w:r>
    </w:p>
    <w:p>
      <w:pPr>
        <w:pStyle w:val="Compact"/>
        <w:numPr>
          <w:ilvl w:val="1"/>
          <w:numId w:val="1003"/>
        </w:numPr>
      </w:pPr>
      <w:r>
        <w:t xml:space="preserve">Routers, switches, modems and networking equipment</w:t>
      </w:r>
    </w:p>
    <w:p>
      <w:pPr>
        <w:pStyle w:val="Compact"/>
        <w:numPr>
          <w:ilvl w:val="1"/>
          <w:numId w:val="1003"/>
        </w:numPr>
      </w:pPr>
      <w:r>
        <w:t xml:space="preserve">Servers and related infrastructure</w:t>
      </w:r>
    </w:p>
    <w:p>
      <w:pPr>
        <w:pStyle w:val="Compact"/>
        <w:numPr>
          <w:ilvl w:val="1"/>
          <w:numId w:val="1003"/>
        </w:numPr>
      </w:pPr>
      <w:r>
        <w:t xml:space="preserve">SIM cards and mobile devices</w:t>
      </w:r>
    </w:p>
    <w:p>
      <w:pPr>
        <w:pStyle w:val="Compact"/>
        <w:numPr>
          <w:ilvl w:val="0"/>
          <w:numId w:val="1002"/>
        </w:numPr>
      </w:pPr>
      <w:r>
        <w:t xml:space="preserve">Telecommunications services including:</w:t>
      </w:r>
    </w:p>
    <w:p>
      <w:pPr>
        <w:pStyle w:val="Compact"/>
        <w:numPr>
          <w:ilvl w:val="1"/>
          <w:numId w:val="1004"/>
        </w:numPr>
      </w:pPr>
      <w:r>
        <w:t xml:space="preserve">Mobile voice and data contracts</w:t>
      </w:r>
    </w:p>
    <w:p>
      <w:pPr>
        <w:pStyle w:val="Compact"/>
        <w:numPr>
          <w:ilvl w:val="1"/>
          <w:numId w:val="1004"/>
        </w:numPr>
      </w:pPr>
      <w:r>
        <w:t xml:space="preserve">Fixed wireless broadband services</w:t>
      </w:r>
    </w:p>
    <w:p>
      <w:pPr>
        <w:pStyle w:val="Compact"/>
        <w:numPr>
          <w:ilvl w:val="1"/>
          <w:numId w:val="1004"/>
        </w:numPr>
      </w:pPr>
      <w:r>
        <w:t xml:space="preserve">Value-added services</w:t>
      </w:r>
    </w:p>
    <w:p>
      <w:pPr>
        <w:pStyle w:val="Compact"/>
        <w:numPr>
          <w:ilvl w:val="0"/>
          <w:numId w:val="1002"/>
        </w:numPr>
      </w:pPr>
      <w:r>
        <w:t xml:space="preserve">Related software, firmware and accessories</w:t>
      </w:r>
    </w:p>
    <w:bookmarkEnd w:id="17"/>
    <w:bookmarkStart w:id="18" w:name="authority"/>
    <w:p>
      <w:pPr>
        <w:pStyle w:val="Heading3"/>
      </w:pPr>
      <w:r>
        <w:t xml:space="preserve">2.3 Authority</w:t>
      </w:r>
    </w:p>
    <w:p>
      <w:pPr>
        <w:pStyle w:val="FirstParagraph"/>
      </w:pPr>
      <w:r>
        <w:t xml:space="preserve">The Seller warrants that it has full authority from MTN to enter into this Agreement and supply the Products.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commercial-terms"/>
    <w:p>
      <w:pPr>
        <w:pStyle w:val="Heading2"/>
      </w:pPr>
      <w:r>
        <w:t xml:space="preserve">3. COMMERCIAL TERMS</w:t>
      </w:r>
    </w:p>
    <w:bookmarkStart w:id="20" w:name="pricing"/>
    <w:p>
      <w:pPr>
        <w:pStyle w:val="Heading3"/>
      </w:pPr>
      <w:r>
        <w:t xml:space="preserve">3.1 Pricing</w:t>
      </w:r>
    </w:p>
    <w:p>
      <w:pPr>
        <w:pStyle w:val="FirstParagraph"/>
      </w:pPr>
      <w:r>
        <w:t xml:space="preserve">Pricing shall be as per MTN’s prevailing wholesale rates, subject to the commission structure in Addendum A.</w:t>
      </w:r>
    </w:p>
    <w:bookmarkEnd w:id="20"/>
    <w:bookmarkStart w:id="21" w:name="markup-rights"/>
    <w:p>
      <w:pPr>
        <w:pStyle w:val="Heading3"/>
      </w:pPr>
      <w:r>
        <w:t xml:space="preserve">3.2 Markup Rights</w:t>
      </w:r>
    </w:p>
    <w:p>
      <w:pPr>
        <w:pStyle w:val="FirstParagraph"/>
      </w:pPr>
      <w:r>
        <w:t xml:space="preserve">The Buyer shall be entitled to add its own markup when reselling Products to Customers, provided such markup is commercially reasonable and competitive.</w:t>
      </w:r>
    </w:p>
    <w:bookmarkEnd w:id="21"/>
    <w:bookmarkStart w:id="22" w:name="minimum-commitments"/>
    <w:p>
      <w:pPr>
        <w:pStyle w:val="Heading3"/>
      </w:pPr>
      <w:r>
        <w:t xml:space="preserve">3.3 Minimum Commitments</w:t>
      </w:r>
    </w:p>
    <w:p>
      <w:pPr>
        <w:pStyle w:val="FirstParagraph"/>
      </w:pPr>
      <w:r>
        <w:t xml:space="preserve">No minimum purchase commitments apply during the first 3 months. Thereafter, minimum commitments may be agreed in writing.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ordering-and-delivery"/>
    <w:p>
      <w:pPr>
        <w:pStyle w:val="Heading2"/>
      </w:pPr>
      <w:r>
        <w:t xml:space="preserve">4. ORDERING AND DELIVERY</w:t>
      </w:r>
    </w:p>
    <w:bookmarkStart w:id="24" w:name="orders"/>
    <w:p>
      <w:pPr>
        <w:pStyle w:val="Heading3"/>
      </w:pPr>
      <w:r>
        <w:t xml:space="preserve">4.1 Orders</w:t>
      </w:r>
    </w:p>
    <w:p>
      <w:pPr>
        <w:pStyle w:val="FirstParagraph"/>
      </w:pPr>
      <w:r>
        <w:t xml:space="preserve">The Buyer shall submit orders in writing (including email) specifying quantities, Products and delivery requirements.</w:t>
      </w:r>
    </w:p>
    <w:bookmarkEnd w:id="24"/>
    <w:bookmarkStart w:id="25" w:name="order-confirmation"/>
    <w:p>
      <w:pPr>
        <w:pStyle w:val="Heading3"/>
      </w:pPr>
      <w:r>
        <w:t xml:space="preserve">4.2 Order Confirmation</w:t>
      </w:r>
    </w:p>
    <w:p>
      <w:pPr>
        <w:pStyle w:val="FirstParagraph"/>
      </w:pPr>
      <w:r>
        <w:t xml:space="preserve">The Seller shall confirm orders within 1 (one) Business Day of receipt.</w:t>
      </w:r>
    </w:p>
    <w:bookmarkEnd w:id="25"/>
    <w:bookmarkStart w:id="26" w:name="delivery"/>
    <w:p>
      <w:pPr>
        <w:pStyle w:val="Heading3"/>
      </w:pPr>
      <w:r>
        <w:t xml:space="preserve">4.3 Delivery</w:t>
      </w:r>
    </w:p>
    <w:p>
      <w:pPr>
        <w:pStyle w:val="FirstParagraph"/>
      </w:pPr>
      <w:r>
        <w:t xml:space="preserve">4.3.1 Delivery shall be within the following timeframes:</w:t>
      </w:r>
      <w:r>
        <w:t xml:space="preserve"> </w:t>
      </w:r>
      <w:r>
        <w:t xml:space="preserve">- SIM cards: 2-3 Business Days</w:t>
      </w:r>
      <w:r>
        <w:t xml:space="preserve"> </w:t>
      </w:r>
      <w:r>
        <w:t xml:space="preserve">- Hardware: 5-7 Business Days</w:t>
      </w:r>
      <w:r>
        <w:br/>
      </w:r>
      <w:r>
        <w:t xml:space="preserve">- Service activation: 24-48 hours from completed documentation</w:t>
      </w:r>
    </w:p>
    <w:p>
      <w:pPr>
        <w:pStyle w:val="BodyText"/>
      </w:pPr>
      <w:r>
        <w:t xml:space="preserve">4.3.2 Delivery shall be to the Buyer’s designated address in South Africa.</w:t>
      </w:r>
    </w:p>
    <w:p>
      <w:pPr>
        <w:pStyle w:val="BodyText"/>
      </w:pPr>
      <w:r>
        <w:t xml:space="preserve">4.3.3 Risk and ownership shall pass upon delivery, subject to payment.</w:t>
      </w:r>
    </w:p>
    <w:bookmarkEnd w:id="26"/>
    <w:bookmarkStart w:id="27" w:name="delivery-costs"/>
    <w:p>
      <w:pPr>
        <w:pStyle w:val="Heading3"/>
      </w:pPr>
      <w:r>
        <w:t xml:space="preserve">4.4 Delivery Costs</w:t>
      </w:r>
    </w:p>
    <w:p>
      <w:pPr>
        <w:pStyle w:val="FirstParagraph"/>
      </w:pPr>
      <w:r>
        <w:t xml:space="preserve">Delivery costs for orders above R5,000 shall be for the Seller’s account. Below this threshold, actual courier costs apply.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acceptance-and-warranties"/>
    <w:p>
      <w:pPr>
        <w:pStyle w:val="Heading2"/>
      </w:pPr>
      <w:r>
        <w:t xml:space="preserve">5. ACCEPTANCE AND WARRANTIES</w:t>
      </w:r>
    </w:p>
    <w:bookmarkStart w:id="29" w:name="inspection-period"/>
    <w:p>
      <w:pPr>
        <w:pStyle w:val="Heading3"/>
      </w:pPr>
      <w:r>
        <w:t xml:space="preserve">5.1 Inspection Period</w:t>
      </w:r>
    </w:p>
    <w:p>
      <w:pPr>
        <w:pStyle w:val="FirstParagraph"/>
      </w:pPr>
      <w:r>
        <w:t xml:space="preserve">The Buyer shall have 30 (thirty) days from delivery to inspect Goods and notify the Seller of any defects or non-conformance.</w:t>
      </w:r>
    </w:p>
    <w:bookmarkEnd w:id="29"/>
    <w:bookmarkStart w:id="30" w:name="customer-claims"/>
    <w:p>
      <w:pPr>
        <w:pStyle w:val="Heading3"/>
      </w:pPr>
      <w:r>
        <w:t xml:space="preserve">5.2 Customer Claims</w:t>
      </w:r>
    </w:p>
    <w:p>
      <w:pPr>
        <w:pStyle w:val="FirstParagraph"/>
      </w:pPr>
      <w:r>
        <w:t xml:space="preserve">Where the Buyer has resold Goods to Customers, the Buyer may pass through defect claims received from Customers within 45 (forty-five) days of original delivery.</w:t>
      </w:r>
    </w:p>
    <w:bookmarkEnd w:id="30"/>
    <w:bookmarkStart w:id="31" w:name="warranties"/>
    <w:p>
      <w:pPr>
        <w:pStyle w:val="Heading3"/>
      </w:pPr>
      <w:r>
        <w:t xml:space="preserve">5.3 Warranties</w:t>
      </w:r>
    </w:p>
    <w:p>
      <w:pPr>
        <w:pStyle w:val="FirstParagraph"/>
      </w:pPr>
      <w:r>
        <w:t xml:space="preserve">5.3.1 The Seller warrants that all Goods:</w:t>
      </w:r>
      <w:r>
        <w:t xml:space="preserve"> </w:t>
      </w:r>
      <w:r>
        <w:t xml:space="preserve">- Conform to specifications</w:t>
      </w:r>
      <w:r>
        <w:t xml:space="preserve"> </w:t>
      </w:r>
      <w:r>
        <w:t xml:space="preserve">- Are free from material defects</w:t>
      </w:r>
      <w:r>
        <w:t xml:space="preserve"> </w:t>
      </w:r>
      <w:r>
        <w:t xml:space="preserve">- Are new unless otherwise agreed</w:t>
      </w:r>
      <w:r>
        <w:t xml:space="preserve"> </w:t>
      </w:r>
      <w:r>
        <w:t xml:space="preserve">- Carry manufacturer warranties</w:t>
      </w:r>
    </w:p>
    <w:p>
      <w:pPr>
        <w:pStyle w:val="BodyText"/>
      </w:pPr>
      <w:r>
        <w:t xml:space="preserve">5.3.2 Warranty periods:</w:t>
      </w:r>
      <w:r>
        <w:t xml:space="preserve"> </w:t>
      </w:r>
      <w:r>
        <w:t xml:space="preserve">- Hardware: Manufacturer’s warranty (minimum 12 months)</w:t>
      </w:r>
      <w:r>
        <w:t xml:space="preserve"> </w:t>
      </w:r>
      <w:r>
        <w:t xml:space="preserve">- Software: Per licence terms</w:t>
      </w:r>
      <w:r>
        <w:t xml:space="preserve"> </w:t>
      </w:r>
      <w:r>
        <w:t xml:space="preserve">- Services: Duration of service contract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payment-terms"/>
    <w:p>
      <w:pPr>
        <w:pStyle w:val="Heading2"/>
      </w:pPr>
      <w:r>
        <w:t xml:space="preserve">6. PAYMENT TERMS</w:t>
      </w:r>
    </w:p>
    <w:bookmarkStart w:id="33" w:name="invoicing"/>
    <w:p>
      <w:pPr>
        <w:pStyle w:val="Heading3"/>
      </w:pPr>
      <w:r>
        <w:t xml:space="preserve">6.1 Invoicing</w:t>
      </w:r>
    </w:p>
    <w:p>
      <w:pPr>
        <w:pStyle w:val="FirstParagraph"/>
      </w:pPr>
      <w:r>
        <w:t xml:space="preserve">The Seller shall invoice the Buyer upon delivery of Goods or activation of Services.</w:t>
      </w:r>
    </w:p>
    <w:bookmarkEnd w:id="33"/>
    <w:bookmarkStart w:id="34" w:name="payment-terms-1"/>
    <w:p>
      <w:pPr>
        <w:pStyle w:val="Heading3"/>
      </w:pPr>
      <w:r>
        <w:t xml:space="preserve">6.2 Payment Terms</w:t>
      </w:r>
    </w:p>
    <w:p>
      <w:pPr>
        <w:pStyle w:val="FirstParagraph"/>
      </w:pPr>
      <w:r>
        <w:t xml:space="preserve">Payment is due within 30 (thirty) days from invoice date, unless otherwise agreed in writing.</w:t>
      </w:r>
    </w:p>
    <w:bookmarkEnd w:id="34"/>
    <w:bookmarkStart w:id="35" w:name="commission-payments"/>
    <w:p>
      <w:pPr>
        <w:pStyle w:val="Heading3"/>
      </w:pPr>
      <w:r>
        <w:t xml:space="preserve">6.3 Commission Payments</w:t>
      </w:r>
    </w:p>
    <w:p>
      <w:pPr>
        <w:pStyle w:val="FirstParagraph"/>
      </w:pPr>
      <w:r>
        <w:t xml:space="preserve">Commissions per Addendum A shall be paid within 15 (fifteen) days of month-end following receipt by the Seller.</w:t>
      </w:r>
    </w:p>
    <w:bookmarkEnd w:id="35"/>
    <w:bookmarkStart w:id="36" w:name="disputes"/>
    <w:p>
      <w:pPr>
        <w:pStyle w:val="Heading3"/>
      </w:pPr>
      <w:r>
        <w:t xml:space="preserve">6.4 Disputes</w:t>
      </w:r>
    </w:p>
    <w:p>
      <w:pPr>
        <w:pStyle w:val="FirstParagraph"/>
      </w:pPr>
      <w:r>
        <w:t xml:space="preserve">Payment disputes must be raised within 7 (seven) days of invoice. Undisputed amounts remain payable.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ustomer-relationships"/>
    <w:p>
      <w:pPr>
        <w:pStyle w:val="Heading2"/>
      </w:pPr>
      <w:r>
        <w:t xml:space="preserve">7. CUSTOMER RELATIONSHIPS</w:t>
      </w:r>
    </w:p>
    <w:bookmarkStart w:id="38" w:name="customer-ownership"/>
    <w:p>
      <w:pPr>
        <w:pStyle w:val="Heading3"/>
      </w:pPr>
      <w:r>
        <w:t xml:space="preserve">7.1 Customer Ownership</w:t>
      </w:r>
    </w:p>
    <w:p>
      <w:pPr>
        <w:pStyle w:val="FirstParagraph"/>
      </w:pPr>
      <w:r>
        <w:t xml:space="preserve">All Customers introduced by the Buyer shall remain the Buyer’s Customers for the duration of this Agreement and thereafter.</w:t>
      </w:r>
    </w:p>
    <w:bookmarkEnd w:id="38"/>
    <w:bookmarkStart w:id="39" w:name="direct-relationships"/>
    <w:p>
      <w:pPr>
        <w:pStyle w:val="Heading3"/>
      </w:pPr>
      <w:r>
        <w:t xml:space="preserve">7.2 Direct Relationships</w:t>
      </w:r>
    </w:p>
    <w:p>
      <w:pPr>
        <w:pStyle w:val="FirstParagraph"/>
      </w:pPr>
      <w:r>
        <w:t xml:space="preserve">The Buyer maintains direct contractual relationships with its Customers. The Seller shall not interfere with such relationships.</w:t>
      </w:r>
    </w:p>
    <w:bookmarkEnd w:id="39"/>
    <w:bookmarkStart w:id="40" w:name="customer-data"/>
    <w:p>
      <w:pPr>
        <w:pStyle w:val="Heading3"/>
      </w:pPr>
      <w:r>
        <w:t xml:space="preserve">7.3 Customer Data</w:t>
      </w:r>
    </w:p>
    <w:p>
      <w:pPr>
        <w:pStyle w:val="FirstParagraph"/>
      </w:pPr>
      <w:r>
        <w:t xml:space="preserve">All Customer data and information belongs exclusively to the Buyer.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non-circumvention"/>
    <w:p>
      <w:pPr>
        <w:pStyle w:val="Heading2"/>
      </w:pPr>
      <w:r>
        <w:t xml:space="preserve">8. NON-CIRCUMVENTION</w:t>
      </w:r>
    </w:p>
    <w:bookmarkStart w:id="42" w:name="non-circumvention-undertaking"/>
    <w:p>
      <w:pPr>
        <w:pStyle w:val="Heading3"/>
      </w:pPr>
      <w:r>
        <w:t xml:space="preserve">8.1 Non-Circumvention Undertaking</w:t>
      </w:r>
    </w:p>
    <w:p>
      <w:pPr>
        <w:pStyle w:val="FirstParagraph"/>
      </w:pPr>
      <w:r>
        <w:t xml:space="preserve">During the term of this Agreement and for 24 (twenty-four) months thereafter, the Seller shall not:</w:t>
      </w:r>
    </w:p>
    <w:p>
      <w:pPr>
        <w:pStyle w:val="Compact"/>
        <w:numPr>
          <w:ilvl w:val="0"/>
          <w:numId w:val="1005"/>
        </w:numPr>
      </w:pPr>
      <w:r>
        <w:t xml:space="preserve">Contact, solicit or transact directly with any Customer introduced by the Buyer;</w:t>
      </w:r>
    </w:p>
    <w:p>
      <w:pPr>
        <w:pStyle w:val="Compact"/>
        <w:numPr>
          <w:ilvl w:val="0"/>
          <w:numId w:val="1005"/>
        </w:numPr>
      </w:pPr>
      <w:r>
        <w:t xml:space="preserve">Bypass the Buyer to deal directly with such Customers;</w:t>
      </w:r>
    </w:p>
    <w:p>
      <w:pPr>
        <w:pStyle w:val="Compact"/>
        <w:numPr>
          <w:ilvl w:val="0"/>
          <w:numId w:val="1005"/>
        </w:numPr>
      </w:pPr>
      <w:r>
        <w:t xml:space="preserve">Disclose the Buyer’s Customer information to third parties;</w:t>
      </w:r>
    </w:p>
    <w:p>
      <w:pPr>
        <w:pStyle w:val="Compact"/>
        <w:numPr>
          <w:ilvl w:val="0"/>
          <w:numId w:val="1005"/>
        </w:numPr>
      </w:pPr>
      <w:r>
        <w:t xml:space="preserve">Attempt to divert business from the Buyer.</w:t>
      </w:r>
    </w:p>
    <w:bookmarkEnd w:id="42"/>
    <w:bookmarkStart w:id="43" w:name="non-solicitation"/>
    <w:p>
      <w:pPr>
        <w:pStyle w:val="Heading3"/>
      </w:pPr>
      <w:r>
        <w:t xml:space="preserve">8.2 Non-Solicitation</w:t>
      </w:r>
    </w:p>
    <w:p>
      <w:pPr>
        <w:pStyle w:val="FirstParagraph"/>
      </w:pPr>
      <w:r>
        <w:t xml:space="preserve">Neither party shall solicit or employ the other party’s employees during the term and for 12 months thereafter without written consent.</w:t>
      </w:r>
    </w:p>
    <w:bookmarkEnd w:id="43"/>
    <w:bookmarkStart w:id="44" w:name="remedies"/>
    <w:p>
      <w:pPr>
        <w:pStyle w:val="Heading3"/>
      </w:pPr>
      <w:r>
        <w:t xml:space="preserve">8.3 Remedies</w:t>
      </w:r>
    </w:p>
    <w:p>
      <w:pPr>
        <w:pStyle w:val="FirstParagraph"/>
      </w:pPr>
      <w:r>
        <w:t xml:space="preserve">Breach of this clause entitles the aggrieved party to seek immediate interdict and claim damages, including lost profits.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confidentiality"/>
    <w:p>
      <w:pPr>
        <w:pStyle w:val="Heading2"/>
      </w:pPr>
      <w:r>
        <w:t xml:space="preserve">9. CONFIDENTIALITY</w:t>
      </w:r>
    </w:p>
    <w:bookmarkStart w:id="46" w:name="confidential-information"/>
    <w:p>
      <w:pPr>
        <w:pStyle w:val="Heading3"/>
      </w:pPr>
      <w:r>
        <w:t xml:space="preserve">9.1 Confidential Information</w:t>
      </w:r>
    </w:p>
    <w:p>
      <w:pPr>
        <w:pStyle w:val="FirstParagraph"/>
      </w:pPr>
      <w:r>
        <w:t xml:space="preserve">Each party shall maintain the confidentiality of the other party’s Confidential Information and not disclose it to third parties without written consent.</w:t>
      </w:r>
    </w:p>
    <w:bookmarkEnd w:id="46"/>
    <w:bookmarkStart w:id="47" w:name="exceptions"/>
    <w:p>
      <w:pPr>
        <w:pStyle w:val="Heading3"/>
      </w:pPr>
      <w:r>
        <w:t xml:space="preserve">9.2 Exceptions</w:t>
      </w:r>
    </w:p>
    <w:p>
      <w:pPr>
        <w:pStyle w:val="FirstParagraph"/>
      </w:pPr>
      <w:r>
        <w:t xml:space="preserve">Confidentiality obligations do not apply to information that:</w:t>
      </w:r>
      <w:r>
        <w:t xml:space="preserve"> </w:t>
      </w:r>
      <w:r>
        <w:t xml:space="preserve">- Is publicly available</w:t>
      </w:r>
      <w:r>
        <w:t xml:space="preserve"> </w:t>
      </w:r>
      <w:r>
        <w:t xml:space="preserve">- Was lawfully known prior to disclosure</w:t>
      </w:r>
      <w:r>
        <w:t xml:space="preserve"> </w:t>
      </w:r>
      <w:r>
        <w:t xml:space="preserve">- Must be disclosed by law</w:t>
      </w:r>
    </w:p>
    <w:bookmarkEnd w:id="47"/>
    <w:bookmarkStart w:id="48" w:name="duration"/>
    <w:p>
      <w:pPr>
        <w:pStyle w:val="Heading3"/>
      </w:pPr>
      <w:r>
        <w:t xml:space="preserve">9.3 Duration</w:t>
      </w:r>
    </w:p>
    <w:p>
      <w:pPr>
        <w:pStyle w:val="FirstParagraph"/>
      </w:pPr>
      <w:r>
        <w:t xml:space="preserve">Confidentiality obligations survive termination for 5 (five) years.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term-and-termination"/>
    <w:p>
      <w:pPr>
        <w:pStyle w:val="Heading2"/>
      </w:pPr>
      <w:r>
        <w:t xml:space="preserve">10. TERM AND TERMINATION</w:t>
      </w:r>
    </w:p>
    <w:bookmarkStart w:id="50" w:name="initial-term"/>
    <w:p>
      <w:pPr>
        <w:pStyle w:val="Heading3"/>
      </w:pPr>
      <w:r>
        <w:t xml:space="preserve">10.1 Initial Term</w:t>
      </w:r>
    </w:p>
    <w:p>
      <w:pPr>
        <w:pStyle w:val="FirstParagraph"/>
      </w:pPr>
      <w:r>
        <w:t xml:space="preserve">This Agreement commences on the Commencement Date for an Initial Term of 24 months.</w:t>
      </w:r>
    </w:p>
    <w:bookmarkEnd w:id="50"/>
    <w:bookmarkStart w:id="51" w:name="renewal"/>
    <w:p>
      <w:pPr>
        <w:pStyle w:val="Heading3"/>
      </w:pPr>
      <w:r>
        <w:t xml:space="preserve">10.2 Renewal</w:t>
      </w:r>
    </w:p>
    <w:p>
      <w:pPr>
        <w:pStyle w:val="FirstParagraph"/>
      </w:pPr>
      <w:r>
        <w:t xml:space="preserve">The Agreement shall automatically renew for successive 12-month periods unless either party provides 90 days’ written notice of non-renewal.</w:t>
      </w:r>
    </w:p>
    <w:bookmarkEnd w:id="51"/>
    <w:bookmarkStart w:id="52" w:name="termination-for-breach"/>
    <w:p>
      <w:pPr>
        <w:pStyle w:val="Heading3"/>
      </w:pPr>
      <w:r>
        <w:t xml:space="preserve">10.3 Termination for Breach</w:t>
      </w:r>
    </w:p>
    <w:p>
      <w:pPr>
        <w:pStyle w:val="FirstParagraph"/>
      </w:pPr>
      <w:r>
        <w:t xml:space="preserve">Either party may terminate for material breach if:</w:t>
      </w:r>
      <w:r>
        <w:t xml:space="preserve"> </w:t>
      </w:r>
      <w:r>
        <w:t xml:space="preserve">- Written notice is provided specifying the breach</w:t>
      </w:r>
      <w:r>
        <w:t xml:space="preserve"> </w:t>
      </w:r>
      <w:r>
        <w:t xml:space="preserve">- The breach is not remedied within 14 days (7 days for non-payment)</w:t>
      </w:r>
    </w:p>
    <w:bookmarkEnd w:id="52"/>
    <w:bookmarkStart w:id="53" w:name="material-breach"/>
    <w:p>
      <w:pPr>
        <w:pStyle w:val="Heading3"/>
      </w:pPr>
      <w:r>
        <w:t xml:space="preserve">10.4 Material Breach</w:t>
      </w:r>
    </w:p>
    <w:p>
      <w:pPr>
        <w:pStyle w:val="FirstParagraph"/>
      </w:pPr>
      <w:r>
        <w:t xml:space="preserve">Material breach includes:</w:t>
      </w:r>
      <w:r>
        <w:t xml:space="preserve"> </w:t>
      </w:r>
      <w:r>
        <w:t xml:space="preserve">- Non-payment of undisputed amounts</w:t>
      </w:r>
      <w:r>
        <w:t xml:space="preserve"> </w:t>
      </w:r>
      <w:r>
        <w:t xml:space="preserve">- Breach of confidentiality or non-circumvention</w:t>
      </w:r>
      <w:r>
        <w:t xml:space="preserve"> </w:t>
      </w:r>
      <w:r>
        <w:t xml:space="preserve">- Insolvency or business rescue</w:t>
      </w:r>
      <w:r>
        <w:t xml:space="preserve"> </w:t>
      </w:r>
      <w:r>
        <w:t xml:space="preserve">- Persistent service failures</w:t>
      </w:r>
    </w:p>
    <w:bookmarkEnd w:id="53"/>
    <w:bookmarkStart w:id="54" w:name="effects-of-termination"/>
    <w:p>
      <w:pPr>
        <w:pStyle w:val="Heading3"/>
      </w:pPr>
      <w:r>
        <w:t xml:space="preserve">10.5 Effects of Termination</w:t>
      </w:r>
    </w:p>
    <w:p>
      <w:pPr>
        <w:pStyle w:val="FirstParagraph"/>
      </w:pPr>
      <w:r>
        <w:t xml:space="preserve">Upon termination:</w:t>
      </w:r>
      <w:r>
        <w:t xml:space="preserve"> </w:t>
      </w:r>
      <w:r>
        <w:t xml:space="preserve">- Outstanding amounts become immediately due</w:t>
      </w:r>
      <w:r>
        <w:t xml:space="preserve"> </w:t>
      </w:r>
      <w:r>
        <w:t xml:space="preserve">- Existing Customer commissions continue per Addendum A</w:t>
      </w:r>
      <w:r>
        <w:t xml:space="preserve"> </w:t>
      </w:r>
      <w:r>
        <w:t xml:space="preserve">- Confidentiality and non-circumvention survive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dispute-resolution"/>
    <w:p>
      <w:pPr>
        <w:pStyle w:val="Heading2"/>
      </w:pPr>
      <w:r>
        <w:t xml:space="preserve">11. DISPUTE RESOLUTION</w:t>
      </w:r>
    </w:p>
    <w:bookmarkStart w:id="56" w:name="good-faith-negotiations"/>
    <w:p>
      <w:pPr>
        <w:pStyle w:val="Heading3"/>
      </w:pPr>
      <w:r>
        <w:t xml:space="preserve">11.1 Good Faith Negotiations</w:t>
      </w:r>
    </w:p>
    <w:p>
      <w:pPr>
        <w:pStyle w:val="FirstParagraph"/>
      </w:pPr>
      <w:r>
        <w:t xml:space="preserve">The parties shall first attempt to resolve disputes through good faith negotiations between senior management.</w:t>
      </w:r>
    </w:p>
    <w:bookmarkEnd w:id="56"/>
    <w:bookmarkStart w:id="57" w:name="arbitration"/>
    <w:p>
      <w:pPr>
        <w:pStyle w:val="Heading3"/>
      </w:pPr>
      <w:r>
        <w:t xml:space="preserve">11.2 Arbitration</w:t>
      </w:r>
    </w:p>
    <w:p>
      <w:pPr>
        <w:pStyle w:val="FirstParagraph"/>
      </w:pPr>
      <w:r>
        <w:t xml:space="preserve">If not resolved within 30 days, disputes shall be submitted to arbitration under AFSA rules in Johannesburg.</w:t>
      </w:r>
    </w:p>
    <w:bookmarkEnd w:id="57"/>
    <w:bookmarkStart w:id="58" w:name="urgent-relief"/>
    <w:p>
      <w:pPr>
        <w:pStyle w:val="Heading3"/>
      </w:pPr>
      <w:r>
        <w:t xml:space="preserve">11.3 Urgent Relief</w:t>
      </w:r>
    </w:p>
    <w:p>
      <w:pPr>
        <w:pStyle w:val="FirstParagraph"/>
      </w:pPr>
      <w:r>
        <w:t xml:space="preserve">Nothing prevents a party from seeking urgent interdictory relief from a competent court.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general-provisions"/>
    <w:p>
      <w:pPr>
        <w:pStyle w:val="Heading2"/>
      </w:pPr>
      <w:r>
        <w:t xml:space="preserve">12. GENERAL PROVISIONS</w:t>
      </w:r>
    </w:p>
    <w:bookmarkStart w:id="60" w:name="entire-agreement"/>
    <w:p>
      <w:pPr>
        <w:pStyle w:val="Heading3"/>
      </w:pPr>
      <w:r>
        <w:t xml:space="preserve">12.1 Entire Agreement</w:t>
      </w:r>
    </w:p>
    <w:p>
      <w:pPr>
        <w:pStyle w:val="FirstParagraph"/>
      </w:pPr>
      <w:r>
        <w:t xml:space="preserve">This Agreement constitutes the entire agreement and supersedes all prior agreements and understandings.</w:t>
      </w:r>
    </w:p>
    <w:bookmarkEnd w:id="60"/>
    <w:bookmarkStart w:id="61" w:name="amendments"/>
    <w:p>
      <w:pPr>
        <w:pStyle w:val="Heading3"/>
      </w:pPr>
      <w:r>
        <w:t xml:space="preserve">12.2 Amendments</w:t>
      </w:r>
    </w:p>
    <w:p>
      <w:pPr>
        <w:pStyle w:val="FirstParagraph"/>
      </w:pPr>
      <w:r>
        <w:t xml:space="preserve">No amendment or variation shall be valid unless in writing and signed by both parties.</w:t>
      </w:r>
    </w:p>
    <w:bookmarkEnd w:id="61"/>
    <w:bookmarkStart w:id="62" w:name="governing-law"/>
    <w:p>
      <w:pPr>
        <w:pStyle w:val="Heading3"/>
      </w:pPr>
      <w:r>
        <w:t xml:space="preserve">12.3 Governing Law</w:t>
      </w:r>
    </w:p>
    <w:p>
      <w:pPr>
        <w:pStyle w:val="FirstParagraph"/>
      </w:pPr>
      <w:r>
        <w:t xml:space="preserve">This Agreement is governed by the laws of South Africa.</w:t>
      </w:r>
    </w:p>
    <w:bookmarkEnd w:id="62"/>
    <w:bookmarkStart w:id="63" w:name="domicilium"/>
    <w:p>
      <w:pPr>
        <w:pStyle w:val="Heading3"/>
      </w:pPr>
      <w:r>
        <w:t xml:space="preserve">12.4 Domicilium</w:t>
      </w:r>
    </w:p>
    <w:p>
      <w:pPr>
        <w:pStyle w:val="FirstParagraph"/>
      </w:pPr>
      <w:r>
        <w:t xml:space="preserve">The parties choose the following addresses for notices:</w:t>
      </w:r>
    </w:p>
    <w:p>
      <w:pPr>
        <w:pStyle w:val="BodyText"/>
      </w:pPr>
      <w:r>
        <w:rPr>
          <w:b/>
          <w:bCs/>
        </w:rPr>
        <w:t xml:space="preserve">SELLER:</w:t>
      </w:r>
      <w:r>
        <w:t xml:space="preserve"> </w:t>
      </w:r>
      <w:r>
        <w:t xml:space="preserve">Physical: [To be provided]</w:t>
      </w:r>
      <w:r>
        <w:br/>
      </w:r>
      <w:r>
        <w:t xml:space="preserve">Email: [To be provided]</w:t>
      </w:r>
      <w:r>
        <w:br/>
      </w:r>
      <w:r>
        <w:t xml:space="preserve">Attention: [To be provided]</w:t>
      </w:r>
    </w:p>
    <w:p>
      <w:pPr>
        <w:pStyle w:val="BodyText"/>
      </w:pPr>
      <w:r>
        <w:rPr>
          <w:b/>
          <w:bCs/>
        </w:rPr>
        <w:t xml:space="preserve">BUYER:</w:t>
      </w:r>
      <w:r>
        <w:t xml:space="preserve"> </w:t>
      </w:r>
      <w:r>
        <w:t xml:space="preserve">Physical: Devcon Park West House, 7 Autumn Road, Rivonia, 2128</w:t>
      </w:r>
      <w:r>
        <w:br/>
      </w:r>
      <w:r>
        <w:t xml:space="preserve">Email: legal@circletel.co.za</w:t>
      </w:r>
      <w:r>
        <w:br/>
      </w:r>
      <w:r>
        <w:t xml:space="preserve">Attention: Managing Director</w:t>
      </w:r>
    </w:p>
    <w:bookmarkEnd w:id="63"/>
    <w:bookmarkStart w:id="64" w:name="force-majeure"/>
    <w:p>
      <w:pPr>
        <w:pStyle w:val="Heading3"/>
      </w:pPr>
      <w:r>
        <w:t xml:space="preserve">12.5 Force Majeure</w:t>
      </w:r>
    </w:p>
    <w:p>
      <w:pPr>
        <w:pStyle w:val="FirstParagraph"/>
      </w:pPr>
      <w:r>
        <w:t xml:space="preserve">Neither party shall be liable for failures due to circumstances beyond reasonable control, including but not limited to acts of God, natural disasters, war, pandemic, or government action.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signature-page"/>
    <w:p>
      <w:pPr>
        <w:pStyle w:val="Heading2"/>
      </w:pPr>
      <w:r>
        <w:t xml:space="preserve">SIGNATURE PAGE</w:t>
      </w:r>
    </w:p>
    <w:p>
      <w:pPr>
        <w:pStyle w:val="FirstParagraph"/>
      </w:pPr>
      <w:r>
        <w:rPr>
          <w:b/>
          <w:bCs/>
        </w:rPr>
        <w:t xml:space="preserve">SIGNED</w:t>
      </w:r>
      <w:r>
        <w:t xml:space="preserve"> </w:t>
      </w:r>
      <w:r>
        <w:t xml:space="preserve">at _________________ on this _____ day of _________________ 2025</w:t>
      </w:r>
    </w:p>
    <w:bookmarkStart w:id="66" w:name="for-the-seller"/>
    <w:p>
      <w:pPr>
        <w:pStyle w:val="Heading3"/>
      </w:pPr>
      <w:r>
        <w:t xml:space="preserve">FOR THE SELLER:</w:t>
      </w:r>
    </w:p>
    <w:p>
      <w:pPr>
        <w:pStyle w:val="FirstParagraph"/>
      </w:pPr>
      <w:r>
        <w:rPr>
          <w:b/>
          <w:bCs/>
        </w:rPr>
        <w:t xml:space="preserve">ARLAN COMMUNICATIONS (PTY) LTD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Authorised Signatory</w:t>
      </w:r>
      <w:r>
        <w:br/>
      </w:r>
      <w:r>
        <w:t xml:space="preserve">Name:</w:t>
      </w:r>
      <w:r>
        <w:br/>
      </w:r>
      <w:r>
        <w:t xml:space="preserve">Designation:</w:t>
      </w:r>
    </w:p>
    <w:p>
      <w:pPr>
        <w:pStyle w:val="BodyText"/>
      </w:pPr>
      <w:r>
        <w:t xml:space="preserve">Who warrants authority to sign</w:t>
      </w:r>
    </w:p>
    <w:bookmarkEnd w:id="66"/>
    <w:bookmarkStart w:id="67" w:name="for-the-buyer"/>
    <w:p>
      <w:pPr>
        <w:pStyle w:val="Heading3"/>
      </w:pPr>
      <w:r>
        <w:t xml:space="preserve">FOR THE BUYER:</w:t>
      </w:r>
    </w:p>
    <w:p>
      <w:pPr>
        <w:pStyle w:val="FirstParagraph"/>
      </w:pPr>
      <w:r>
        <w:rPr>
          <w:b/>
          <w:bCs/>
        </w:rPr>
        <w:t xml:space="preserve">CIRCLE TEL SA (PTY) LTD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Authorised Signatory</w:t>
      </w:r>
      <w:r>
        <w:br/>
      </w:r>
      <w:r>
        <w:t xml:space="preserve">Name:</w:t>
      </w:r>
      <w:r>
        <w:br/>
      </w:r>
      <w:r>
        <w:t xml:space="preserve">Designation:</w:t>
      </w:r>
    </w:p>
    <w:p>
      <w:pPr>
        <w:pStyle w:val="BodyText"/>
      </w:pPr>
      <w:r>
        <w:t xml:space="preserve">Who warrants authority to sign</w:t>
      </w:r>
    </w:p>
    <w:bookmarkEnd w:id="67"/>
    <w:bookmarkStart w:id="68" w:name="witnesses"/>
    <w:p>
      <w:pPr>
        <w:pStyle w:val="Heading3"/>
      </w:pPr>
      <w:r>
        <w:t xml:space="preserve">WITNESSES: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84" w:name="addendum-a---commission-structure"/>
    <w:p>
      <w:pPr>
        <w:pStyle w:val="Heading1"/>
      </w:pPr>
      <w:r>
        <w:t xml:space="preserve">ADDENDUM A - COMMISSION STRUCTURE</w:t>
      </w:r>
    </w:p>
    <w:bookmarkStart w:id="74" w:name="commission-framework"/>
    <w:p>
      <w:pPr>
        <w:pStyle w:val="Heading2"/>
      </w:pPr>
      <w:r>
        <w:t xml:space="preserve">1. COMMISSION FRAMEWORK</w:t>
      </w:r>
    </w:p>
    <w:bookmarkStart w:id="71" w:name="base-commission"/>
    <w:p>
      <w:pPr>
        <w:pStyle w:val="Heading3"/>
      </w:pPr>
      <w:r>
        <w:t xml:space="preserve">1.1 Base Commission</w:t>
      </w:r>
    </w:p>
    <w:p>
      <w:pPr>
        <w:pStyle w:val="FirstParagraph"/>
      </w:pPr>
      <w:r>
        <w:t xml:space="preserve">Circle Tel shall receive 30% (thirty percent) of all commissions received by Arlan Communications from MTN on sales generated through this Agreement.</w:t>
      </w:r>
    </w:p>
    <w:bookmarkEnd w:id="71"/>
    <w:bookmarkStart w:id="72" w:name="commission-basis"/>
    <w:p>
      <w:pPr>
        <w:pStyle w:val="Heading3"/>
      </w:pPr>
      <w:r>
        <w:t xml:space="preserve">1.2 Commission Basis</w:t>
      </w:r>
    </w:p>
    <w:p>
      <w:pPr>
        <w:pStyle w:val="FirstParagraph"/>
      </w:pPr>
      <w:r>
        <w:t xml:space="preserve">Commissions are calculated on net subscription fees, excluding:</w:t>
      </w:r>
      <w:r>
        <w:t xml:space="preserve"> </w:t>
      </w:r>
      <w:r>
        <w:t xml:space="preserve">- Handset fees</w:t>
      </w:r>
      <w:r>
        <w:t xml:space="preserve"> </w:t>
      </w:r>
      <w:r>
        <w:t xml:space="preserve">- Itemised billing</w:t>
      </w:r>
      <w:r>
        <w:t xml:space="preserve"> </w:t>
      </w:r>
      <w:r>
        <w:t xml:space="preserve">- Once-off charges</w:t>
      </w:r>
      <w:r>
        <w:t xml:space="preserve"> </w:t>
      </w:r>
      <w:r>
        <w:t xml:space="preserve">- VAT</w:t>
      </w:r>
    </w:p>
    <w:bookmarkEnd w:id="72"/>
    <w:bookmarkStart w:id="73" w:name="commission-protection"/>
    <w:p>
      <w:pPr>
        <w:pStyle w:val="Heading3"/>
      </w:pPr>
      <w:r>
        <w:t xml:space="preserve">1.3 Commission Protection</w:t>
      </w:r>
    </w:p>
    <w:p>
      <w:pPr>
        <w:pStyle w:val="Compact"/>
        <w:numPr>
          <w:ilvl w:val="0"/>
          <w:numId w:val="1007"/>
        </w:numPr>
      </w:pPr>
      <w:r>
        <w:t xml:space="preserve">Current commission rates are guaranteed for the Initial Term</w:t>
      </w:r>
    </w:p>
    <w:p>
      <w:pPr>
        <w:pStyle w:val="Compact"/>
        <w:numPr>
          <w:ilvl w:val="0"/>
          <w:numId w:val="1007"/>
        </w:numPr>
      </w:pPr>
      <w:r>
        <w:t xml:space="preserve">Any changes to commission structures require 90 days’ written notice and mutual agreement</w:t>
      </w:r>
    </w:p>
    <w:p>
      <w:pPr>
        <w:pStyle w:val="Compact"/>
        <w:numPr>
          <w:ilvl w:val="0"/>
          <w:numId w:val="1007"/>
        </w:numPr>
      </w:pPr>
      <w:r>
        <w:t xml:space="preserve">If MTN reduces commissions, the parties shall negotiate in good faith to maintain commercial viability</w:t>
      </w:r>
    </w:p>
    <w:bookmarkEnd w:id="73"/>
    <w:bookmarkEnd w:id="74"/>
    <w:bookmarkStart w:id="76" w:name="mtn-commission-structure"/>
    <w:p>
      <w:pPr>
        <w:pStyle w:val="Heading2"/>
      </w:pPr>
      <w:r>
        <w:t xml:space="preserve">2. MTN COMMISSION STRUCTURE</w:t>
      </w:r>
    </w:p>
    <w:p>
      <w:pPr>
        <w:pStyle w:val="FirstParagraph"/>
      </w:pPr>
      <w:r>
        <w:rPr>
          <w:i/>
          <w:iCs/>
        </w:rPr>
        <w:t xml:space="preserve">As per MTN’s current commission structure (September 2025):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6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Monthly Subscription</w:t>
            </w:r>
          </w:p>
        </w:tc>
        <w:tc>
          <w:tcPr/>
          <w:p>
            <w:pPr>
              <w:pStyle w:val="Compact"/>
            </w:pPr>
            <w:r>
              <w:t xml:space="preserve">MTN Commission Rate</w:t>
            </w:r>
          </w:p>
        </w:tc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Circle Tel Share (30%)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R0 - R99.99</w:t>
            </w:r>
          </w:p>
        </w:tc>
        <w:tc>
          <w:tcPr/>
          <w:p>
            <w:pPr>
              <w:pStyle w:val="Compact"/>
            </w:pPr>
            <w:r>
              <w:t xml:space="preserve">4.75%</w:t>
            </w:r>
          </w:p>
        </w:tc>
        <w:tc>
          <w:tcPr/>
          <w:p>
            <w:pPr>
              <w:pStyle w:val="Compac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1.425% of total contract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R100 - R199.99</w:t>
            </w:r>
          </w:p>
        </w:tc>
        <w:tc>
          <w:tcPr/>
          <w:p>
            <w:pPr>
              <w:pStyle w:val="Compact"/>
            </w:pPr>
            <w:r>
              <w:t xml:space="preserve">5.75%</w:t>
            </w:r>
          </w:p>
        </w:tc>
        <w:tc>
          <w:tcPr/>
          <w:p>
            <w:pPr>
              <w:pStyle w:val="Compac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1.725% of total contract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R200 - R299.99</w:t>
            </w:r>
          </w:p>
        </w:tc>
        <w:tc>
          <w:tcPr/>
          <w:p>
            <w:pPr>
              <w:pStyle w:val="Compact"/>
            </w:pPr>
            <w:r>
              <w:t xml:space="preserve">7.25%</w:t>
            </w:r>
          </w:p>
        </w:tc>
        <w:tc>
          <w:tcPr/>
          <w:p>
            <w:pPr>
              <w:pStyle w:val="Compac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2.175% of total contract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R300 - R499.99</w:t>
            </w:r>
          </w:p>
        </w:tc>
        <w:tc>
          <w:tcPr/>
          <w:p>
            <w:pPr>
              <w:pStyle w:val="Compact"/>
            </w:pPr>
            <w:r>
              <w:t xml:space="preserve">8.75%</w:t>
            </w:r>
          </w:p>
        </w:tc>
        <w:tc>
          <w:tcPr/>
          <w:p>
            <w:pPr>
              <w:pStyle w:val="Compac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2.625% of total contract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R500 - R999.99</w:t>
            </w:r>
          </w:p>
        </w:tc>
        <w:tc>
          <w:tcPr/>
          <w:p>
            <w:pPr>
              <w:pStyle w:val="Compact"/>
            </w:pPr>
            <w:r>
              <w:t xml:space="preserve">9.75%</w:t>
            </w:r>
          </w:p>
        </w:tc>
        <w:tc>
          <w:tcPr/>
          <w:p>
            <w:pPr>
              <w:pStyle w:val="Compac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2.925% of total contract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R1,000 - R1,999.99</w:t>
            </w:r>
          </w:p>
        </w:tc>
        <w:tc>
          <w:tcPr/>
          <w:p>
            <w:pPr>
              <w:pStyle w:val="Compact"/>
            </w:pPr>
            <w:r>
              <w:t xml:space="preserve">11.75%</w:t>
            </w:r>
          </w:p>
        </w:tc>
        <w:tc>
          <w:tcPr/>
          <w:p>
            <w:pPr>
              <w:pStyle w:val="Compac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3.525% of total contract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R2,000+</w:t>
            </w:r>
          </w:p>
        </w:tc>
        <w:tc>
          <w:tcPr/>
          <w:p>
            <w:pPr>
              <w:pStyle w:val="Compact"/>
            </w:pPr>
            <w:r>
              <w:t xml:space="preserve">13.75%</w:t>
            </w:r>
          </w:p>
        </w:tc>
        <w:tc>
          <w:tcPr/>
          <w:p>
            <w:pPr>
              <w:pStyle w:val="Compact"/>
            </w:pPr>
            <w:r>
              <w:t xml:space="preserve">24 months</w:t>
            </w:r>
          </w:p>
        </w:tc>
        <w:tc>
          <w:tcPr/>
          <w:p>
            <w:pPr>
              <w:pStyle w:val="Compact"/>
            </w:pPr>
            <w:r>
              <w:t xml:space="preserve">4.125% of total contract value</w:t>
            </w:r>
          </w:p>
        </w:tc>
      </w:tr>
    </w:tbl>
    <w:bookmarkStart w:id="75" w:name="example-calculation"/>
    <w:p>
      <w:pPr>
        <w:pStyle w:val="Heading3"/>
      </w:pPr>
      <w:r>
        <w:t xml:space="preserve">Example Calculation:</w:t>
      </w:r>
    </w:p>
    <w:p>
      <w:pPr>
        <w:pStyle w:val="Compact"/>
        <w:numPr>
          <w:ilvl w:val="0"/>
          <w:numId w:val="1008"/>
        </w:numPr>
      </w:pPr>
      <w:r>
        <w:t xml:space="preserve">Customer subscription: R500/month</w:t>
      </w:r>
    </w:p>
    <w:p>
      <w:pPr>
        <w:pStyle w:val="Compact"/>
        <w:numPr>
          <w:ilvl w:val="0"/>
          <w:numId w:val="1008"/>
        </w:numPr>
      </w:pPr>
      <w:r>
        <w:t xml:space="preserve">Contract term: 24 months</w:t>
      </w:r>
    </w:p>
    <w:p>
      <w:pPr>
        <w:pStyle w:val="Compact"/>
        <w:numPr>
          <w:ilvl w:val="0"/>
          <w:numId w:val="1008"/>
        </w:numPr>
      </w:pPr>
      <w:r>
        <w:t xml:space="preserve">Total contract value: R12,000</w:t>
      </w:r>
    </w:p>
    <w:p>
      <w:pPr>
        <w:pStyle w:val="Compact"/>
        <w:numPr>
          <w:ilvl w:val="0"/>
          <w:numId w:val="1008"/>
        </w:numPr>
      </w:pPr>
      <w:r>
        <w:t xml:space="preserve">MTN commission (9.75%): R1,170</w:t>
      </w:r>
    </w:p>
    <w:p>
      <w:pPr>
        <w:pStyle w:val="Compact"/>
        <w:numPr>
          <w:ilvl w:val="0"/>
          <w:numId w:val="1008"/>
        </w:numPr>
      </w:pPr>
      <w:r>
        <w:t xml:space="preserve">Circle Tel share (30%): R351 (excluding VAT)</w:t>
      </w:r>
    </w:p>
    <w:bookmarkEnd w:id="75"/>
    <w:bookmarkEnd w:id="76"/>
    <w:bookmarkStart w:id="79" w:name="renewals-and-upgrades"/>
    <w:p>
      <w:pPr>
        <w:pStyle w:val="Heading2"/>
      </w:pPr>
      <w:r>
        <w:t xml:space="preserve">3. RENEWALS AND UPGRADES</w:t>
      </w:r>
    </w:p>
    <w:bookmarkStart w:id="77" w:name="renewal-commissions"/>
    <w:p>
      <w:pPr>
        <w:pStyle w:val="Heading3"/>
      </w:pPr>
      <w:r>
        <w:t xml:space="preserve">3.1 Renewal Commissions</w:t>
      </w:r>
    </w:p>
    <w:p>
      <w:pPr>
        <w:pStyle w:val="FirstParagraph"/>
      </w:pPr>
      <w:r>
        <w:t xml:space="preserve">Circle Tel shall continue to receive 30% commission on all Customer renewals, upgrades and migrations without time limitation.</w:t>
      </w:r>
    </w:p>
    <w:bookmarkEnd w:id="77"/>
    <w:bookmarkStart w:id="78" w:name="customer-retention"/>
    <w:p>
      <w:pPr>
        <w:pStyle w:val="Heading3"/>
      </w:pPr>
      <w:r>
        <w:t xml:space="preserve">3.2 Customer Retention</w:t>
      </w:r>
    </w:p>
    <w:p>
      <w:pPr>
        <w:pStyle w:val="FirstParagraph"/>
      </w:pPr>
      <w:r>
        <w:t xml:space="preserve">Customers remain attributed to Circle Tel for commission purposes regardless of renewal cycles.</w:t>
      </w:r>
    </w:p>
    <w:bookmarkEnd w:id="78"/>
    <w:bookmarkEnd w:id="79"/>
    <w:bookmarkStart w:id="83" w:name="payment-and-reporting"/>
    <w:p>
      <w:pPr>
        <w:pStyle w:val="Heading2"/>
      </w:pPr>
      <w:r>
        <w:t xml:space="preserve">4. PAYMENT AND REPORTING</w:t>
      </w:r>
    </w:p>
    <w:bookmarkStart w:id="80" w:name="payment-terms-2"/>
    <w:p>
      <w:pPr>
        <w:pStyle w:val="Heading3"/>
      </w:pPr>
      <w:r>
        <w:t xml:space="preserve">4.1 Payment Terms</w:t>
      </w:r>
    </w:p>
    <w:p>
      <w:pPr>
        <w:pStyle w:val="Compact"/>
        <w:numPr>
          <w:ilvl w:val="0"/>
          <w:numId w:val="1009"/>
        </w:numPr>
      </w:pPr>
      <w:r>
        <w:t xml:space="preserve">Commissions calculated monthly</w:t>
      </w:r>
    </w:p>
    <w:p>
      <w:pPr>
        <w:pStyle w:val="Compact"/>
        <w:numPr>
          <w:ilvl w:val="0"/>
          <w:numId w:val="1009"/>
        </w:numPr>
      </w:pPr>
      <w:r>
        <w:t xml:space="preserve">Payment within 15 days of month-end</w:t>
      </w:r>
    </w:p>
    <w:p>
      <w:pPr>
        <w:pStyle w:val="Compact"/>
        <w:numPr>
          <w:ilvl w:val="0"/>
          <w:numId w:val="1009"/>
        </w:numPr>
      </w:pPr>
      <w:r>
        <w:t xml:space="preserve">Electronic payment with remittance advice</w:t>
      </w:r>
    </w:p>
    <w:bookmarkEnd w:id="80"/>
    <w:bookmarkStart w:id="81" w:name="reporting"/>
    <w:p>
      <w:pPr>
        <w:pStyle w:val="Heading3"/>
      </w:pPr>
      <w:r>
        <w:t xml:space="preserve">4.2 Reporting</w:t>
      </w:r>
    </w:p>
    <w:p>
      <w:pPr>
        <w:pStyle w:val="FirstParagraph"/>
      </w:pPr>
      <w:r>
        <w:t xml:space="preserve">Arlan Communications shall provide:</w:t>
      </w:r>
      <w:r>
        <w:t xml:space="preserve"> </w:t>
      </w:r>
      <w:r>
        <w:t xml:space="preserve">- Monthly sales reports by the 5th of each month</w:t>
      </w:r>
      <w:r>
        <w:t xml:space="preserve"> </w:t>
      </w:r>
      <w:r>
        <w:t xml:space="preserve">- Customer activation confirmations</w:t>
      </w:r>
      <w:r>
        <w:t xml:space="preserve"> </w:t>
      </w:r>
      <w:r>
        <w:t xml:space="preserve">- Commission reconciliation statements</w:t>
      </w:r>
    </w:p>
    <w:bookmarkEnd w:id="81"/>
    <w:bookmarkStart w:id="82" w:name="audit-rights"/>
    <w:p>
      <w:pPr>
        <w:pStyle w:val="Heading3"/>
      </w:pPr>
      <w:r>
        <w:t xml:space="preserve">4.3 Audit Rights</w:t>
      </w:r>
    </w:p>
    <w:p>
      <w:pPr>
        <w:pStyle w:val="FirstParagraph"/>
      </w:pPr>
      <w:r>
        <w:t xml:space="preserve">Circle Tel may audit commission calculations quarterly with 7 days’ notice.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96" w:name="addendum-b---service-level-agreement"/>
    <w:p>
      <w:pPr>
        <w:pStyle w:val="Heading1"/>
      </w:pPr>
      <w:r>
        <w:t xml:space="preserve">ADDENDUM B - SERVICE LEVEL AGREEMENT</w:t>
      </w:r>
    </w:p>
    <w:bookmarkStart w:id="88" w:name="service-levels"/>
    <w:p>
      <w:pPr>
        <w:pStyle w:val="Heading2"/>
      </w:pPr>
      <w:r>
        <w:t xml:space="preserve">1. SERVICE LEVELS</w:t>
      </w:r>
    </w:p>
    <w:bookmarkStart w:id="85" w:name="order-processing"/>
    <w:p>
      <w:pPr>
        <w:pStyle w:val="Heading3"/>
      </w:pPr>
      <w:r>
        <w:t xml:space="preserve">1.1 Order Processing</w:t>
      </w:r>
    </w:p>
    <w:p>
      <w:pPr>
        <w:pStyle w:val="Compact"/>
        <w:numPr>
          <w:ilvl w:val="0"/>
          <w:numId w:val="1010"/>
        </w:numPr>
      </w:pPr>
      <w:r>
        <w:t xml:space="preserve">Acknowledgement: Within 4 hours</w:t>
      </w:r>
    </w:p>
    <w:p>
      <w:pPr>
        <w:pStyle w:val="Compact"/>
        <w:numPr>
          <w:ilvl w:val="0"/>
          <w:numId w:val="1010"/>
        </w:numPr>
      </w:pPr>
      <w:r>
        <w:t xml:space="preserve">Processing: Within 24 hours</w:t>
      </w:r>
    </w:p>
    <w:bookmarkEnd w:id="85"/>
    <w:bookmarkStart w:id="86" w:name="delivery-commitments"/>
    <w:p>
      <w:pPr>
        <w:pStyle w:val="Heading3"/>
      </w:pPr>
      <w:r>
        <w:t xml:space="preserve">1.2 Delivery Commitments</w:t>
      </w:r>
    </w:p>
    <w:p>
      <w:pPr>
        <w:pStyle w:val="Compact"/>
        <w:numPr>
          <w:ilvl w:val="0"/>
          <w:numId w:val="1011"/>
        </w:numPr>
      </w:pPr>
      <w:r>
        <w:t xml:space="preserve">SIM cards: 2-3 Business Days</w:t>
      </w:r>
    </w:p>
    <w:p>
      <w:pPr>
        <w:pStyle w:val="Compact"/>
        <w:numPr>
          <w:ilvl w:val="0"/>
          <w:numId w:val="1011"/>
        </w:numPr>
      </w:pPr>
      <w:r>
        <w:t xml:space="preserve">Hardware: 5-7 Business Days</w:t>
      </w:r>
    </w:p>
    <w:p>
      <w:pPr>
        <w:pStyle w:val="Compact"/>
        <w:numPr>
          <w:ilvl w:val="0"/>
          <w:numId w:val="1011"/>
        </w:numPr>
      </w:pPr>
      <w:r>
        <w:t xml:space="preserve">Service activation: 24-48 hours</w:t>
      </w:r>
    </w:p>
    <w:bookmarkEnd w:id="86"/>
    <w:bookmarkStart w:id="87" w:name="support-availability"/>
    <w:p>
      <w:pPr>
        <w:pStyle w:val="Heading3"/>
      </w:pPr>
      <w:r>
        <w:t xml:space="preserve">1.3 Support Availability</w:t>
      </w:r>
    </w:p>
    <w:p>
      <w:pPr>
        <w:pStyle w:val="Compact"/>
        <w:numPr>
          <w:ilvl w:val="0"/>
          <w:numId w:val="1012"/>
        </w:numPr>
      </w:pPr>
      <w:r>
        <w:t xml:space="preserve">Business hours: Monday-Friday, 08:00-17:00</w:t>
      </w:r>
    </w:p>
    <w:p>
      <w:pPr>
        <w:pStyle w:val="Compact"/>
        <w:numPr>
          <w:ilvl w:val="0"/>
          <w:numId w:val="1012"/>
        </w:numPr>
      </w:pPr>
      <w:r>
        <w:t xml:space="preserve">Emergency support: 24/7 hotline for critical issues</w:t>
      </w:r>
    </w:p>
    <w:bookmarkEnd w:id="87"/>
    <w:bookmarkEnd w:id="88"/>
    <w:bookmarkStart w:id="89" w:name="response-times"/>
    <w:p>
      <w:pPr>
        <w:pStyle w:val="Heading2"/>
      </w:pPr>
      <w:r>
        <w:t xml:space="preserve">2. RESPONSE TIMES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Resolution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Service down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Service impaired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Non-critical issue</w:t>
            </w:r>
          </w:p>
        </w:tc>
        <w:tc>
          <w:tcPr/>
          <w:p>
            <w:pPr>
              <w:pStyle w:val="Compact"/>
            </w:pPr>
            <w:r>
              <w:t xml:space="preserve">8 hours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General query</w:t>
            </w:r>
          </w:p>
        </w:tc>
        <w:tc>
          <w:tcPr/>
          <w:p>
            <w:pPr>
              <w:pStyle w:val="Compact"/>
            </w:pPr>
            <w:r>
              <w:t xml:space="preserve">Next business day</w:t>
            </w:r>
          </w:p>
        </w:tc>
        <w:tc>
          <w:tcPr/>
          <w:p>
            <w:pPr>
              <w:pStyle w:val="Compact"/>
            </w:pPr>
            <w:r>
              <w:t xml:space="preserve">3 business days</w:t>
            </w:r>
          </w:p>
        </w:tc>
      </w:tr>
    </w:tbl>
    <w:bookmarkEnd w:id="89"/>
    <w:bookmarkStart w:id="90" w:name="escalation-procedures"/>
    <w:p>
      <w:pPr>
        <w:pStyle w:val="Heading2"/>
      </w:pPr>
      <w:r>
        <w:t xml:space="preserve">3. ESCALATION PROCEDURES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Contact Role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1</w:t>
            </w:r>
          </w:p>
        </w:tc>
        <w:tc>
          <w:tcPr/>
          <w:p>
            <w:pPr>
              <w:pStyle w:val="Compact"/>
            </w:pPr>
            <w:r>
              <w:t xml:space="preserve">Support Desk</w:t>
            </w:r>
          </w:p>
        </w:tc>
        <w:tc>
          <w:tcPr/>
          <w:p>
            <w:pPr>
              <w:pStyle w:val="Compact"/>
            </w:pPr>
            <w:r>
              <w:t xml:space="preserve">Initial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</w:t>
            </w:r>
          </w:p>
        </w:tc>
        <w:tc>
          <w:tcPr/>
          <w:p>
            <w:pPr>
              <w:pStyle w:val="Compact"/>
            </w:pPr>
            <w:r>
              <w:t xml:space="preserve">Account Manager</w:t>
            </w:r>
          </w:p>
        </w:tc>
        <w:tc>
          <w:tcPr/>
          <w:p>
            <w:pPr>
              <w:pStyle w:val="Compact"/>
            </w:pPr>
            <w:r>
              <w:t xml:space="preserve">Within 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3</w:t>
            </w:r>
          </w:p>
        </w:tc>
        <w:tc>
          <w:tcPr/>
          <w:p>
            <w:pPr>
              <w:pStyle w:val="Compact"/>
            </w:pPr>
            <w:r>
              <w:t xml:space="preserve">Operations Manager</w:t>
            </w:r>
          </w:p>
        </w:tc>
        <w:tc>
          <w:tcPr/>
          <w:p>
            <w:pPr>
              <w:pStyle w:val="Compact"/>
            </w:pPr>
            <w:r>
              <w:t xml:space="preserve">Within 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4</w:t>
            </w:r>
          </w:p>
        </w:tc>
        <w:tc>
          <w:tcPr/>
          <w:p>
            <w:pPr>
              <w:pStyle w:val="Compact"/>
            </w:pPr>
            <w:r>
              <w:t xml:space="preserve">Managing Director</w:t>
            </w:r>
          </w:p>
        </w:tc>
        <w:tc>
          <w:tcPr/>
          <w:p>
            <w:pPr>
              <w:pStyle w:val="Compact"/>
            </w:pPr>
            <w:r>
              <w:t xml:space="preserve">Within 30 minutes</w:t>
            </w:r>
          </w:p>
        </w:tc>
      </w:tr>
    </w:tbl>
    <w:bookmarkEnd w:id="90"/>
    <w:bookmarkStart w:id="91" w:name="performance-metrics"/>
    <w:p>
      <w:pPr>
        <w:pStyle w:val="Heading2"/>
      </w:pPr>
      <w:r>
        <w:t xml:space="preserve">4. PERFORMANCE METRICS</w:t>
      </w:r>
    </w:p>
    <w:p>
      <w:pPr>
        <w:pStyle w:val="Compact"/>
        <w:numPr>
          <w:ilvl w:val="0"/>
          <w:numId w:val="1013"/>
        </w:numPr>
      </w:pPr>
      <w:r>
        <w:t xml:space="preserve">Order accuracy: &gt;98%</w:t>
      </w:r>
    </w:p>
    <w:p>
      <w:pPr>
        <w:pStyle w:val="Compact"/>
        <w:numPr>
          <w:ilvl w:val="0"/>
          <w:numId w:val="1013"/>
        </w:numPr>
      </w:pPr>
      <w:r>
        <w:t xml:space="preserve">On-time delivery: &gt;95%</w:t>
      </w:r>
    </w:p>
    <w:p>
      <w:pPr>
        <w:pStyle w:val="Compact"/>
        <w:numPr>
          <w:ilvl w:val="0"/>
          <w:numId w:val="1013"/>
        </w:numPr>
      </w:pPr>
      <w:r>
        <w:t xml:space="preserve">First-call resolution: &gt;80%</w:t>
      </w:r>
    </w:p>
    <w:p>
      <w:pPr>
        <w:pStyle w:val="Compact"/>
        <w:numPr>
          <w:ilvl w:val="0"/>
          <w:numId w:val="1013"/>
        </w:numPr>
      </w:pPr>
      <w:r>
        <w:t xml:space="preserve">Customer satisfaction: &gt;85%</w:t>
      </w:r>
    </w:p>
    <w:bookmarkEnd w:id="91"/>
    <w:bookmarkStart w:id="95" w:name="service-credits"/>
    <w:p>
      <w:pPr>
        <w:pStyle w:val="Heading2"/>
      </w:pPr>
      <w:r>
        <w:t xml:space="preserve">5. SERVICE CREDITS</w:t>
      </w:r>
    </w:p>
    <w:p>
      <w:pPr>
        <w:pStyle w:val="FirstParagraph"/>
      </w:pPr>
      <w:r>
        <w:t xml:space="preserve">Failure to meet SLAs entitles Circle Tel to service credits:</w:t>
      </w:r>
      <w:r>
        <w:t xml:space="preserve"> </w:t>
      </w:r>
      <w:r>
        <w:t xml:space="preserve">- 5% credit for each day of delayed delivery</w:t>
      </w:r>
      <w:r>
        <w:t xml:space="preserve"> </w:t>
      </w:r>
      <w:r>
        <w:t xml:space="preserve">- 10% credit for critical service failures exceeding resolution targets</w:t>
      </w:r>
      <w:r>
        <w:t xml:space="preserve"> </w:t>
      </w:r>
      <w:r>
        <w:t xml:space="preserve">- Credits applied to next invoice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AGREEMENT</w:t>
      </w:r>
    </w:p>
    <w:p>
      <w:r>
        <w:pict>
          <v:rect style="width:0;height:1.5pt" o:hralign="center" o:hrstd="t" o:hr="t"/>
        </w:pict>
      </w:r>
    </w:p>
    <w:bookmarkStart w:id="92" w:name="document-information"/>
    <w:p>
      <w:pPr>
        <w:pStyle w:val="Heading3"/>
      </w:pPr>
      <w:r>
        <w:t xml:space="preserve">DOCUMENT INFORMATION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Commercial Agreement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Execution Draft</w:t>
      </w:r>
      <w:r>
        <w:br/>
      </w:r>
      <w:r>
        <w:rPr>
          <w:b/>
          <w:bCs/>
        </w:rPr>
        <w:t xml:space="preserve">Date Prepared:</w:t>
      </w:r>
      <w:r>
        <w:t xml:space="preserve"> </w:t>
      </w:r>
      <w:r>
        <w:t xml:space="preserve">23 September 2025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Circle Tel SA Legal Department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For Review and Negotiation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Confidential</w:t>
      </w:r>
    </w:p>
    <w:bookmarkEnd w:id="92"/>
    <w:bookmarkStart w:id="93" w:name="X4f7062a410c1c28a17122cfe85d34653276bdac"/>
    <w:p>
      <w:pPr>
        <w:pStyle w:val="Heading3"/>
      </w:pPr>
      <w:r>
        <w:t xml:space="preserve">REQUIRED INFORMATION FROM ARLAN COMMUNICATIONS:</w:t>
      </w:r>
    </w:p>
    <w:p>
      <w:pPr>
        <w:pStyle w:val="FirstParagraph"/>
      </w:pPr>
      <w:r>
        <w:t xml:space="preserve">To complete this agreement, please provide:</w:t>
      </w:r>
      <w:r>
        <w:t xml:space="preserve"> </w:t>
      </w:r>
      <w:r>
        <w:t xml:space="preserve">1. Company registration number</w:t>
      </w:r>
      <w:r>
        <w:t xml:space="preserve"> </w:t>
      </w:r>
      <w:r>
        <w:t xml:space="preserve">2. VAT registration number</w:t>
      </w:r>
      <w:r>
        <w:t xml:space="preserve"> </w:t>
      </w:r>
      <w:r>
        <w:t xml:space="preserve">3. Registered address</w:t>
      </w:r>
      <w:r>
        <w:t xml:space="preserve"> </w:t>
      </w:r>
      <w:r>
        <w:t xml:space="preserve">4. Physical address for notices</w:t>
      </w:r>
      <w:r>
        <w:t xml:space="preserve"> </w:t>
      </w:r>
      <w:r>
        <w:t xml:space="preserve">5. Email address for official communications</w:t>
      </w:r>
      <w:r>
        <w:t xml:space="preserve"> </w:t>
      </w:r>
      <w:r>
        <w:t xml:space="preserve">6. Authorised signatory details</w:t>
      </w:r>
      <w:r>
        <w:t xml:space="preserve"> </w:t>
      </w:r>
      <w:r>
        <w:t xml:space="preserve">7. Contact person for operational matters</w:t>
      </w:r>
    </w:p>
    <w:bookmarkEnd w:id="93"/>
    <w:bookmarkStart w:id="94" w:name="next-steps"/>
    <w:p>
      <w:pPr>
        <w:pStyle w:val="Heading3"/>
      </w:pPr>
      <w:r>
        <w:t xml:space="preserve">NEXT STEPS:</w:t>
      </w:r>
    </w:p>
    <w:p>
      <w:pPr>
        <w:pStyle w:val="Compact"/>
        <w:numPr>
          <w:ilvl w:val="0"/>
          <w:numId w:val="1014"/>
        </w:numPr>
      </w:pPr>
      <w:r>
        <w:t xml:space="preserve">Arlan Communications to review and provide feedback</w:t>
      </w:r>
    </w:p>
    <w:p>
      <w:pPr>
        <w:pStyle w:val="Compact"/>
        <w:numPr>
          <w:ilvl w:val="0"/>
          <w:numId w:val="1014"/>
        </w:numPr>
      </w:pPr>
      <w:r>
        <w:t xml:space="preserve">Parties to discuss any amendments required</w:t>
      </w:r>
    </w:p>
    <w:p>
      <w:pPr>
        <w:pStyle w:val="Compact"/>
        <w:numPr>
          <w:ilvl w:val="0"/>
          <w:numId w:val="1014"/>
        </w:numPr>
      </w:pPr>
      <w:r>
        <w:t xml:space="preserve">Finalise terms and complete missing information</w:t>
      </w:r>
    </w:p>
    <w:p>
      <w:pPr>
        <w:pStyle w:val="Compact"/>
        <w:numPr>
          <w:ilvl w:val="0"/>
          <w:numId w:val="1014"/>
        </w:numPr>
      </w:pPr>
      <w:r>
        <w:t xml:space="preserve">Legal review by both parties</w:t>
      </w:r>
    </w:p>
    <w:p>
      <w:pPr>
        <w:pStyle w:val="Compact"/>
        <w:numPr>
          <w:ilvl w:val="0"/>
          <w:numId w:val="1014"/>
        </w:numPr>
      </w:pPr>
      <w:r>
        <w:t xml:space="preserve">Execute final agreement</w:t>
      </w:r>
    </w:p>
    <w:p>
      <w:pPr>
        <w:pStyle w:val="FirstParagraph"/>
      </w:pPr>
      <w:r>
        <w:rPr>
          <w:b/>
          <w:bCs/>
        </w:rPr>
        <w:t xml:space="preserve">Contact for queries:</w:t>
      </w:r>
      <w:r>
        <w:br/>
      </w:r>
      <w:r>
        <w:t xml:space="preserve">Jeffrey De Wee</w:t>
      </w:r>
      <w:r>
        <w:br/>
      </w:r>
      <w:r>
        <w:t xml:space="preserve">Managing Director, Circle Tel SA</w:t>
      </w:r>
      <w:r>
        <w:br/>
      </w:r>
      <w:r>
        <w:t xml:space="preserve">Email: jeffrey@circletel.co.za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2025-09-23T07:00:11Z</dcterms:created>
  <dcterms:modified xsi:type="dcterms:W3CDTF">2025-09-23T07:00:11Z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