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5F"/>
        </w:rPr>
        <w:t>PitchForce Feedback – Brightwell Diagnostics</w:t>
      </w:r>
    </w:p>
    <w:p>
      <w:r>
        <w:rPr>
          <w:color w:val="666666"/>
        </w:rPr>
        <w:t>SAMPLE — Synthetic Life Science Virtual PitchForce · September 17, 2026</w:t>
      </w:r>
    </w:p>
    <w:p>
      <w:r>
        <w:rPr>
          <w:b/>
        </w:rPr>
        <w:t>Company:</w:t>
      </w:r>
      <w:r>
        <w:rPr>
          <w:b w:val="0"/>
        </w:rPr>
        <w:t xml:space="preserve"> Brightwell Diagnostics</w:t>
      </w:r>
    </w:p>
    <w:p>
      <w:r>
        <w:rPr>
          <w:b/>
        </w:rPr>
        <w:t>Presenter:</w:t>
      </w:r>
      <w:r>
        <w:rPr>
          <w:b w:val="0"/>
        </w:rPr>
        <w:t xml:space="preserve"> Ana Silva</w:t>
      </w:r>
    </w:p>
    <w:p>
      <w:r>
        <w:rPr>
          <w:b/>
        </w:rPr>
        <w:t>Event:</w:t>
      </w:r>
      <w:r>
        <w:rPr>
          <w:b w:val="0"/>
        </w:rPr>
        <w:t xml:space="preserve"> SAMPLE — Synthetic Life Science Virtual PitchForce</w:t>
      </w:r>
    </w:p>
    <w:p>
      <w:r>
        <w:rPr>
          <w:b/>
        </w:rPr>
        <w:t>Date:</w:t>
      </w:r>
      <w:r>
        <w:rPr>
          <w:b w:val="0"/>
        </w:rPr>
        <w:t xml:space="preserve"> September 17, 2026</w:t>
      </w:r>
    </w:p>
    <w:p>
      <w:r>
        <w:rPr>
          <w:b/>
        </w:rPr>
        <w:t>SAMPLE REPORT — synthetic data for demonstration only.</w:t>
      </w:r>
    </w:p>
    <w:p>
      <w:pPr>
        <w:pStyle w:val="Heading1"/>
      </w:pPr>
      <w:r>
        <w:rPr>
          <w:color w:val="1F4E5F"/>
        </w:rPr>
        <w:t>Result and score</w:t>
      </w:r>
    </w:p>
    <w:p>
      <w:r>
        <w:rPr>
          <w:b/>
        </w:rPr>
        <w:t>Total score: 18 / 30</w:t>
      </w:r>
      <w:r>
        <w:rPr>
          <w:b w:val="0"/>
        </w:rPr>
        <w:t xml:space="preserve"> — 5 judges scored (sum 15). 1 judge was absent; under the event's scoring rule the average of the submitted scores (3) was added for that seat.</w:t>
      </w:r>
    </w:p>
    <w:p>
      <w:pPr>
        <w:pStyle w:val="Heading1"/>
      </w:pPr>
      <w:r>
        <w:rPr>
          <w:color w:val="1F4E5F"/>
        </w:rPr>
        <w:t>Overall assessment</w:t>
      </w:r>
    </w:p>
    <w:p>
      <w:r>
        <w:rPr>
          <w:b w:val="0"/>
        </w:rPr>
        <w:t>Ana Silva presented Brightwell Diagnostics in a pitch of about 4m 43s, followed by 3 investor questions and feedback from 5 panelists. The panel's comments centered on slide design and density, timeline and use of funds and market and go-to-market. 1 question was left partly open, which gives you a natural reason to follow up with a clear written answer. Statements in the pitch about regulatory status, results, IP, funding, or projections are reported here as your claims; investors will expect documentation for each.</w:t>
      </w:r>
    </w:p>
    <w:p>
      <w:r>
        <w:rPr>
          <w:b w:val="0"/>
        </w:rPr>
        <w:t>In the event poll, 3 people responded: 1 respondent chose “interested in investing”; 2 respondents chose “wants a meeting”; 1 respondent chose “needs more information”; 1 respondent chose “offers an introduction”; 1 said they were not interested. Investor and audience follow-up details are in the attached spreadsheet.</w:t>
      </w:r>
    </w:p>
    <w:p>
      <w:pPr>
        <w:pStyle w:val="Heading1"/>
      </w:pPr>
      <w:r>
        <w:rPr>
          <w:color w:val="1F4E5F"/>
        </w:rPr>
        <w:t>What worked</w:t>
      </w:r>
    </w:p>
    <w:p>
      <w:pPr>
        <w:pStyle w:val="ListBullet"/>
      </w:pPr>
      <w:r>
        <w:rPr>
          <w:b/>
        </w:rPr>
        <w:t>Jordan Avery</w:t>
      </w:r>
      <w:r>
        <w:rPr>
          <w:b w:val="0"/>
        </w:rPr>
        <w:t xml:space="preserve"> (15:08:06): I love the problem and the speed of the test is compelling.</w:t>
      </w:r>
    </w:p>
    <w:p>
      <w:pPr>
        <w:pStyle w:val="ListBullet"/>
      </w:pPr>
      <w:r>
        <w:rPr>
          <w:b/>
        </w:rPr>
        <w:t>Priya Nair</w:t>
      </w:r>
      <w:r>
        <w:rPr>
          <w:b w:val="0"/>
        </w:rPr>
        <w:t xml:space="preserve"> (15:08:28): The opening update was strong.</w:t>
      </w:r>
    </w:p>
    <w:p>
      <w:pPr>
        <w:pStyle w:val="ListBullet"/>
      </w:pPr>
      <w:r>
        <w:rPr>
          <w:b/>
        </w:rPr>
        <w:t>Lena Ortiz</w:t>
      </w:r>
      <w:r>
        <w:rPr>
          <w:b w:val="0"/>
        </w:rPr>
        <w:t xml:space="preserve"> (15:08:56): Clear presentation.</w:t>
      </w:r>
    </w:p>
    <w:p>
      <w:pPr>
        <w:pStyle w:val="Heading1"/>
      </w:pPr>
      <w:r>
        <w:rPr>
          <w:color w:val="1F4E5F"/>
        </w:rPr>
        <w:t>Key investor questions and open points</w:t>
      </w:r>
    </w:p>
    <w:p>
      <w:pPr>
        <w:pStyle w:val="ListBullet"/>
      </w:pPr>
      <w:r>
        <w:rPr>
          <w:b/>
        </w:rPr>
        <w:t>How many patients do you need in the pivotal study? / What does it cost?</w:t>
      </w:r>
      <w:r>
        <w:rPr>
          <w:b w:val="0"/>
        </w:rPr>
        <w:t xml:space="preserve"> — Priya Nair, 15:06:20. Answered: “About four hundred patients across three sites, and we estimate about one point eight million of the raise goes to the study.”</w:t>
      </w:r>
    </w:p>
    <w:p>
      <w:pPr>
        <w:pStyle w:val="ListBullet"/>
      </w:pPr>
      <w:r>
        <w:rPr>
          <w:b/>
        </w:rPr>
        <w:t>Who pays for the test, the hospital? / Is there a reimbursement code?</w:t>
      </w:r>
      <w:r>
        <w:rPr>
          <w:b w:val="0"/>
        </w:rPr>
        <w:t xml:space="preserve"> — Tom Becker, 15:06:57. Partly answered: “The hospital pays per cartridge.” Open point: The presenter indicated this is not yet settled (“still evaluating”).</w:t>
      </w:r>
    </w:p>
    <w:p>
      <w:pPr>
        <w:pStyle w:val="ListBullet"/>
      </w:pPr>
      <w:r>
        <w:rPr>
          <w:b/>
        </w:rPr>
        <w:t>What price per cartridge are you assuming?</w:t>
      </w:r>
      <w:r>
        <w:rPr>
          <w:b w:val="0"/>
        </w:rPr>
        <w:t xml:space="preserve"> — Tom Becker, 15:07:32. Answered: “Around ninety dollars per test, which is in line with existing sepsis panels.”</w:t>
      </w:r>
    </w:p>
    <w:p>
      <w:pPr>
        <w:pStyle w:val="Heading1"/>
      </w:pPr>
      <w:r>
        <w:rPr>
          <w:color w:val="1F4E5F"/>
        </w:rPr>
        <w:t>Top three improvement priorities</w:t>
      </w:r>
    </w:p>
    <w:p>
      <w:pPr>
        <w:pStyle w:val="Heading2"/>
      </w:pPr>
      <w:r>
        <w:rPr>
          <w:b w:val="0"/>
        </w:rPr>
        <w:t>1. Slide design and density</w:t>
      </w:r>
    </w:p>
    <w:p>
      <w:r>
        <w:rPr>
          <w:b/>
        </w:rPr>
        <w:t>What came up:</w:t>
      </w:r>
      <w:r>
        <w:rPr>
          <w:b w:val="0"/>
        </w:rPr>
        <w:t xml:space="preserve"> Jordan Avery — “You should tighten the market slide and lead with the clinical outcome” (panel comment; the deck itself was not reviewed by this report).</w:t>
      </w:r>
    </w:p>
    <w:p>
      <w:r>
        <w:rPr>
          <w:b/>
        </w:rPr>
        <w:t>Why it matters to investors:</w:t>
      </w:r>
      <w:r>
        <w:rPr>
          <w:b w:val="0"/>
        </w:rPr>
        <w:t xml:space="preserve"> Dense slides compete with you for attention; panelists skim instead of listening.</w:t>
      </w:r>
    </w:p>
    <w:p>
      <w:r>
        <w:rPr>
          <w:b/>
        </w:rPr>
        <w:t>What to change:</w:t>
      </w:r>
      <w:r>
        <w:rPr>
          <w:b w:val="0"/>
        </w:rPr>
        <w:t xml:space="preserve"> Cut each slide to one message, with fewer words and larger visuals; move detail to an appendix.</w:t>
      </w:r>
    </w:p>
    <w:p>
      <w:r>
        <w:rPr>
          <w:b/>
        </w:rPr>
        <w:t>A stronger version:</w:t>
      </w:r>
      <w:r>
        <w:rPr>
          <w:b w:val="0"/>
        </w:rPr>
        <w:t xml:space="preserve"> Slides a non-specialist can read in five seconds each, supporting what you say rather than repeating it.</w:t>
      </w:r>
    </w:p>
    <w:p>
      <w:r>
        <w:rPr>
          <w:b/>
        </w:rPr>
        <w:t>Evidence:</w:t>
      </w:r>
      <w:r>
        <w:rPr>
          <w:b w:val="0"/>
        </w:rPr>
        <w:t xml:space="preserve"> 15:08:06 (event clock)</w:t>
      </w:r>
    </w:p>
    <w:p>
      <w:pPr>
        <w:pStyle w:val="Heading2"/>
      </w:pPr>
      <w:r>
        <w:rPr>
          <w:b w:val="0"/>
        </w:rPr>
        <w:t>2. Timeline and use of funds</w:t>
      </w:r>
    </w:p>
    <w:p>
      <w:r>
        <w:rPr>
          <w:b/>
        </w:rPr>
        <w:t>What came up:</w:t>
      </w:r>
      <w:r>
        <w:rPr>
          <w:b w:val="0"/>
        </w:rPr>
        <w:t xml:space="preserve"> Priya Nair — “I would suggest showing the study timeline next to the spending so we can see how capital converts to milestones”.</w:t>
      </w:r>
    </w:p>
    <w:p>
      <w:r>
        <w:rPr>
          <w:b/>
        </w:rPr>
        <w:t>Why it matters to investors:</w:t>
      </w:r>
      <w:r>
        <w:rPr>
          <w:b w:val="0"/>
        </w:rPr>
        <w:t xml:space="preserve"> Investors fund milestones, not activities. Seeing what each tranche of capital buys, and when, is how they judge whether the raise is sized correctly.</w:t>
      </w:r>
    </w:p>
    <w:p>
      <w:r>
        <w:rPr>
          <w:b/>
        </w:rPr>
        <w:t>What to change:</w:t>
      </w:r>
      <w:r>
        <w:rPr>
          <w:b w:val="0"/>
        </w:rPr>
        <w:t xml:space="preserve"> Put the milestone timeline and the spending plan on one slide, so each milestone shows its cost and date.</w:t>
      </w:r>
    </w:p>
    <w:p>
      <w:r>
        <w:rPr>
          <w:b/>
        </w:rPr>
        <w:t>A stronger version:</w:t>
      </w:r>
      <w:r>
        <w:rPr>
          <w:b w:val="0"/>
        </w:rPr>
        <w:t xml:space="preserve"> A one-page plan: “$X funds A by month 6, B by month 12; that de-risks C for the next round.”</w:t>
      </w:r>
    </w:p>
    <w:p>
      <w:r>
        <w:rPr>
          <w:b/>
        </w:rPr>
        <w:t>Evidence:</w:t>
      </w:r>
      <w:r>
        <w:rPr>
          <w:b w:val="0"/>
        </w:rPr>
        <w:t xml:space="preserve"> 15:08:28 (event clock)</w:t>
      </w:r>
    </w:p>
    <w:p>
      <w:pPr>
        <w:pStyle w:val="Heading2"/>
      </w:pPr>
      <w:r>
        <w:rPr>
          <w:b w:val="0"/>
        </w:rPr>
        <w:t>3. Market and go-to-market</w:t>
      </w:r>
    </w:p>
    <w:p>
      <w:r>
        <w:rPr>
          <w:b/>
        </w:rPr>
        <w:t>What came up:</w:t>
      </w:r>
      <w:r>
        <w:rPr>
          <w:b w:val="0"/>
        </w:rPr>
        <w:t xml:space="preserve"> Lena Ortiz — “Make sure the reimbursement path is explained, because that will decide adoption”.</w:t>
      </w:r>
    </w:p>
    <w:p>
      <w:r>
        <w:rPr>
          <w:b/>
        </w:rPr>
        <w:t>Why it matters to investors:</w:t>
      </w:r>
      <w:r>
        <w:rPr>
          <w:b w:val="0"/>
        </w:rPr>
        <w:t xml:space="preserve"> Investors need to believe a specific customer will buy, at a price that supports the business.</w:t>
      </w:r>
    </w:p>
    <w:p>
      <w:r>
        <w:rPr>
          <w:b/>
        </w:rPr>
        <w:t>What to change:</w:t>
      </w:r>
      <w:r>
        <w:rPr>
          <w:b w:val="0"/>
        </w:rPr>
        <w:t xml:space="preserve"> Name the first customer segment, the buyer, and the price point, with one proof point.</w:t>
      </w:r>
    </w:p>
    <w:p>
      <w:r>
        <w:rPr>
          <w:b/>
        </w:rPr>
        <w:t>A stronger version:</w:t>
      </w:r>
      <w:r>
        <w:rPr>
          <w:b w:val="0"/>
        </w:rPr>
        <w:t xml:space="preserve"> A bottom-up market slide grounded in real customer conversations.</w:t>
      </w:r>
    </w:p>
    <w:p>
      <w:r>
        <w:rPr>
          <w:b/>
        </w:rPr>
        <w:t>Evidence:</w:t>
      </w:r>
      <w:r>
        <w:rPr>
          <w:b w:val="0"/>
        </w:rPr>
        <w:t xml:space="preserve"> 15:08:56 (event clock)</w:t>
      </w:r>
    </w:p>
    <w:p>
      <w:pPr>
        <w:pStyle w:val="Heading1"/>
      </w:pPr>
      <w:r>
        <w:rPr>
          <w:color w:val="1F4E5F"/>
        </w:rPr>
        <w:t>Best practices for your follow-up</w:t>
      </w:r>
    </w:p>
    <w:p>
      <w:r>
        <w:rPr>
          <w:b w:val="0"/>
        </w:rPr>
        <w:t>A few practices from EcoVG's presenting-company guidance that apply to your follow-up:</w:t>
      </w:r>
    </w:p>
    <w:p>
      <w:pPr>
        <w:pStyle w:val="ListBullet"/>
      </w:pPr>
      <w:r>
        <w:rPr>
          <w:b w:val="0"/>
        </w:rPr>
        <w:t>Keep the pitch clear, concise, and understandable to non-specialists.</w:t>
      </w:r>
    </w:p>
    <w:p>
      <w:pPr>
        <w:pStyle w:val="ListBullet"/>
      </w:pPr>
      <w:r>
        <w:rPr>
          <w:b w:val="0"/>
        </w:rPr>
        <w:t>After a virtual event, suggest a short follow-up video call rather than an in-person meeting.</w:t>
      </w:r>
    </w:p>
    <w:p>
      <w:pPr>
        <w:pStyle w:val="ListBullet"/>
      </w:pPr>
      <w:r>
        <w:rPr>
          <w:b w:val="0"/>
        </w:rPr>
        <w:t>Use each expression of interest to set a specific next step, such as a scheduled call.</w:t>
      </w:r>
    </w:p>
    <w:p>
      <w:pPr>
        <w:pStyle w:val="ListBullet"/>
      </w:pPr>
      <w:r>
        <w:rPr>
          <w:b w:val="0"/>
        </w:rPr>
        <w:t>Send requested information promptly.</w:t>
      </w:r>
    </w:p>
    <w:p>
      <w:pPr>
        <w:pStyle w:val="ListBullet"/>
      </w:pPr>
      <w:r>
        <w:rPr>
          <w:b w:val="0"/>
        </w:rPr>
        <w:t>You own your investor relationships and follow-up. EcoVG facilitates events, introductions, and feedback, but does not guarantee responses, meetings, or investments.</w:t>
      </w:r>
    </w:p>
    <w:p>
      <w:pPr>
        <w:pStyle w:val="Heading1"/>
      </w:pPr>
      <w:r>
        <w:rPr>
          <w:color w:val="1F4E5F"/>
        </w:rPr>
        <w:t>Replay</w:t>
      </w:r>
    </w:p>
    <w:p>
      <w:r>
        <w:rPr>
          <w:b w:val="0"/>
        </w:rPr>
        <w:t>A video clip of your session is not available for this report.</w:t>
      </w:r>
    </w:p>
    <w:p>
      <w:pPr>
        <w:pStyle w:val="Heading1"/>
      </w:pPr>
      <w:r>
        <w:rPr>
          <w:color w:val="1F4E5F"/>
        </w:rPr>
        <w:t>Upcoming EcoVG learning opportunities</w:t>
      </w:r>
    </w:p>
    <w:p>
      <w:r>
        <w:rPr>
          <w:b w:val="0"/>
        </w:rPr>
        <w:t xml:space="preserve">We did not find an upcoming EcoVG session closely related to your feedback when this report was prepared. See the official calendar for new sessions: </w:t>
      </w:r>
      <w:hyperlink r:id="rId9">
        <w:r>
          <w:rPr>
            <w:color w:val="1F4E5F"/>
            <w:u w:val="single"/>
          </w:rPr>
          <w:t xml:space="preserve">https://events.ecovg.com/events</w:t>
        </w:r>
      </w:hyperlink>
    </w:p>
    <w:p>
      <w:pPr>
        <w:pStyle w:val="Heading1"/>
      </w:pPr>
      <w:r>
        <w:rPr>
          <w:color w:val="1F4E5F"/>
        </w:rPr>
        <w:t>Optional advisory support</w:t>
      </w:r>
    </w:p>
    <w:p>
      <w:r>
        <w:rPr>
          <w:b w:val="0"/>
        </w:rPr>
        <w:t xml:space="preserve">If you would like hands-on support turning this feedback into a clearer pitch and a funding plan investors can underwrite, EcoVG offers paid advisory services (Investor Presentation Strategy and Capitalization &amp; Capital Planning): </w:t>
      </w:r>
      <w:hyperlink r:id="rId10">
        <w:r>
          <w:rPr>
            <w:color w:val="1F4E5F"/>
            <w:u w:val="single"/>
          </w:rPr>
          <w:t xml:space="preserve">https://ecovg.com/entrepreneur-services/</w:t>
        </w:r>
      </w:hyperlink>
      <w:r>
        <w:rPr>
          <w:b w:val="0"/>
        </w:rPr>
        <w:t>. This is optional and separate from PitchForce judging; it does not affect scores, introductions, or funding outcomes.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SAMPLE – synthetic data. Confidential – prepared for Brightwell Diagnostics by EcoVG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vents.ecovg.com/events" TargetMode="External"/><Relationship Id="rId10" Type="http://schemas.openxmlformats.org/officeDocument/2006/relationships/hyperlink" Target="https://ecovg.com/entrepreneur-services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PitchForce Feedback – Brightwell Diagnostics</dc:title>
  <dc:subject>SAMPLE — Synthetic Life Science Virtual PitchForce · September 17, 2026</dc:subject>
  <dc:creator>EcoVG PitchForce</dc:creator>
  <cp:keywords/>
  <dc:description>generated by python-docx</dc:description>
  <cp:lastModifiedBy/>
  <cp:revision>1</cp:revision>
  <dcterms:created xsi:type="dcterms:W3CDTF">2026-10-19T21:09:48Z</dcterms:created>
  <dcterms:modified xsi:type="dcterms:W3CDTF">2013-12-23T23:15:00Z</dcterms:modified>
  <cp:category/>
</cp:coreProperties>
</file>