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5F"/>
        </w:rPr>
        <w:t>PitchForce Feedback – Hemaflow Bio</w:t>
      </w:r>
    </w:p>
    <w:p>
      <w:r>
        <w:rPr>
          <w:color w:val="666666"/>
        </w:rPr>
        <w:t>SAMPLE — Synthetic Life Science Virtual PitchForce · September 17, 2026</w:t>
      </w:r>
    </w:p>
    <w:p>
      <w:r>
        <w:rPr>
          <w:b/>
        </w:rPr>
        <w:t>Company:</w:t>
      </w:r>
      <w:r>
        <w:rPr>
          <w:b w:val="0"/>
        </w:rPr>
        <w:t xml:space="preserve"> Hemaflow Bio</w:t>
      </w:r>
    </w:p>
    <w:p>
      <w:r>
        <w:rPr>
          <w:b/>
        </w:rPr>
        <w:t>Presenter:</w:t>
      </w:r>
      <w:r>
        <w:rPr>
          <w:b w:val="0"/>
        </w:rPr>
        <w:t xml:space="preserve"> Dana Okafor</w:t>
      </w:r>
    </w:p>
    <w:p>
      <w:r>
        <w:rPr>
          <w:b/>
        </w:rPr>
        <w:t>Event:</w:t>
      </w:r>
      <w:r>
        <w:rPr>
          <w:b w:val="0"/>
        </w:rPr>
        <w:t xml:space="preserve"> SAMPLE — Synthetic Life Science Virtual PitchForce</w:t>
      </w:r>
    </w:p>
    <w:p>
      <w:r>
        <w:rPr>
          <w:b/>
        </w:rPr>
        <w:t>Date:</w:t>
      </w:r>
      <w:r>
        <w:rPr>
          <w:b w:val="0"/>
        </w:rPr>
        <w:t xml:space="preserve"> September 17, 2026</w:t>
      </w:r>
    </w:p>
    <w:p>
      <w:r>
        <w:rPr>
          <w:b/>
        </w:rPr>
        <w:t>SAMPLE REPORT — synthetic data for demonstration only.</w:t>
      </w:r>
    </w:p>
    <w:p>
      <w:pPr>
        <w:pStyle w:val="Heading1"/>
      </w:pPr>
      <w:r>
        <w:rPr>
          <w:color w:val="1F4E5F"/>
        </w:rPr>
        <w:t>Result and score</w:t>
      </w:r>
    </w:p>
    <w:p>
      <w:r>
        <w:rPr>
          <w:b/>
        </w:rPr>
        <w:t>Announced total: 21 / 30</w:t>
      </w:r>
      <w:r>
        <w:rPr>
          <w:b w:val="0"/>
        </w:rPr>
        <w:t xml:space="preserve"> — as announced at the event. Individual judge scores were not provided, so this total has not been independently recalculated.</w:t>
      </w:r>
    </w:p>
    <w:p>
      <w:pPr>
        <w:pStyle w:val="Heading1"/>
      </w:pPr>
      <w:r>
        <w:rPr>
          <w:color w:val="1F4E5F"/>
        </w:rPr>
        <w:t>Overall assessment</w:t>
      </w:r>
    </w:p>
    <w:p>
      <w:r>
        <w:rPr>
          <w:b w:val="0"/>
        </w:rPr>
        <w:t>Dana Okafor presented Hemaflow Bio in a pitch of about 2m 24s, followed by 3 investor questions and feedback from 5 panelists. The panel's comments centered on timeline and use of funds, answer length and directness and IP and competitive protection.</w:t>
      </w:r>
    </w:p>
    <w:p>
      <w:r>
        <w:rPr>
          <w:b w:val="0"/>
        </w:rPr>
        <w:t>In the event poll, 5 people responded: 1 respondent chose “needs more information”; 4 said they were not interested. No respondent selected investment interest; information requests are not investment commitments. Investor and audience follow-up details are in the attached spreadsheet.</w:t>
      </w:r>
    </w:p>
    <w:p>
      <w:pPr>
        <w:pStyle w:val="Heading1"/>
      </w:pPr>
      <w:r>
        <w:rPr>
          <w:color w:val="1F4E5F"/>
        </w:rPr>
        <w:t>What worked</w:t>
      </w:r>
    </w:p>
    <w:p>
      <w:r>
        <w:rPr>
          <w:b w:val="0"/>
        </w:rPr>
        <w:t>The panel's recorded comments focused on improvements; no specific strengths were called out in the transcript.</w:t>
      </w:r>
    </w:p>
    <w:p>
      <w:pPr>
        <w:pStyle w:val="Heading1"/>
      </w:pPr>
      <w:r>
        <w:rPr>
          <w:color w:val="1F4E5F"/>
        </w:rPr>
        <w:t>Key investor questions and open points</w:t>
      </w:r>
    </w:p>
    <w:p>
      <w:pPr>
        <w:pStyle w:val="ListBullet"/>
      </w:pPr>
      <w:r>
        <w:rPr>
          <w:b/>
        </w:rPr>
        <w:t>Where are you in development? / What is the status of the federal submission?</w:t>
      </w:r>
      <w:r>
        <w:rPr>
          <w:b w:val="0"/>
        </w:rPr>
        <w:t xml:space="preserve"> — Jordan Avery, 15:39:10. Answered: “We finished formulation and the submission is under review; we expect a decision this winter.”</w:t>
      </w:r>
    </w:p>
    <w:p>
      <w:pPr>
        <w:pStyle w:val="ListBullet"/>
      </w:pPr>
      <w:r>
        <w:rPr>
          <w:b/>
        </w:rPr>
        <w:t>Which animal model will the regulator accept? / Do you have access to it? / Who are your competitors?</w:t>
      </w:r>
      <w:r>
        <w:rPr>
          <w:b w:val="0"/>
        </w:rPr>
        <w:t xml:space="preserve"> — Lena Ortiz, 15:39:40. Answered: “We're planning a swine model with a contract research organization, and the two main competitors are academic programs.”</w:t>
      </w:r>
    </w:p>
    <w:p>
      <w:pPr>
        <w:pStyle w:val="ListBullet"/>
      </w:pPr>
      <w:r>
        <w:rPr>
          <w:b/>
        </w:rPr>
        <w:t>When does the animal study start and finish?</w:t>
      </w:r>
      <w:r>
        <w:rPr>
          <w:b w:val="0"/>
        </w:rPr>
        <w:t xml:space="preserve"> — Priya Nair, 15:40:14. Answered: “It starts next quarter and runs about six months.”</w:t>
      </w:r>
    </w:p>
    <w:p>
      <w:pPr>
        <w:pStyle w:val="Heading1"/>
      </w:pPr>
      <w:r>
        <w:rPr>
          <w:color w:val="1F4E5F"/>
        </w:rPr>
        <w:t>Top three improvement priorities</w:t>
      </w:r>
    </w:p>
    <w:p>
      <w:pPr>
        <w:pStyle w:val="Heading2"/>
      </w:pPr>
      <w:r>
        <w:rPr>
          <w:b w:val="0"/>
        </w:rPr>
        <w:t>1. Timeline and use of funds</w:t>
      </w:r>
    </w:p>
    <w:p>
      <w:r>
        <w:rPr>
          <w:b/>
        </w:rPr>
        <w:t>What came up:</w:t>
      </w:r>
      <w:r>
        <w:rPr>
          <w:b w:val="0"/>
        </w:rPr>
        <w:t xml:space="preserve"> Priya Nair — “Connect the animal study timeline to your spending so we can see what the five million buys”.</w:t>
      </w:r>
    </w:p>
    <w:p>
      <w:r>
        <w:rPr>
          <w:b/>
        </w:rPr>
        <w:t>Why it matters to investors:</w:t>
      </w:r>
      <w:r>
        <w:rPr>
          <w:b w:val="0"/>
        </w:rPr>
        <w:t xml:space="preserve"> Investors fund milestones, not activities. Seeing what each tranche of capital buys, and when, is how they judge whether the raise is sized correctly.</w:t>
      </w:r>
    </w:p>
    <w:p>
      <w:r>
        <w:rPr>
          <w:b/>
        </w:rPr>
        <w:t>What to change:</w:t>
      </w:r>
      <w:r>
        <w:rPr>
          <w:b w:val="0"/>
        </w:rPr>
        <w:t xml:space="preserve"> Put the milestone timeline and the spending plan on one slide, so each milestone shows its cost and date.</w:t>
      </w:r>
    </w:p>
    <w:p>
      <w:r>
        <w:rPr>
          <w:b/>
        </w:rPr>
        <w:t>A stronger version:</w:t>
      </w:r>
      <w:r>
        <w:rPr>
          <w:b w:val="0"/>
        </w:rPr>
        <w:t xml:space="preserve"> A one-page plan: “$X funds A by month 6, B by month 12; that de-risks C for the next round.”</w:t>
      </w:r>
    </w:p>
    <w:p>
      <w:r>
        <w:rPr>
          <w:b/>
        </w:rPr>
        <w:t>Evidence:</w:t>
      </w:r>
      <w:r>
        <w:rPr>
          <w:b w:val="0"/>
        </w:rPr>
        <w:t xml:space="preserve"> 15:40:42 (event clock)</w:t>
      </w:r>
    </w:p>
    <w:p>
      <w:pPr>
        <w:pStyle w:val="Heading2"/>
      </w:pPr>
      <w:r>
        <w:rPr>
          <w:b w:val="0"/>
        </w:rPr>
        <w:t>2. Answer length and directness</w:t>
      </w:r>
    </w:p>
    <w:p>
      <w:r>
        <w:rPr>
          <w:b/>
        </w:rPr>
        <w:t>What came up:</w:t>
      </w:r>
      <w:r>
        <w:rPr>
          <w:b w:val="0"/>
        </w:rPr>
        <w:t xml:space="preserve"> Jordan Avery — “Shorten your answers; lead with the direct answer and stop”.</w:t>
      </w:r>
    </w:p>
    <w:p>
      <w:r>
        <w:rPr>
          <w:b/>
        </w:rPr>
        <w:t>Why it matters to investors:</w:t>
      </w:r>
      <w:r>
        <w:rPr>
          <w:b w:val="0"/>
        </w:rPr>
        <w:t xml:space="preserve"> Q&amp;A time is short. Long answers crowd out other questions and can read as uncertainty, even when the content is strong.</w:t>
      </w:r>
    </w:p>
    <w:p>
      <w:r>
        <w:rPr>
          <w:b/>
        </w:rPr>
        <w:t>What to change:</w:t>
      </w:r>
      <w:r>
        <w:rPr>
          <w:b w:val="0"/>
        </w:rPr>
        <w:t xml:space="preserve"> Lead every answer with a one-sentence direct answer, add one supporting fact, then stop and invite a follow-up.</w:t>
      </w:r>
    </w:p>
    <w:p>
      <w:r>
        <w:rPr>
          <w:b/>
        </w:rPr>
        <w:t>A stronger version:</w:t>
      </w:r>
      <w:r>
        <w:rPr>
          <w:b w:val="0"/>
        </w:rPr>
        <w:t xml:space="preserve"> A 20–30 second answer that addresses the question asked, followed by an offer to go deeper.</w:t>
      </w:r>
    </w:p>
    <w:p>
      <w:r>
        <w:rPr>
          <w:b/>
        </w:rPr>
        <w:t>Evidence:</w:t>
      </w:r>
      <w:r>
        <w:rPr>
          <w:b w:val="0"/>
        </w:rPr>
        <w:t xml:space="preserve"> 15:40:57 (event clock)</w:t>
      </w:r>
    </w:p>
    <w:p>
      <w:pPr>
        <w:pStyle w:val="Heading2"/>
      </w:pPr>
      <w:r>
        <w:rPr>
          <w:b w:val="0"/>
        </w:rPr>
        <w:t>3. IP and competitive protection</w:t>
      </w:r>
    </w:p>
    <w:p>
      <w:r>
        <w:rPr>
          <w:b/>
        </w:rPr>
        <w:t>What came up:</w:t>
      </w:r>
      <w:r>
        <w:rPr>
          <w:b w:val="0"/>
        </w:rPr>
        <w:t xml:space="preserve"> Sam Kowalski — “You should clarify your IP and competitive protection, and the timelines to get there”.</w:t>
      </w:r>
    </w:p>
    <w:p>
      <w:r>
        <w:rPr>
          <w:b/>
        </w:rPr>
        <w:t>Why it matters to investors:</w:t>
      </w:r>
      <w:r>
        <w:rPr>
          <w:b w:val="0"/>
        </w:rPr>
        <w:t xml:space="preserve"> Defensibility determines whether early progress turns into lasting value; investors need to see what stops a better-funded competitor.</w:t>
      </w:r>
    </w:p>
    <w:p>
      <w:r>
        <w:rPr>
          <w:b/>
        </w:rPr>
        <w:t>What to change:</w:t>
      </w:r>
      <w:r>
        <w:rPr>
          <w:b w:val="0"/>
        </w:rPr>
        <w:t xml:space="preserve"> State what is protected (issued/pending, scope) and what else makes you hard to copy, then name the realistic competitors.</w:t>
      </w:r>
    </w:p>
    <w:p>
      <w:r>
        <w:rPr>
          <w:b/>
        </w:rPr>
        <w:t>A stronger version:</w:t>
      </w:r>
      <w:r>
        <w:rPr>
          <w:b w:val="0"/>
        </w:rPr>
        <w:t xml:space="preserve"> One slide: protection, defensibility beyond patents, and a competitor comparison on the dimensions that matter to buyers.</w:t>
      </w:r>
    </w:p>
    <w:p>
      <w:r>
        <w:rPr>
          <w:b/>
        </w:rPr>
        <w:t>Evidence:</w:t>
      </w:r>
      <w:r>
        <w:rPr>
          <w:b w:val="0"/>
        </w:rPr>
        <w:t xml:space="preserve"> 15:41:09 (event clock)</w:t>
      </w:r>
    </w:p>
    <w:p>
      <w:pPr>
        <w:pStyle w:val="Heading1"/>
      </w:pPr>
      <w:r>
        <w:rPr>
          <w:color w:val="1F4E5F"/>
        </w:rPr>
        <w:t>Best practices for your follow-up</w:t>
      </w:r>
    </w:p>
    <w:p>
      <w:r>
        <w:rPr>
          <w:b w:val="0"/>
        </w:rPr>
        <w:t>A few practices from EcoVG's presenting-company guidance that apply to your follow-up:</w:t>
      </w:r>
    </w:p>
    <w:p>
      <w:pPr>
        <w:pStyle w:val="ListBullet"/>
      </w:pPr>
      <w:r>
        <w:rPr>
          <w:b w:val="0"/>
        </w:rPr>
        <w:t>Keep the pitch clear, concise, and understandable to non-specialists.</w:t>
      </w:r>
    </w:p>
    <w:p>
      <w:pPr>
        <w:pStyle w:val="ListBullet"/>
      </w:pPr>
      <w:r>
        <w:rPr>
          <w:b w:val="0"/>
        </w:rPr>
        <w:t>Answer questions directly and briefly; lead with the answer, then stop.</w:t>
      </w:r>
    </w:p>
    <w:p>
      <w:pPr>
        <w:pStyle w:val="ListBullet"/>
      </w:pPr>
      <w:r>
        <w:rPr>
          <w:b w:val="0"/>
        </w:rPr>
        <w:t>After a virtual event, suggest a short follow-up video call rather than an in-person meeting.</w:t>
      </w:r>
    </w:p>
    <w:p>
      <w:pPr>
        <w:pStyle w:val="ListBullet"/>
      </w:pPr>
      <w:r>
        <w:rPr>
          <w:b w:val="0"/>
        </w:rPr>
        <w:t>Use each expression of interest to set a specific next step, such as a scheduled call.</w:t>
      </w:r>
    </w:p>
    <w:p>
      <w:pPr>
        <w:pStyle w:val="ListBullet"/>
      </w:pPr>
      <w:r>
        <w:rPr>
          <w:b w:val="0"/>
        </w:rPr>
        <w:t>You own your investor relationships and follow-up. EcoVG facilitates events, introductions, and feedback, but does not guarantee responses, meetings, or investments.</w:t>
      </w:r>
    </w:p>
    <w:p>
      <w:pPr>
        <w:pStyle w:val="Heading1"/>
      </w:pPr>
      <w:r>
        <w:rPr>
          <w:color w:val="1F4E5F"/>
        </w:rPr>
        <w:t>Replay</w:t>
      </w:r>
    </w:p>
    <w:p>
      <w:r>
        <w:rPr>
          <w:b w:val="0"/>
        </w:rPr>
        <w:t>A video clip of your session is not available for this report.</w:t>
      </w:r>
    </w:p>
    <w:p>
      <w:pPr>
        <w:pStyle w:val="Heading1"/>
      </w:pPr>
      <w:r>
        <w:rPr>
          <w:color w:val="1F4E5F"/>
        </w:rPr>
        <w:t>Upcoming EcoVG learning opportunities</w:t>
      </w:r>
    </w:p>
    <w:p>
      <w:r>
        <w:rPr>
          <w:b w:val="0"/>
        </w:rPr>
        <w:t xml:space="preserve">We did not find an upcoming EcoVG session closely related to your feedback when this report was prepared. See the official calendar for new sessions: </w:t>
      </w:r>
      <w:hyperlink r:id="rId9">
        <w:r>
          <w:rPr>
            <w:color w:val="1F4E5F"/>
            <w:u w:val="single"/>
          </w:rPr>
          <w:t xml:space="preserve">https://events.ecovg.com/events</w:t>
        </w:r>
      </w:hyperlink>
    </w:p>
    <w:p>
      <w:pPr>
        <w:pStyle w:val="Heading1"/>
      </w:pPr>
      <w:r>
        <w:rPr>
          <w:color w:val="1F4E5F"/>
        </w:rPr>
        <w:t>Optional advisory support</w:t>
      </w:r>
    </w:p>
    <w:p>
      <w:r>
        <w:rPr>
          <w:b w:val="0"/>
        </w:rPr>
        <w:t xml:space="preserve">If you would like hands-on support turning this feedback into a clearer pitch and a funding plan investors can underwrite, EcoVG offers paid advisory services (Investor Presentation Strategy and Capitalization &amp; Capital Planning): </w:t>
      </w:r>
      <w:hyperlink r:id="rId10">
        <w:r>
          <w:rPr>
            <w:color w:val="1F4E5F"/>
            <w:u w:val="single"/>
          </w:rPr>
          <w:t xml:space="preserve">https://ecovg.com/entrepreneur-services/</w:t>
        </w:r>
      </w:hyperlink>
      <w:r>
        <w:rPr>
          <w:b w:val="0"/>
        </w:rPr>
        <w:t>. This is optional and separate from PitchForce judging; it does not affect scores, introductions, or funding outcomes.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SAMPLE – synthetic data. Confidential – prepared for Hemaflow Bio by EcoVG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vents.ecovg.com/events" TargetMode="External"/><Relationship Id="rId10" Type="http://schemas.openxmlformats.org/officeDocument/2006/relationships/hyperlink" Target="https://ecovg.com/entrepreneur-services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PitchForce Feedback – Hemaflow Bio</dc:title>
  <dc:subject>SAMPLE — Synthetic Life Science Virtual PitchForce · September 17, 2026</dc:subject>
  <dc:creator>EcoVG PitchForce</dc:creator>
  <cp:keywords/>
  <dc:description>generated by python-docx</dc:description>
  <cp:lastModifiedBy/>
  <cp:revision>1</cp:revision>
  <dcterms:created xsi:type="dcterms:W3CDTF">2026-10-19T21:09:48Z</dcterms:created>
  <dcterms:modified xsi:type="dcterms:W3CDTF">2013-12-23T23:15:00Z</dcterms:modified>
  <cp:category/>
</cp:coreProperties>
</file>