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</w:pPr>
      <w:r>
        <w:rPr>
          <w:rFonts w:ascii="Arial" w:hAnsi="Arial"/>
          <w:b/>
          <w:color w:val="173047"/>
          <w:sz w:val="56"/>
        </w:rPr>
        <w:t>Urgent Care Expansion</w:t>
        <w:br/>
        <w:t>Intelligence Demo</w:t>
      </w:r>
    </w:p>
    <w:p>
      <w:r>
        <w:rPr>
          <w:color w:val="136F63"/>
          <w:sz w:val="30"/>
        </w:rPr>
        <w:t>Curated real-market public portfolio</w:t>
      </w:r>
    </w:p>
    <w:p>
      <w:pPr>
        <w:spacing w:before="600"/>
      </w:pPr>
      <w:r>
        <w:rPr>
          <w:b/>
        </w:rPr>
        <w:t xml:space="preserve">Boundary: </w:t>
      </w:r>
      <w:r>
        <w:t>Market geography and labeled public observations are real. Demo scores and sanitized scenarios are illustrative; production methodology is excluded.</w:t>
      </w:r>
    </w:p>
    <w:p>
      <w:r>
        <w:br w:type="page"/>
      </w:r>
    </w:p>
    <w:p>
      <w:pPr>
        <w:pStyle w:val="Heading1"/>
      </w:pPr>
      <w:r>
        <w:t>Executive Methodology</w:t>
      </w:r>
    </w:p>
    <w:p>
      <w:r>
        <w:t>A compact public demonstration of the decision workflow: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880"/>
            <w:shd w:fill="E8EEF2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7200"/>
            <w:shd w:fill="E8EEF2"/>
          </w:tcPr>
          <w:p>
            <w:r>
              <w:rPr>
                <w:b/>
                <w:sz w:val="16"/>
              </w:rPr>
              <w:t>Decision question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Market fundamentals</w:t>
            </w:r>
          </w:p>
        </w:tc>
        <w:tc>
          <w:tcPr>
            <w:tcW w:type="dxa" w:w="7200"/>
          </w:tcPr>
          <w:p>
            <w:r>
              <w:rPr>
                <w:sz w:val="16"/>
              </w:rPr>
              <w:t>Do public observations indicate structural attractiveness?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Demo Expansion Score</w:t>
            </w:r>
          </w:p>
        </w:tc>
        <w:tc>
          <w:tcPr>
            <w:tcW w:type="dxa" w:w="7200"/>
          </w:tcPr>
          <w:p>
            <w:r>
              <w:rPr>
                <w:sz w:val="16"/>
              </w:rPr>
              <w:t>How do five transparent normalized components compare?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Entry opportunities</w:t>
            </w:r>
          </w:p>
        </w:tc>
        <w:tc>
          <w:tcPr>
            <w:tcW w:type="dxa" w:w="7200"/>
          </w:tcPr>
          <w:p>
            <w:r>
              <w:rPr>
                <w:sz w:val="16"/>
              </w:rPr>
              <w:t>Is there a public or clearly illustrative near-term entry path?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Entry Feasibility</w:t>
            </w:r>
          </w:p>
        </w:tc>
        <w:tc>
          <w:tcPr>
            <w:tcW w:type="dxa" w:w="7200"/>
          </w:tcPr>
          <w:p>
            <w:r>
              <w:rPr>
                <w:sz w:val="16"/>
              </w:rPr>
              <w:t>How strong is the best available demo path?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Near-Term Priority</w:t>
            </w:r>
          </w:p>
        </w:tc>
        <w:tc>
          <w:tcPr>
            <w:tcW w:type="dxa" w:w="7200"/>
          </w:tcPr>
          <w:p>
            <w:r>
              <w:rPr>
                <w:sz w:val="16"/>
              </w:rPr>
              <w:t>Where should demo diligence happen first?</w:t>
            </w:r>
          </w:p>
        </w:tc>
      </w:tr>
    </w:tbl>
    <w:p/>
    <w:p>
      <w:pPr>
        <w:pStyle w:val="Heading2"/>
      </w:pPr>
      <w:r>
        <w:t>Ranked Markets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 w:val="true"/>
        </w:trPr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Rank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Market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Metro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Demo Near-Term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Demo Expansion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Demo Entry</w:t>
            </w:r>
          </w:p>
        </w:tc>
      </w:tr>
      <w:tr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Hoffman Estates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Chicago Northwest Suburbs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81.3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67.6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97.8</w:t>
            </w:r>
          </w:p>
        </w:tc>
      </w:tr>
      <w:tr>
        <w:tc>
          <w:tcPr>
            <w:tcW w:type="dxa" w:w="16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Royersford / Limerick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Greater Philadelphia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70.9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59.5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84.4</w:t>
            </w:r>
          </w:p>
        </w:tc>
      </w:tr>
      <w:tr>
        <w:tc>
          <w:tcPr>
            <w:tcW w:type="dxa" w:w="165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State College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State College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48.3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40.2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58.0</w:t>
            </w:r>
          </w:p>
        </w:tc>
      </w:tr>
    </w:tbl>
    <w:p>
      <w:r>
        <w:t>Public model: demo_expansion_score_v1. This report does not reproduce production weights or opportunity logic.</w:t>
      </w:r>
    </w:p>
    <w:p>
      <w:r>
        <w:br w:type="page"/>
      </w:r>
    </w:p>
    <w:p>
      <w:pPr>
        <w:pStyle w:val="Heading1"/>
      </w:pPr>
      <w:r>
        <w:t>1. Hoffman Estates</w:t>
      </w:r>
    </w:p>
    <w:p>
      <w:r>
        <w:t>Chicago Northwest Suburbs | Illinois | ZIP 60169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Near-Term Priority</w:t>
            </w:r>
          </w:p>
        </w:tc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Expansion Score</w:t>
            </w:r>
          </w:p>
        </w:tc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Entry Feasibility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81.3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67.6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97.8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57984"/>
            <wp:docPr id="1" name="Picture 1" title="Census ZCTA market geometry" descr="Census ZCTA geometry for Hoffman E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601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5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U.S. Census Bureau TIGERweb 2020 ZCTA geometry</w:t>
      </w:r>
    </w:p>
    <w:p>
      <w:pPr>
        <w:pStyle w:val="Heading2"/>
      </w:pPr>
      <w:r>
        <w:t>Market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6624"/>
            <w:shd w:fill="E8EEF2"/>
          </w:tcPr>
          <w:p>
            <w:r>
              <w:rPr>
                <w:b/>
                <w:sz w:val="16"/>
              </w:rPr>
              <w:t>Indicator</w:t>
            </w:r>
          </w:p>
        </w:tc>
        <w:tc>
          <w:tcPr>
            <w:tcW w:type="dxa" w:w="3456"/>
            <w:shd w:fill="E8EE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33,401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0.1%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Competitors / 10k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0.60  ++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Avg Competitor Rating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Not stored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Avg Weekly Open Hours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Not verified</w:t>
            </w:r>
          </w:p>
        </w:tc>
      </w:tr>
    </w:tbl>
    <w:p>
      <w:pPr>
        <w:pStyle w:val="Heading2"/>
      </w:pPr>
      <w:r>
        <w:t>Competitors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Competitor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Rating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Reviews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Weekly hours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Operator / type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Physicians Immediate Care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Urgent care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Ascension Saint Alexius Immediate Care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Health-system immediate care</w:t>
            </w:r>
          </w:p>
        </w:tc>
      </w:tr>
    </w:tbl>
    <w:p>
      <w:pPr>
        <w:pStyle w:val="Heading2"/>
      </w:pPr>
      <w:r>
        <w:t>Entry Opportunities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Path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Opportunity / scenario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Demo score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Confidence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Public listed acquisition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Premier OB/GYN &amp; Med Spa Practice - Chicago Suburb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Real estate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Illustrative medical-office alternative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Low</w:t>
            </w:r>
          </w:p>
        </w:tc>
      </w:tr>
    </w:tbl>
    <w:p>
      <w:pPr>
        <w:pStyle w:val="Heading2"/>
      </w:pPr>
      <w:r>
        <w:t>Metric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Normalized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Contribution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Population / Demand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46.2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11.6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49.0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9.8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Competitive Saturation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81.8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Healthcare Access Gap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15.0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Employment / Activity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71.9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10.8</w:t>
            </w:r>
          </w:p>
        </w:tc>
      </w:tr>
    </w:tbl>
    <w:p>
      <w:r>
        <w:t>Source lineage: ACS 2019/2024 5-year estimates, Census TIGERweb geometry, linked public operator pages, and explicitly labeled public or illustrative opportunity evidence. No production records are included.</w:t>
      </w:r>
    </w:p>
    <w:p>
      <w:r>
        <w:br w:type="page"/>
      </w:r>
    </w:p>
    <w:p>
      <w:pPr>
        <w:pStyle w:val="Heading1"/>
      </w:pPr>
      <w:r>
        <w:t>2. Royersford / Limerick</w:t>
      </w:r>
    </w:p>
    <w:p>
      <w:r>
        <w:t>Greater Philadelphia | Pennsylvania | ZIP 19468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Near-Term Priority</w:t>
            </w:r>
          </w:p>
        </w:tc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Expansion Score</w:t>
            </w:r>
          </w:p>
        </w:tc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Entry Feasibility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70.9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59.5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84.4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57984"/>
            <wp:docPr id="2" name="Picture 2" title="Census ZCTA market geometry" descr="Census ZCTA geometry for Royersford / Limeric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1946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5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U.S. Census Bureau TIGERweb 2020 ZCTA geometry</w:t>
      </w:r>
    </w:p>
    <w:p>
      <w:pPr>
        <w:pStyle w:val="Heading2"/>
      </w:pPr>
      <w:r>
        <w:t>Market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6624"/>
            <w:shd w:fill="E8EEF2"/>
          </w:tcPr>
          <w:p>
            <w:r>
              <w:rPr>
                <w:b/>
                <w:sz w:val="16"/>
              </w:rPr>
              <w:t>Indicator</w:t>
            </w:r>
          </w:p>
        </w:tc>
        <w:tc>
          <w:tcPr>
            <w:tcW w:type="dxa" w:w="3456"/>
            <w:shd w:fill="E8EE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28,194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8.4%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Competitors / 10k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0.71  +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Avg Competitor Rating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Not stored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Avg Weekly Open Hours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84</w:t>
            </w:r>
          </w:p>
        </w:tc>
      </w:tr>
    </w:tbl>
    <w:p>
      <w:pPr>
        <w:pStyle w:val="Heading2"/>
      </w:pPr>
      <w:r>
        <w:t>Competitors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Competitor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Rating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Reviews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Weekly hours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Operator / type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Tower Health Urgent Care - Limerick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Health-system urgent care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AFC Urgent Care Limerick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Urgent care</w:t>
            </w:r>
          </w:p>
        </w:tc>
      </w:tr>
    </w:tbl>
    <w:p>
      <w:pPr>
        <w:pStyle w:val="Heading2"/>
      </w:pPr>
      <w:r>
        <w:t>Entry Opportunities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Path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Opportunity / scenario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Demo score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Confidence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Sanitized off-market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Illustrative Independent Operator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Medium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Real estate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Illustrative medical-office conversion path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Low</w:t>
            </w:r>
          </w:p>
        </w:tc>
      </w:tr>
    </w:tbl>
    <w:p>
      <w:pPr>
        <w:pStyle w:val="Heading2"/>
      </w:pPr>
      <w:r>
        <w:t>Metric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Normalized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Contribution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Population / Demand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34.0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8.5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89.3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17.9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Competitive Saturation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72.7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18.2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Healthcare Access Gap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Employment / Activity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15.0</w:t>
            </w:r>
          </w:p>
        </w:tc>
      </w:tr>
    </w:tbl>
    <w:p>
      <w:r>
        <w:t>Source lineage: ACS 2019/2024 5-year estimates, Census TIGERweb geometry, linked public operator pages, and explicitly labeled public or illustrative opportunity evidence. No production records are included.</w:t>
      </w:r>
    </w:p>
    <w:p>
      <w:r>
        <w:br w:type="page"/>
      </w:r>
    </w:p>
    <w:p>
      <w:pPr>
        <w:pStyle w:val="Heading1"/>
      </w:pPr>
      <w:r>
        <w:t>3. State College</w:t>
      </w:r>
    </w:p>
    <w:p>
      <w:r>
        <w:t>State College | Pennsylvania | ZIP 16801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Near-Term Priority</w:t>
            </w:r>
          </w:p>
        </w:tc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Expansion Score</w:t>
            </w:r>
          </w:p>
        </w:tc>
        <w:tc>
          <w:tcPr>
            <w:tcW w:type="dxa" w:w="3312"/>
            <w:shd w:fill="E8EEF2"/>
          </w:tcPr>
          <w:p>
            <w:r>
              <w:rPr>
                <w:b/>
                <w:sz w:val="16"/>
              </w:rPr>
              <w:t>Demo Entry Feasibility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48.3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40.2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color w:val="136F63"/>
                <w:sz w:val="30"/>
              </w:rPr>
              <w:t>58.0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57984"/>
            <wp:docPr id="3" name="Picture 3" title="Census ZCTA market geometry" descr="Census ZCTA geometry for State Colle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168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5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U.S. Census Bureau TIGERweb 2020 ZCTA geometry</w:t>
      </w:r>
    </w:p>
    <w:p>
      <w:pPr>
        <w:pStyle w:val="Heading2"/>
      </w:pPr>
      <w:r>
        <w:t>Market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6624"/>
            <w:shd w:fill="E8EEF2"/>
          </w:tcPr>
          <w:p>
            <w:r>
              <w:rPr>
                <w:b/>
                <w:sz w:val="16"/>
              </w:rPr>
              <w:t>Indicator</w:t>
            </w:r>
          </w:p>
        </w:tc>
        <w:tc>
          <w:tcPr>
            <w:tcW w:type="dxa" w:w="3456"/>
            <w:shd w:fill="E8EE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40,774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-10.0%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Competitors / 10k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0.50  ++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Avg Competitor Rating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Not stored</w:t>
            </w:r>
          </w:p>
        </w:tc>
      </w:tr>
      <w:tr>
        <w:tc>
          <w:tcPr>
            <w:tcW w:type="dxa" w:w="6624"/>
          </w:tcPr>
          <w:p>
            <w:r>
              <w:rPr>
                <w:sz w:val="16"/>
              </w:rPr>
              <w:t>Avg Weekly Open Hours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75</w:t>
            </w:r>
          </w:p>
        </w:tc>
      </w:tr>
    </w:tbl>
    <w:p>
      <w:pPr>
        <w:pStyle w:val="Heading2"/>
      </w:pPr>
      <w:r>
        <w:t>Competitors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Competitor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Rating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Reviews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Weekly hours</w:t>
            </w:r>
          </w:p>
        </w:tc>
        <w:tc>
          <w:tcPr>
            <w:tcW w:type="dxa" w:w="1987"/>
            <w:shd w:fill="E8EEF2"/>
          </w:tcPr>
          <w:p>
            <w:r>
              <w:rPr>
                <w:b/>
                <w:sz w:val="16"/>
              </w:rPr>
              <w:t>Operator / type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Geisinger ConvenientCare State College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Health-system urgent care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MedExpress Urgent Care - State College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Urgent care</w:t>
            </w:r>
          </w:p>
        </w:tc>
      </w:tr>
    </w:tbl>
    <w:p>
      <w:pPr>
        <w:pStyle w:val="Heading2"/>
      </w:pPr>
      <w:r>
        <w:t>Entry Opportunities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Path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Opportunity / scenario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Demo score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Confidence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Real estate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Illustrative medical-office search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Low</w:t>
            </w:r>
          </w:p>
        </w:tc>
      </w:tr>
    </w:tbl>
    <w:p>
      <w:pPr>
        <w:pStyle w:val="Heading2"/>
      </w:pPr>
      <w:r>
        <w:t>Metric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Normalized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2484"/>
            <w:shd w:fill="E8EEF2"/>
          </w:tcPr>
          <w:p>
            <w:r>
              <w:rPr>
                <w:b/>
                <w:sz w:val="16"/>
              </w:rPr>
              <w:t>Contribution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Population / Demand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63.5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15.9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Competitive Saturation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90.9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22.7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Healthcare Access Gap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10.6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1.6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Employment / Activity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0.0</w:t>
            </w:r>
          </w:p>
        </w:tc>
      </w:tr>
    </w:tbl>
    <w:p>
      <w:r>
        <w:t>Source lineage: ACS 2019/2024 5-year estimates, Census TIGERweb geometry, linked public operator pages, and explicitly labeled public or illustrative opportunity evidence. No production records are included.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30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8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6F8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