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POLÍTICA DE PRIVACIDAD</w:t>
      </w:r>
    </w:p>
    <w:p>
      <w:pPr>
        <w:spacing w:after="240"/>
        <w:jc w:val="center"/>
      </w:pPr>
      <w:r>
        <w:rPr>
          <w:b/>
          <w:bCs/>
        </w:rPr>
        <w:t xml:space="preserve">BAIRD SERVICE SAS</w:t>
      </w:r>
    </w:p>
    <w:p>
      <w:pPr>
        <w:pStyle w:val="Heading1"/>
      </w:pPr>
      <w:r>
        <w:t xml:space="preserve">1. IDENTIFICACIÓN DEL RESPONSABLE DEL TRATAMIENTO</w:t>
      </w:r>
    </w:p>
    <w:p>
      <w:r>
        <w:t xml:space="preserve">Responsable: Baird Service SAS</w:t>
      </w:r>
    </w:p>
    <w:p>
      <w:r>
        <w:t xml:space="preserve">NIT: [NIT]</w:t>
      </w:r>
    </w:p>
    <w:p>
      <w:r>
        <w:t xml:space="preserve">Dirección Registrada: [DIRECCIÓN REGISTRADA]</w:t>
      </w:r>
    </w:p>
    <w:p>
      <w:r>
        <w:t xml:space="preserve">Ciudad: [CIUDAD DE CONSTITUCIÓN]</w:t>
      </w:r>
    </w:p>
    <w:p>
      <w:r>
        <w:t xml:space="preserve">Email de Protección de Datos: privacy@bairdservice.com</w:t>
      </w:r>
    </w:p>
    <w:p>
      <w:pPr>
        <w:pStyle w:val="Heading1"/>
      </w:pPr>
      <w:r>
        <w:t xml:space="preserve">2. MARCO LEGAL</w:t>
      </w:r>
    </w:p>
    <w:p>
      <w:r>
        <w:t xml:space="preserve">Esta Política cumple con:</w:t>
      </w:r>
    </w:p>
    <w:p>
      <w:pPr>
        <w:pStyle w:val="ListParagraph"/>
        <w:numPr>
          <w:ilvl w:val="0"/>
          <w:numId w:val="2"/>
        </w:numPr>
      </w:pPr>
      <w:r>
        <w:t xml:space="preserve">Ley 1581 de 2012 (Ley de Protección de Datos Personales de Colombia)</w:t>
      </w:r>
    </w:p>
    <w:p>
      <w:pPr>
        <w:pStyle w:val="ListParagraph"/>
        <w:numPr>
          <w:ilvl w:val="0"/>
          <w:numId w:val="2"/>
        </w:numPr>
      </w:pPr>
      <w:r>
        <w:t xml:space="preserve">Decreto 1377 de 2013 (Decreto Reglamentario)</w:t>
      </w:r>
    </w:p>
    <w:p>
      <w:pPr>
        <w:pStyle w:val="ListParagraph"/>
        <w:numPr>
          <w:ilvl w:val="0"/>
          <w:numId w:val="2"/>
        </w:numPr>
      </w:pPr>
      <w:r>
        <w:t xml:space="preserve">Resolución 60.481 de 2020 (Superintendencia de Industria y Comercio)</w:t>
      </w:r>
    </w:p>
    <w:p>
      <w:pPr>
        <w:pStyle w:val="ListParagraph"/>
        <w:numPr>
          <w:ilvl w:val="0"/>
          <w:numId w:val="2"/>
        </w:numPr>
      </w:pPr>
      <w:r>
        <w:t xml:space="preserve">Régimen General de Protección de Datos (GDPR) donde aplique</w:t>
      </w:r>
    </w:p>
    <w:p>
      <w:pPr>
        <w:pStyle w:val="Heading1"/>
      </w:pPr>
      <w:r>
        <w:t xml:space="preserve">3. TIPOS DE DATOS RECOPILADOS</w:t>
      </w:r>
    </w:p>
    <w:p>
      <w:pPr>
        <w:pStyle w:val="Heading2"/>
      </w:pPr>
      <w:r>
        <w:t xml:space="preserve">3.1. Datos Personales</w:t>
      </w:r>
    </w:p>
    <w:p>
      <w:pPr>
        <w:pStyle w:val="ListParagraph"/>
        <w:numPr>
          <w:ilvl w:val="0"/>
          <w:numId w:val="2"/>
        </w:numPr>
      </w:pPr>
      <w:r>
        <w:t xml:space="preserve">Nombre completo</w:t>
      </w:r>
    </w:p>
    <w:p>
      <w:pPr>
        <w:pStyle w:val="ListParagraph"/>
        <w:numPr>
          <w:ilvl w:val="0"/>
          <w:numId w:val="2"/>
        </w:numPr>
      </w:pPr>
      <w:r>
        <w:t xml:space="preserve">Número de teléfono (almacenado en formato countryCode|number)</w:t>
      </w:r>
    </w:p>
    <w:p>
      <w:pPr>
        <w:pStyle w:val="ListParagraph"/>
        <w:numPr>
          <w:ilvl w:val="0"/>
          <w:numId w:val="2"/>
        </w:numPr>
      </w:pPr>
      <w:r>
        <w:t xml:space="preserve">Correo electrónico</w:t>
      </w:r>
    </w:p>
    <w:p>
      <w:pPr>
        <w:pStyle w:val="ListParagraph"/>
        <w:numPr>
          <w:ilvl w:val="0"/>
          <w:numId w:val="2"/>
        </w:numPr>
      </w:pPr>
      <w:r>
        <w:t xml:space="preserve">Dirección/ubicación geográfica</w:t>
      </w:r>
    </w:p>
    <w:p>
      <w:pPr>
        <w:pStyle w:val="ListParagraph"/>
        <w:numPr>
          <w:ilvl w:val="0"/>
          <w:numId w:val="2"/>
        </w:numPr>
      </w:pPr>
      <w:r>
        <w:t xml:space="preserve">Disponibilidad horaria</w:t>
      </w:r>
    </w:p>
    <w:p>
      <w:pPr>
        <w:pStyle w:val="ListParagraph"/>
        <w:numPr>
          <w:ilvl w:val="0"/>
          <w:numId w:val="2"/>
        </w:numPr>
      </w:pPr>
      <w:r>
        <w:t xml:space="preserve">Información del equipo a reparar</w:t>
      </w:r>
    </w:p>
    <w:p>
      <w:pPr>
        <w:pStyle w:val="Heading2"/>
      </w:pPr>
      <w:r>
        <w:t xml:space="preserve">3.2. Datos Sensibles (Solo Técnicos)</w:t>
      </w:r>
    </w:p>
    <w:p>
      <w:pPr>
        <w:pStyle w:val="ListParagraph"/>
        <w:numPr>
          <w:ilvl w:val="0"/>
          <w:numId w:val="2"/>
        </w:numPr>
      </w:pPr>
      <w:r>
        <w:t xml:space="preserve">Firmas digitales</w:t>
      </w:r>
    </w:p>
    <w:p>
      <w:pPr>
        <w:pStyle w:val="ListParagraph"/>
        <w:numPr>
          <w:ilvl w:val="0"/>
          <w:numId w:val="2"/>
        </w:numPr>
      </w:pPr>
      <w:r>
        <w:t xml:space="preserve">Coordenadas GPS del sitio de servicio</w:t>
      </w:r>
    </w:p>
    <w:p>
      <w:pPr>
        <w:pStyle w:val="ListParagraph"/>
        <w:numPr>
          <w:ilvl w:val="0"/>
          <w:numId w:val="2"/>
        </w:numPr>
      </w:pPr>
      <w:r>
        <w:t xml:space="preserve">Fotos de equipos y evidencia de trabajo</w:t>
      </w:r>
    </w:p>
    <w:p>
      <w:pPr>
        <w:pStyle w:val="Heading2"/>
      </w:pPr>
      <w:r>
        <w:t xml:space="preserve">3.3. Datos Técnicos</w:t>
      </w:r>
    </w:p>
    <w:p>
      <w:pPr>
        <w:pStyle w:val="ListParagraph"/>
        <w:numPr>
          <w:ilvl w:val="0"/>
          <w:numId w:val="2"/>
        </w:numPr>
      </w:pPr>
      <w:r>
        <w:t xml:space="preserve">Dirección IP</w:t>
      </w:r>
    </w:p>
    <w:p>
      <w:pPr>
        <w:pStyle w:val="ListParagraph"/>
        <w:numPr>
          <w:ilvl w:val="0"/>
          <w:numId w:val="2"/>
        </w:numPr>
      </w:pPr>
      <w:r>
        <w:t xml:space="preserve">Información del dispositivo</w:t>
      </w:r>
    </w:p>
    <w:p>
      <w:pPr>
        <w:pStyle w:val="ListParagraph"/>
        <w:numPr>
          <w:ilvl w:val="0"/>
          <w:numId w:val="2"/>
        </w:numPr>
      </w:pPr>
      <w:r>
        <w:t xml:space="preserve">Cookies y tecnologías similares</w:t>
      </w:r>
    </w:p>
    <w:p>
      <w:pPr>
        <w:pStyle w:val="ListParagraph"/>
        <w:numPr>
          <w:ilvl w:val="0"/>
          <w:numId w:val="2"/>
        </w:numPr>
      </w:pPr>
      <w:r>
        <w:t xml:space="preserve">Logs de actividad</w:t>
      </w:r>
    </w:p>
    <w:p>
      <w:pPr>
        <w:pStyle w:val="Heading1"/>
      </w:pPr>
      <w:r>
        <w:t xml:space="preserve">4. PROPÓSITO DEL TRATAMIENTO</w:t>
      </w:r>
    </w:p>
    <w:p>
      <w:r>
        <w:t xml:space="preserve">Los datos se recopilan y procesan para:</w:t>
      </w:r>
    </w:p>
    <w:p>
      <w:pPr>
        <w:pStyle w:val="ListParagraph"/>
        <w:numPr>
          <w:ilvl w:val="0"/>
          <w:numId w:val="2"/>
        </w:numPr>
      </w:pPr>
      <w:r>
        <w:t xml:space="preserve">Procesar solicitudes de servicio de reparación</w:t>
      </w:r>
    </w:p>
    <w:p>
      <w:pPr>
        <w:pStyle w:val="ListParagraph"/>
        <w:numPr>
          <w:ilvl w:val="0"/>
          <w:numId w:val="2"/>
        </w:numPr>
      </w:pPr>
      <w:r>
        <w:t xml:space="preserve">Asignar técnicos a clientes</w:t>
      </w:r>
    </w:p>
    <w:p>
      <w:pPr>
        <w:pStyle w:val="ListParagraph"/>
        <w:numPr>
          <w:ilvl w:val="0"/>
          <w:numId w:val="2"/>
        </w:numPr>
      </w:pPr>
      <w:r>
        <w:t xml:space="preserve">Enviar notificaciones vía WhatsApp</w:t>
      </w:r>
    </w:p>
    <w:p>
      <w:pPr>
        <w:pStyle w:val="ListParagraph"/>
        <w:numPr>
          <w:ilvl w:val="0"/>
          <w:numId w:val="2"/>
        </w:numPr>
      </w:pPr>
      <w:r>
        <w:t xml:space="preserve">Mejorar la Plataforma mediante análisis</w:t>
      </w:r>
    </w:p>
    <w:p>
      <w:pPr>
        <w:pStyle w:val="ListParagraph"/>
        <w:numPr>
          <w:ilvl w:val="0"/>
          <w:numId w:val="2"/>
        </w:numPr>
      </w:pPr>
      <w:r>
        <w:t xml:space="preserve">Cumplir obligaciones legales</w:t>
      </w:r>
    </w:p>
    <w:p>
      <w:pPr>
        <w:pStyle w:val="ListParagraph"/>
        <w:numPr>
          <w:ilvl w:val="0"/>
          <w:numId w:val="2"/>
        </w:numPr>
      </w:pPr>
      <w:r>
        <w:t xml:space="preserve">Prevenir fraude y abuso</w:t>
      </w:r>
    </w:p>
    <w:p>
      <w:pPr>
        <w:pStyle w:val="Heading1"/>
      </w:pPr>
      <w:r>
        <w:t xml:space="preserve">5. DERECHOS DEL TITULAR DE DATOS (DERECHOS ARCO)</w:t>
      </w:r>
    </w:p>
    <w:p>
      <w:r>
        <w:t xml:space="preserve">Conforme a Ley 1581, todo titular de datos tiene derecho a:</w:t>
      </w:r>
    </w:p>
    <w:p>
      <w:pPr>
        <w:pStyle w:val="Heading2"/>
      </w:pPr>
      <w:r>
        <w:t xml:space="preserve">5.1. Acceso (A)</w:t>
      </w:r>
    </w:p>
    <w:p>
      <w:r>
        <w:t xml:space="preserve">Conocer qué datos personales posee Baird Service SAS y cómo se procesan.</w:t>
      </w:r>
    </w:p>
    <w:p>
      <w:pPr>
        <w:pStyle w:val="Heading2"/>
      </w:pPr>
      <w:r>
        <w:t xml:space="preserve">5.2. Rectificación (R)</w:t>
      </w:r>
    </w:p>
    <w:p>
      <w:r>
        <w:t xml:space="preserve">Corregir datos inexactos o incompletos.</w:t>
      </w:r>
    </w:p>
    <w:p>
      <w:pPr>
        <w:pStyle w:val="Heading2"/>
      </w:pPr>
      <w:r>
        <w:t xml:space="preserve">5.3. Cancelación (C)</w:t>
      </w:r>
    </w:p>
    <w:p>
      <w:r>
        <w:t xml:space="preserve">Solicitar eliminación de datos en circunstancias permitidas por ley.</w:t>
      </w:r>
    </w:p>
    <w:p>
      <w:pPr>
        <w:pStyle w:val="Heading2"/>
      </w:pPr>
      <w:r>
        <w:t xml:space="preserve">5.4. Oposición (O)</w:t>
      </w:r>
    </w:p>
    <w:p>
      <w:r>
        <w:t xml:space="preserve">Oponer rechazo al tratamiento de datos para fines específicos.</w:t>
      </w:r>
    </w:p>
    <w:p>
      <w:pPr>
        <w:pStyle w:val="Heading1"/>
      </w:pPr>
      <w:r>
        <w:t xml:space="preserve">6. TRANSFERENCIAS Y TERCEROS</w:t>
      </w:r>
    </w:p>
    <w:p>
      <w:r>
        <w:t xml:space="preserve">Los datos se comparten con terceros solo cuando es necesario para prestar el servicio:</w:t>
      </w:r>
    </w:p>
    <w:p>
      <w:pPr>
        <w:pStyle w:val="ListParagraph"/>
        <w:numPr>
          <w:ilvl w:val="0"/>
          <w:numId w:val="2"/>
        </w:numPr>
      </w:pPr>
      <w:r>
        <w:t xml:space="preserve">Supabase (PostgreSQL) — almacenamiento de base de datos</w:t>
      </w:r>
    </w:p>
    <w:p>
      <w:pPr>
        <w:pStyle w:val="ListParagraph"/>
        <w:numPr>
          <w:ilvl w:val="0"/>
          <w:numId w:val="2"/>
        </w:numPr>
      </w:pPr>
      <w:r>
        <w:t xml:space="preserve">Meta/WhatsApp — comunicaciones de la Plataforma</w:t>
      </w:r>
    </w:p>
    <w:p>
      <w:pPr>
        <w:pStyle w:val="ListParagraph"/>
        <w:numPr>
          <w:ilvl w:val="0"/>
          <w:numId w:val="2"/>
        </w:numPr>
      </w:pPr>
      <w:r>
        <w:t xml:space="preserve">Google Generative AI (Gemini) — análisis de solicitudes (cuando esté activo)</w:t>
      </w:r>
    </w:p>
    <w:p>
      <w:pPr>
        <w:pStyle w:val="ListParagraph"/>
        <w:numPr>
          <w:ilvl w:val="0"/>
          <w:numId w:val="2"/>
        </w:numPr>
      </w:pPr>
      <w:r>
        <w:t xml:space="preserve">Vercel — hosting e infraestructura</w:t>
      </w:r>
    </w:p>
    <w:p>
      <w:r>
        <w:t xml:space="preserve">Todos los terceros se comprometen a mantener confidencialidad y cumplir con leyes de protección de datos.</w:t>
      </w:r>
    </w:p>
    <w:p>
      <w:pPr>
        <w:pStyle w:val="Heading1"/>
      </w:pPr>
      <w:r>
        <w:t xml:space="preserve">7. PERÍODO DE RETENCIÓN</w:t>
      </w:r>
    </w:p>
    <w:p>
      <w:r>
        <w:t xml:space="preserve">Los datos se conservan mientras la cuenta esté activa. Tras cancelación, se conservan:</w:t>
      </w:r>
    </w:p>
    <w:p>
      <w:pPr>
        <w:pStyle w:val="ListParagraph"/>
        <w:numPr>
          <w:ilvl w:val="0"/>
          <w:numId w:val="2"/>
        </w:numPr>
      </w:pPr>
      <w:r>
        <w:t xml:space="preserve">Datos de solicitudes completadas: 24 meses (para cumplimiento legal)</w:t>
      </w:r>
    </w:p>
    <w:p>
      <w:pPr>
        <w:pStyle w:val="ListParagraph"/>
        <w:numPr>
          <w:ilvl w:val="0"/>
          <w:numId w:val="2"/>
        </w:numPr>
      </w:pPr>
      <w:r>
        <w:t xml:space="preserve">Evidencia de servicios: 36 meses</w:t>
      </w:r>
    </w:p>
    <w:p>
      <w:pPr>
        <w:pStyle w:val="ListParagraph"/>
        <w:numPr>
          <w:ilvl w:val="0"/>
          <w:numId w:val="2"/>
        </w:numPr>
      </w:pPr>
      <w:r>
        <w:t xml:space="preserve">Datos de registro: 36 meses</w:t>
      </w:r>
    </w:p>
    <w:p>
      <w:r>
        <w:t xml:space="preserve">Después de estos períodos, los datos se eliminan de forma segura.</w:t>
      </w:r>
    </w:p>
    <w:p>
      <w:pPr>
        <w:pStyle w:val="Heading1"/>
      </w:pPr>
      <w:r>
        <w:t xml:space="preserve">8. MEDIDAS DE SEGURIDAD</w:t>
      </w:r>
    </w:p>
    <w:p>
      <w:r>
        <w:t xml:space="preserve">Baird Service SAS implementa:</w:t>
      </w:r>
    </w:p>
    <w:p>
      <w:pPr>
        <w:pStyle w:val="ListParagraph"/>
        <w:numPr>
          <w:ilvl w:val="0"/>
          <w:numId w:val="2"/>
        </w:numPr>
      </w:pPr>
      <w:r>
        <w:t xml:space="preserve">Encriptación en tránsito (HTTPS/TLS)</w:t>
      </w:r>
    </w:p>
    <w:p>
      <w:pPr>
        <w:pStyle w:val="ListParagraph"/>
        <w:numPr>
          <w:ilvl w:val="0"/>
          <w:numId w:val="2"/>
        </w:numPr>
      </w:pPr>
      <w:r>
        <w:t xml:space="preserve">Control de acceso basado en roles</w:t>
      </w:r>
    </w:p>
    <w:p>
      <w:pPr>
        <w:pStyle w:val="ListParagraph"/>
        <w:numPr>
          <w:ilvl w:val="0"/>
          <w:numId w:val="2"/>
        </w:numPr>
      </w:pPr>
      <w:r>
        <w:t xml:space="preserve">Auditorías de seguridad</w:t>
      </w:r>
    </w:p>
    <w:p>
      <w:pPr>
        <w:pStyle w:val="ListParagraph"/>
        <w:numPr>
          <w:ilvl w:val="0"/>
          <w:numId w:val="2"/>
        </w:numPr>
      </w:pPr>
      <w:r>
        <w:t xml:space="preserve">Limitación de tasas (rate limiting)</w:t>
      </w:r>
    </w:p>
    <w:p>
      <w:pPr>
        <w:pStyle w:val="ListParagraph"/>
        <w:numPr>
          <w:ilvl w:val="0"/>
          <w:numId w:val="2"/>
        </w:numPr>
      </w:pPr>
      <w:r>
        <w:t xml:space="preserve">Monitoreo de actividades sospechosas</w:t>
      </w:r>
    </w:p>
    <w:p>
      <w:pPr>
        <w:pStyle w:val="Heading1"/>
      </w:pPr>
      <w:r>
        <w:t xml:space="preserve">9. COOKIES Y TECNOLOGÍAS DE SEGUIMIENTO</w:t>
      </w:r>
    </w:p>
    <w:p>
      <w:r>
        <w:t xml:space="preserve">La Plataforma usa cookies esenciales para funcionalidad. El consentimiento se solicita antes de usar cookies no esenciales. Los usuarios pueden gestionar preferencias de cookies en cualquier momento.</w:t>
      </w:r>
    </w:p>
    <w:p>
      <w:pPr>
        <w:pStyle w:val="Heading1"/>
      </w:pPr>
      <w:r>
        <w:t xml:space="preserve">10. EJERCICIO DE DERECHOS ARCO</w:t>
      </w:r>
    </w:p>
    <w:p>
      <w:r>
        <w:t xml:space="preserve">Para ejercer derechos de acceso, rectificación, cancelación u oposición, contacte a:</w:t>
      </w:r>
    </w:p>
    <w:p>
      <w:r>
        <w:t xml:space="preserve">Email: privacy@bairdservice.com</w:t>
      </w:r>
    </w:p>
    <w:p>
      <w:r>
        <w:t xml:space="preserve">Baird Service SAS responderá en plazo máximo de 10 días hábiles.</w:t>
      </w:r>
    </w:p>
    <w:p>
      <w:pPr>
        <w:pStyle w:val="Heading1"/>
      </w:pPr>
      <w:r>
        <w:t xml:space="preserve">11. CAMBIOS A ESTA POLÍTICA</w:t>
      </w:r>
    </w:p>
    <w:p>
      <w:r>
        <w:t xml:space="preserve">Baird Service SAS puede actualizar esta Política en cualquier momento. Los cambios son efectivos tras publicación. El uso continuado implica aceptación.</w:t>
      </w:r>
    </w:p>
    <w:p>
      <w:pPr>
        <w:spacing w:after="120"/>
      </w:pPr>
      <w:r>
        <w:t xml:space="preserve"/>
      </w:r>
    </w:p>
    <w:p>
      <w:pPr>
        <w:jc w:val="center"/>
      </w:pPr>
      <w:r>
        <w:t xml:space="preserve">Última actualización: 13 de abril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b/>
        <w:bCs/>
      </w:rPr>
      <w:t xml:space="preserve">BAIRD SERVICE SAS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2026-04-14T13:42:16.400Z</dcterms:created>
  <dcterms:modified xsi:type="dcterms:W3CDTF">2026-04-14T13:42:16.400Z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