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Pr="00C33A77" w:rsidRDefault="00A61060" w:rsidP="00A61060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GB"/>
        </w:rPr>
      </w:pPr>
      <w:r w:rsidRPr="00A61060">
        <w:rPr>
          <w:rFonts w:ascii="TimesNewRomanPS-BoldMT" w:hAnsi="TimesNewRomanPS-BoldMT" w:cs="TimesNewRomanPS-BoldMT"/>
          <w:b/>
          <w:bCs/>
          <w:lang w:val="en-GB"/>
        </w:rPr>
        <w:t>Application of geographical information system to site selection of small run-of-river hydropower project by considering engineering/economic/environmental criteria and social impact</w:t>
      </w:r>
    </w:p>
    <w:p w:rsidR="00D42CBB" w:rsidRPr="00801016" w:rsidRDefault="00D42CBB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4"/>
        <w:gridCol w:w="2541"/>
        <w:gridCol w:w="2262"/>
        <w:gridCol w:w="1556"/>
        <w:gridCol w:w="1291"/>
      </w:tblGrid>
      <w:tr w:rsidR="00883A73" w:rsidRPr="00D72B8F" w:rsidTr="00883A73">
        <w:trPr>
          <w:trHeight w:val="274"/>
          <w:jc w:val="center"/>
        </w:trPr>
        <w:tc>
          <w:tcPr>
            <w:tcW w:w="846" w:type="dxa"/>
          </w:tcPr>
          <w:p w:rsidR="00B544AC" w:rsidRPr="006138F0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551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268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560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269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83A73" w:rsidRPr="00C35138" w:rsidTr="00883A73">
        <w:trPr>
          <w:trHeight w:val="274"/>
          <w:jc w:val="center"/>
        </w:trPr>
        <w:tc>
          <w:tcPr>
            <w:tcW w:w="846" w:type="dxa"/>
          </w:tcPr>
          <w:p w:rsidR="00B544AC" w:rsidRPr="00883A73" w:rsidRDefault="00A61060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18</w:t>
            </w:r>
          </w:p>
        </w:tc>
        <w:tc>
          <w:tcPr>
            <w:tcW w:w="2551" w:type="dxa"/>
          </w:tcPr>
          <w:p w:rsidR="00FF0929" w:rsidRDefault="00FF0929" w:rsidP="00FF092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dvP4DF60E" w:hAnsi="AdvP4DF60E" w:cs="AdvP4DF60E"/>
                <w:sz w:val="18"/>
                <w:szCs w:val="18"/>
                <w:lang w:val="en-GB"/>
              </w:rPr>
            </w:pP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>socio-economic condition</w:t>
            </w:r>
          </w:p>
          <w:p w:rsidR="00FF0929" w:rsidRPr="00FF0929" w:rsidRDefault="00FF0929" w:rsidP="00FF092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dvP4DF60E" w:hAnsi="AdvP4DF60E" w:cs="AdvP4DF60E"/>
                <w:sz w:val="18"/>
                <w:szCs w:val="18"/>
                <w:lang w:val="en-GB"/>
              </w:rPr>
            </w:pP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>the use of forest and the quality life</w:t>
            </w:r>
          </w:p>
          <w:p w:rsidR="00FF0929" w:rsidRDefault="00FF0929" w:rsidP="00FF092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dvP4DF60E" w:hAnsi="AdvP4DF60E" w:cs="AdvP4DF60E"/>
                <w:sz w:val="18"/>
                <w:szCs w:val="18"/>
                <w:lang w:val="en-GB"/>
              </w:rPr>
            </w:pP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 xml:space="preserve">value, change condition of household and </w:t>
            </w:r>
            <w:r>
              <w:rPr>
                <w:rFonts w:ascii="AdvP4DF60E" w:hAnsi="AdvP4DF60E" w:cs="AdvP4DF60E"/>
                <w:sz w:val="18"/>
                <w:szCs w:val="18"/>
                <w:lang w:val="en-GB"/>
              </w:rPr>
              <w:t>c</w:t>
            </w: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>ommunity</w:t>
            </w:r>
          </w:p>
          <w:p w:rsidR="00FF0929" w:rsidRDefault="00FF0929" w:rsidP="00FF092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dvP4DF60E" w:hAnsi="AdvP4DF60E" w:cs="AdvP4DF60E"/>
                <w:sz w:val="18"/>
                <w:szCs w:val="18"/>
                <w:lang w:val="en-GB"/>
              </w:rPr>
            </w:pP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>small run-of</w:t>
            </w: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 xml:space="preserve"> </w:t>
            </w: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>river hydropower project perception</w:t>
            </w:r>
          </w:p>
          <w:p w:rsidR="00FF0929" w:rsidRPr="00FF0929" w:rsidRDefault="00FF0929" w:rsidP="00FF092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dvP4DF60E" w:hAnsi="AdvP4DF60E" w:cs="AdvP4DF60E"/>
                <w:sz w:val="18"/>
                <w:szCs w:val="18"/>
                <w:lang w:val="en-GB"/>
              </w:rPr>
            </w:pP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>attitude toward the project</w:t>
            </w:r>
          </w:p>
          <w:p w:rsidR="008E7EC4" w:rsidRPr="00FF0929" w:rsidRDefault="00FF0929" w:rsidP="00FF0929">
            <w:pPr>
              <w:pStyle w:val="Prrafodelista"/>
              <w:numPr>
                <w:ilvl w:val="0"/>
                <w:numId w:val="6"/>
              </w:numPr>
              <w:rPr>
                <w:bCs/>
                <w:sz w:val="18"/>
                <w:szCs w:val="18"/>
                <w:lang w:val="en-GB"/>
              </w:rPr>
            </w:pP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>and project support.</w:t>
            </w:r>
          </w:p>
        </w:tc>
        <w:tc>
          <w:tcPr>
            <w:tcW w:w="2268" w:type="dxa"/>
          </w:tcPr>
          <w:p w:rsidR="008B4DB5" w:rsidRPr="00FF0929" w:rsidRDefault="00FF0929" w:rsidP="00FF0929">
            <w:pPr>
              <w:pStyle w:val="Prrafodelista"/>
              <w:numPr>
                <w:ilvl w:val="0"/>
                <w:numId w:val="6"/>
              </w:numPr>
              <w:jc w:val="both"/>
              <w:rPr>
                <w:bCs/>
                <w:sz w:val="18"/>
                <w:szCs w:val="18"/>
                <w:lang w:val="en-GB"/>
              </w:rPr>
            </w:pP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>face-to-face interviews based on questionnaires</w:t>
            </w:r>
          </w:p>
          <w:p w:rsidR="00FF0929" w:rsidRPr="00FF0929" w:rsidRDefault="00FF0929" w:rsidP="00FF0929">
            <w:pPr>
              <w:pStyle w:val="Prrafodelista"/>
              <w:numPr>
                <w:ilvl w:val="0"/>
                <w:numId w:val="6"/>
              </w:numPr>
              <w:jc w:val="both"/>
              <w:rPr>
                <w:bCs/>
                <w:sz w:val="18"/>
                <w:szCs w:val="18"/>
                <w:lang w:val="en-GB"/>
              </w:rPr>
            </w:pP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>focus group discussions</w:t>
            </w:r>
          </w:p>
          <w:p w:rsidR="00FF0929" w:rsidRPr="00FF0929" w:rsidRDefault="00FF0929" w:rsidP="00FF0929">
            <w:pPr>
              <w:pStyle w:val="Prrafodelista"/>
              <w:numPr>
                <w:ilvl w:val="0"/>
                <w:numId w:val="6"/>
              </w:numPr>
              <w:jc w:val="both"/>
              <w:rPr>
                <w:bCs/>
                <w:sz w:val="18"/>
                <w:szCs w:val="18"/>
                <w:lang w:val="en-GB"/>
              </w:rPr>
            </w:pPr>
            <w:r w:rsidRPr="00FF0929">
              <w:rPr>
                <w:rFonts w:ascii="AdvP4DF60E" w:hAnsi="AdvP4DF60E" w:cs="AdvP4DF60E"/>
                <w:sz w:val="18"/>
                <w:szCs w:val="18"/>
                <w:lang w:val="en-GB"/>
              </w:rPr>
              <w:t>exhibition of the project detail</w:t>
            </w:r>
          </w:p>
        </w:tc>
        <w:tc>
          <w:tcPr>
            <w:tcW w:w="1560" w:type="dxa"/>
          </w:tcPr>
          <w:p w:rsidR="00B544AC" w:rsidRPr="00C35138" w:rsidRDefault="00C35138" w:rsidP="00C35138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C35138">
              <w:rPr>
                <w:rFonts w:cstheme="minorHAnsi"/>
                <w:sz w:val="18"/>
                <w:szCs w:val="18"/>
                <w:lang w:val="en-GB"/>
              </w:rPr>
              <w:t>Project support (%)</w:t>
            </w:r>
          </w:p>
        </w:tc>
        <w:tc>
          <w:tcPr>
            <w:tcW w:w="1269" w:type="dxa"/>
          </w:tcPr>
          <w:p w:rsidR="00B544AC" w:rsidRPr="00C35138" w:rsidRDefault="00C35138" w:rsidP="00C35138">
            <w:pPr>
              <w:jc w:val="both"/>
              <w:rPr>
                <w:bCs/>
                <w:sz w:val="18"/>
                <w:szCs w:val="18"/>
                <w:lang w:val="en-GB"/>
              </w:rPr>
            </w:pPr>
            <w:r w:rsidRPr="00C35138">
              <w:rPr>
                <w:bCs/>
                <w:sz w:val="18"/>
                <w:szCs w:val="18"/>
                <w:lang w:val="en-GB"/>
              </w:rPr>
              <w:t>The feasibility study of the project includes, in addition to economic aspects of engineering and environmental criteria, aspects of social impact.</w:t>
            </w:r>
            <w:bookmarkStart w:id="0" w:name="_GoBack"/>
            <w:bookmarkEnd w:id="0"/>
          </w:p>
        </w:tc>
      </w:tr>
    </w:tbl>
    <w:p w:rsidR="003767A0" w:rsidRPr="003767A0" w:rsidRDefault="003767A0" w:rsidP="00376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3767A0">
        <w:rPr>
          <w:rFonts w:cstheme="minorHAnsi"/>
          <w:color w:val="000000"/>
          <w:lang w:val="en-GB"/>
        </w:rPr>
        <w:t>4.6.2. Public opinion survey</w:t>
      </w:r>
    </w:p>
    <w:p w:rsidR="005B1373" w:rsidRDefault="00916C2E" w:rsidP="003767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>
        <w:rPr>
          <w:rFonts w:cstheme="minorHAnsi"/>
          <w:color w:val="000000"/>
          <w:lang w:val="en-GB"/>
        </w:rPr>
        <w:t>“</w:t>
      </w:r>
      <w:r w:rsidR="003767A0" w:rsidRPr="003767A0">
        <w:rPr>
          <w:rFonts w:cstheme="minorHAnsi"/>
          <w:color w:val="000000"/>
          <w:lang w:val="en-GB"/>
        </w:rPr>
        <w:t>A public opinion survey is conducted in the potential areas for</w:t>
      </w:r>
      <w:r w:rsidR="003767A0">
        <w:rPr>
          <w:rFonts w:cstheme="minorHAnsi"/>
          <w:color w:val="000000"/>
          <w:lang w:val="en-GB"/>
        </w:rPr>
        <w:t xml:space="preserve"> </w:t>
      </w:r>
      <w:r w:rsidR="003767A0" w:rsidRPr="003767A0">
        <w:rPr>
          <w:rFonts w:cstheme="minorHAnsi"/>
          <w:color w:val="000000"/>
          <w:lang w:val="en-GB"/>
        </w:rPr>
        <w:t xml:space="preserve">project development based on engineering criteria. There are </w:t>
      </w:r>
      <w:r w:rsidR="003767A0" w:rsidRPr="003767A0">
        <w:rPr>
          <w:rFonts w:cstheme="minorHAnsi"/>
          <w:b/>
          <w:color w:val="000000"/>
          <w:lang w:val="en-GB"/>
        </w:rPr>
        <w:t>two</w:t>
      </w:r>
      <w:r w:rsidR="003767A0" w:rsidRPr="003767A0">
        <w:rPr>
          <w:rFonts w:cstheme="minorHAnsi"/>
          <w:b/>
          <w:color w:val="000000"/>
          <w:lang w:val="en-GB"/>
        </w:rPr>
        <w:t xml:space="preserve"> </w:t>
      </w:r>
      <w:r w:rsidR="003767A0" w:rsidRPr="003767A0">
        <w:rPr>
          <w:rFonts w:cstheme="minorHAnsi"/>
          <w:b/>
          <w:color w:val="000000"/>
          <w:lang w:val="en-GB"/>
        </w:rPr>
        <w:t>groups of samples</w:t>
      </w:r>
      <w:r w:rsidR="003767A0" w:rsidRPr="003767A0">
        <w:rPr>
          <w:rFonts w:cstheme="minorHAnsi"/>
          <w:color w:val="000000"/>
          <w:lang w:val="en-GB"/>
        </w:rPr>
        <w:t xml:space="preserve">. The </w:t>
      </w:r>
      <w:r w:rsidR="003767A0" w:rsidRPr="003767A0">
        <w:rPr>
          <w:rFonts w:cstheme="minorHAnsi"/>
          <w:b/>
          <w:color w:val="000000"/>
          <w:lang w:val="en-GB"/>
        </w:rPr>
        <w:t>first group</w:t>
      </w:r>
      <w:r w:rsidR="003767A0" w:rsidRPr="003767A0">
        <w:rPr>
          <w:rFonts w:cstheme="minorHAnsi"/>
          <w:color w:val="000000"/>
          <w:lang w:val="en-GB"/>
        </w:rPr>
        <w:t xml:space="preserve"> is from simple random sampling</w:t>
      </w:r>
      <w:r w:rsidR="003767A0">
        <w:rPr>
          <w:rFonts w:cstheme="minorHAnsi"/>
          <w:color w:val="000000"/>
          <w:lang w:val="en-GB"/>
        </w:rPr>
        <w:t xml:space="preserve"> </w:t>
      </w:r>
      <w:r w:rsidR="003767A0" w:rsidRPr="003767A0">
        <w:rPr>
          <w:rFonts w:cstheme="minorHAnsi"/>
          <w:color w:val="000000"/>
          <w:lang w:val="en-GB"/>
        </w:rPr>
        <w:t>according to the characteristics of the population: people who live</w:t>
      </w:r>
      <w:r w:rsidR="003767A0">
        <w:rPr>
          <w:rFonts w:cstheme="minorHAnsi"/>
          <w:color w:val="000000"/>
          <w:lang w:val="en-GB"/>
        </w:rPr>
        <w:t xml:space="preserve"> </w:t>
      </w:r>
      <w:r w:rsidR="003767A0" w:rsidRPr="003767A0">
        <w:rPr>
          <w:rFonts w:cstheme="minorHAnsi"/>
          <w:color w:val="000000"/>
          <w:lang w:val="en-GB"/>
        </w:rPr>
        <w:t>within 2.5 km in radius from the projects, people who are 18 years</w:t>
      </w:r>
      <w:r w:rsidR="003767A0">
        <w:rPr>
          <w:rFonts w:cstheme="minorHAnsi"/>
          <w:color w:val="000000"/>
          <w:lang w:val="en-GB"/>
        </w:rPr>
        <w:t xml:space="preserve"> </w:t>
      </w:r>
      <w:r w:rsidR="003767A0" w:rsidRPr="003767A0">
        <w:rPr>
          <w:rFonts w:cstheme="minorHAnsi"/>
          <w:color w:val="000000"/>
          <w:lang w:val="en-GB"/>
        </w:rPr>
        <w:t xml:space="preserve">of age and older, and the leaders of the </w:t>
      </w:r>
      <w:r w:rsidR="003767A0">
        <w:rPr>
          <w:rFonts w:cstheme="minorHAnsi"/>
          <w:color w:val="000000"/>
          <w:lang w:val="en-GB"/>
        </w:rPr>
        <w:t>c</w:t>
      </w:r>
      <w:r w:rsidR="003767A0" w:rsidRPr="003767A0">
        <w:rPr>
          <w:rFonts w:cstheme="minorHAnsi"/>
          <w:color w:val="000000"/>
          <w:lang w:val="en-GB"/>
        </w:rPr>
        <w:t>ommunities such as</w:t>
      </w:r>
      <w:r w:rsidR="003767A0">
        <w:rPr>
          <w:rFonts w:cstheme="minorHAnsi"/>
          <w:color w:val="000000"/>
          <w:lang w:val="en-GB"/>
        </w:rPr>
        <w:t xml:space="preserve"> </w:t>
      </w:r>
      <w:r w:rsidR="003767A0" w:rsidRPr="003767A0">
        <w:rPr>
          <w:rFonts w:cstheme="minorHAnsi"/>
          <w:color w:val="000000"/>
          <w:lang w:val="en-GB"/>
        </w:rPr>
        <w:t>teachers, monks, and village headmen. The sample size is obtained</w:t>
      </w:r>
      <w:r w:rsidR="003767A0">
        <w:rPr>
          <w:rFonts w:cstheme="minorHAnsi"/>
          <w:color w:val="000000"/>
          <w:lang w:val="en-GB"/>
        </w:rPr>
        <w:t xml:space="preserve"> </w:t>
      </w:r>
      <w:r w:rsidR="003767A0" w:rsidRPr="003767A0">
        <w:rPr>
          <w:rFonts w:cstheme="minorHAnsi"/>
          <w:color w:val="000000"/>
          <w:lang w:val="en-GB"/>
        </w:rPr>
        <w:t>from Yamane equation at level of 95% confidence. The population</w:t>
      </w:r>
      <w:r w:rsidR="003767A0">
        <w:rPr>
          <w:rFonts w:cstheme="minorHAnsi"/>
          <w:color w:val="000000"/>
          <w:lang w:val="en-GB"/>
        </w:rPr>
        <w:t xml:space="preserve"> </w:t>
      </w:r>
      <w:r w:rsidR="003767A0" w:rsidRPr="003767A0">
        <w:rPr>
          <w:rFonts w:cstheme="minorHAnsi"/>
          <w:color w:val="000000"/>
          <w:lang w:val="en-GB"/>
        </w:rPr>
        <w:t xml:space="preserve">in the Nan province was 477,662 </w:t>
      </w:r>
      <w:r w:rsidR="003767A0" w:rsidRPr="003767A0">
        <w:rPr>
          <w:rFonts w:cstheme="minorHAnsi"/>
          <w:color w:val="000066"/>
          <w:lang w:val="en-GB"/>
        </w:rPr>
        <w:t>[43]</w:t>
      </w:r>
      <w:r w:rsidR="003767A0" w:rsidRPr="003767A0">
        <w:rPr>
          <w:rFonts w:cstheme="minorHAnsi"/>
          <w:color w:val="000000"/>
          <w:lang w:val="en-GB"/>
        </w:rPr>
        <w:t>, thus by using the value of</w:t>
      </w:r>
      <w:r w:rsidR="003767A0">
        <w:rPr>
          <w:rFonts w:cstheme="minorHAnsi"/>
          <w:color w:val="000000"/>
          <w:lang w:val="en-GB"/>
        </w:rPr>
        <w:t xml:space="preserve"> </w:t>
      </w:r>
      <w:r w:rsidR="003767A0" w:rsidRPr="003767A0">
        <w:rPr>
          <w:rFonts w:cstheme="minorHAnsi"/>
          <w:color w:val="000000"/>
          <w:lang w:val="en-GB"/>
        </w:rPr>
        <w:t>sampling error equal to 0.05, 400 samples are obtained. However,</w:t>
      </w:r>
      <w:r w:rsidR="003767A0">
        <w:rPr>
          <w:rFonts w:cstheme="minorHAnsi"/>
          <w:color w:val="000000"/>
          <w:lang w:val="en-GB"/>
        </w:rPr>
        <w:t xml:space="preserve"> </w:t>
      </w:r>
      <w:r w:rsidR="003767A0" w:rsidRPr="003767A0">
        <w:rPr>
          <w:rFonts w:cstheme="minorHAnsi"/>
          <w:color w:val="000000"/>
          <w:lang w:val="en-GB"/>
        </w:rPr>
        <w:t>1500 samples are collected in this study to obtain more accurate</w:t>
      </w:r>
      <w:r w:rsidR="003767A0">
        <w:rPr>
          <w:rFonts w:cstheme="minorHAnsi"/>
          <w:color w:val="000000"/>
          <w:lang w:val="en-GB"/>
        </w:rPr>
        <w:t xml:space="preserve"> </w:t>
      </w:r>
      <w:r w:rsidR="003767A0" w:rsidRPr="003767A0">
        <w:rPr>
          <w:rFonts w:cstheme="minorHAnsi"/>
          <w:lang w:val="en-GB"/>
        </w:rPr>
        <w:t xml:space="preserve">results. For the </w:t>
      </w:r>
      <w:r w:rsidR="003767A0" w:rsidRPr="003767A0">
        <w:rPr>
          <w:rFonts w:cstheme="minorHAnsi"/>
          <w:b/>
          <w:lang w:val="en-GB"/>
        </w:rPr>
        <w:t>second group</w:t>
      </w:r>
      <w:r w:rsidR="003767A0" w:rsidRPr="003767A0">
        <w:rPr>
          <w:rFonts w:cstheme="minorHAnsi"/>
          <w:lang w:val="en-GB"/>
        </w:rPr>
        <w:t>, purposive sampling is used. Fifty</w:t>
      </w:r>
      <w:r w:rsidR="003767A0">
        <w:rPr>
          <w:rFonts w:cstheme="minorHAnsi"/>
          <w:lang w:val="en-GB"/>
        </w:rPr>
        <w:t xml:space="preserve"> </w:t>
      </w:r>
      <w:r w:rsidR="003767A0" w:rsidRPr="003767A0">
        <w:rPr>
          <w:rFonts w:cstheme="minorHAnsi"/>
          <w:lang w:val="en-GB"/>
        </w:rPr>
        <w:t>samples are selected from the representatives from government</w:t>
      </w:r>
      <w:r w:rsidR="003767A0">
        <w:rPr>
          <w:rFonts w:cstheme="minorHAnsi"/>
          <w:lang w:val="en-GB"/>
        </w:rPr>
        <w:t xml:space="preserve"> </w:t>
      </w:r>
      <w:r w:rsidR="003767A0" w:rsidRPr="003767A0">
        <w:rPr>
          <w:rFonts w:cstheme="minorHAnsi"/>
          <w:lang w:val="en-GB"/>
        </w:rPr>
        <w:t>agencies, mass media, and non-government organizations (NGOs).</w:t>
      </w:r>
      <w:r>
        <w:rPr>
          <w:rFonts w:cstheme="minorHAnsi"/>
          <w:lang w:val="en-GB"/>
        </w:rPr>
        <w:t>”</w:t>
      </w:r>
    </w:p>
    <w:p w:rsidR="003767A0" w:rsidRDefault="003767A0" w:rsidP="003767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</w:p>
    <w:p w:rsidR="00916C2E" w:rsidRPr="00916C2E" w:rsidRDefault="00916C2E" w:rsidP="00916C2E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916C2E">
        <w:rPr>
          <w:rFonts w:cstheme="minorHAnsi"/>
          <w:lang w:val="en-GB"/>
        </w:rPr>
        <w:t>4.6.3. Focus group discussion</w:t>
      </w:r>
    </w:p>
    <w:p w:rsidR="00916C2E" w:rsidRPr="00916C2E" w:rsidRDefault="00BC5497" w:rsidP="00916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“</w:t>
      </w:r>
      <w:r w:rsidR="00916C2E" w:rsidRPr="00916C2E">
        <w:rPr>
          <w:rFonts w:cstheme="minorHAnsi"/>
          <w:lang w:val="en-GB"/>
        </w:rPr>
        <w:t>Focus group discussion is used to collect qualitative data on the</w:t>
      </w:r>
      <w:r w:rsidR="00916C2E">
        <w:rPr>
          <w:rFonts w:cstheme="minorHAnsi"/>
          <w:lang w:val="en-GB"/>
        </w:rPr>
        <w:t xml:space="preserve"> </w:t>
      </w:r>
      <w:r w:rsidR="00916C2E" w:rsidRPr="00916C2E">
        <w:rPr>
          <w:rFonts w:cstheme="minorHAnsi"/>
          <w:lang w:val="en-GB"/>
        </w:rPr>
        <w:t xml:space="preserve">villagers’ concerns and </w:t>
      </w:r>
      <w:r w:rsidR="00916C2E">
        <w:rPr>
          <w:rFonts w:cstheme="minorHAnsi"/>
          <w:lang w:val="en-GB"/>
        </w:rPr>
        <w:t>p</w:t>
      </w:r>
      <w:r w:rsidR="00916C2E" w:rsidRPr="00916C2E">
        <w:rPr>
          <w:rFonts w:cstheme="minorHAnsi"/>
          <w:lang w:val="en-GB"/>
        </w:rPr>
        <w:t>erceptions about the project. The</w:t>
      </w:r>
      <w:r w:rsidR="00916C2E">
        <w:rPr>
          <w:rFonts w:cstheme="minorHAnsi"/>
          <w:lang w:val="en-GB"/>
        </w:rPr>
        <w:t xml:space="preserve"> </w:t>
      </w:r>
      <w:r w:rsidR="00916C2E" w:rsidRPr="00916C2E">
        <w:rPr>
          <w:rFonts w:cstheme="minorHAnsi"/>
          <w:lang w:val="en-GB"/>
        </w:rPr>
        <w:t>participants are the representatives of the communities directly</w:t>
      </w:r>
      <w:r w:rsidR="00916C2E">
        <w:rPr>
          <w:rFonts w:cstheme="minorHAnsi"/>
          <w:lang w:val="en-GB"/>
        </w:rPr>
        <w:t xml:space="preserve"> </w:t>
      </w:r>
      <w:r w:rsidR="00916C2E" w:rsidRPr="00916C2E">
        <w:rPr>
          <w:rFonts w:cstheme="minorHAnsi"/>
          <w:lang w:val="en-GB"/>
        </w:rPr>
        <w:t>affected by the project development. The process of focus group</w:t>
      </w:r>
      <w:r w:rsidR="00916C2E">
        <w:rPr>
          <w:rFonts w:cstheme="minorHAnsi"/>
          <w:lang w:val="en-GB"/>
        </w:rPr>
        <w:t xml:space="preserve"> </w:t>
      </w:r>
      <w:r w:rsidR="00916C2E" w:rsidRPr="00916C2E">
        <w:rPr>
          <w:rFonts w:cstheme="minorHAnsi"/>
          <w:lang w:val="en-GB"/>
        </w:rPr>
        <w:t>discussion consists of:</w:t>
      </w:r>
    </w:p>
    <w:p w:rsidR="00916C2E" w:rsidRPr="00916C2E" w:rsidRDefault="00916C2E" w:rsidP="00916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16C2E">
        <w:rPr>
          <w:rFonts w:cstheme="minorHAnsi"/>
          <w:lang w:val="en-GB"/>
        </w:rPr>
        <w:t>(1) Providing project information to the participants by using</w:t>
      </w:r>
      <w:r>
        <w:rPr>
          <w:rFonts w:cstheme="minorHAnsi"/>
          <w:lang w:val="en-GB"/>
        </w:rPr>
        <w:t xml:space="preserve"> </w:t>
      </w:r>
      <w:r w:rsidRPr="00916C2E">
        <w:rPr>
          <w:rFonts w:cstheme="minorHAnsi"/>
          <w:lang w:val="en-GB"/>
        </w:rPr>
        <w:t>leaflets, exhibitions, models, and presentation of project detail.</w:t>
      </w:r>
    </w:p>
    <w:p w:rsidR="00916C2E" w:rsidRPr="00916C2E" w:rsidRDefault="00916C2E" w:rsidP="00916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16C2E">
        <w:rPr>
          <w:rFonts w:cstheme="minorHAnsi"/>
          <w:lang w:val="en-GB"/>
        </w:rPr>
        <w:t>(2) Asking probing questions related to the members’ worries</w:t>
      </w:r>
      <w:r>
        <w:rPr>
          <w:rFonts w:cstheme="minorHAnsi"/>
          <w:lang w:val="en-GB"/>
        </w:rPr>
        <w:t xml:space="preserve"> </w:t>
      </w:r>
      <w:r w:rsidRPr="00916C2E">
        <w:rPr>
          <w:rFonts w:cstheme="minorHAnsi"/>
          <w:lang w:val="en-GB"/>
        </w:rPr>
        <w:t>about the project.</w:t>
      </w:r>
    </w:p>
    <w:p w:rsidR="00916C2E" w:rsidRPr="00916C2E" w:rsidRDefault="00916C2E" w:rsidP="00916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16C2E">
        <w:rPr>
          <w:rFonts w:cstheme="minorHAnsi"/>
          <w:lang w:val="en-GB"/>
        </w:rPr>
        <w:t>(3) Separating the participants into small groups for discussion.</w:t>
      </w:r>
    </w:p>
    <w:p w:rsidR="00916C2E" w:rsidRPr="00916C2E" w:rsidRDefault="00916C2E" w:rsidP="00916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16C2E">
        <w:rPr>
          <w:rFonts w:cstheme="minorHAnsi"/>
          <w:lang w:val="en-GB"/>
        </w:rPr>
        <w:t>(4) Presentation of representatives from each group.</w:t>
      </w:r>
    </w:p>
    <w:p w:rsidR="00916C2E" w:rsidRPr="00916C2E" w:rsidRDefault="00916C2E" w:rsidP="00916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16C2E">
        <w:rPr>
          <w:rFonts w:cstheme="minorHAnsi"/>
          <w:lang w:val="en-GB"/>
        </w:rPr>
        <w:t xml:space="preserve">(5) Asking probing questions as to how to reduce </w:t>
      </w:r>
      <w:proofErr w:type="spellStart"/>
      <w:r w:rsidRPr="00916C2E">
        <w:rPr>
          <w:rFonts w:cstheme="minorHAnsi"/>
          <w:lang w:val="en-GB"/>
        </w:rPr>
        <w:t>participants’concerns</w:t>
      </w:r>
      <w:proofErr w:type="spellEnd"/>
      <w:r w:rsidRPr="00916C2E">
        <w:rPr>
          <w:rFonts w:cstheme="minorHAnsi"/>
          <w:lang w:val="en-GB"/>
        </w:rPr>
        <w:t xml:space="preserve"> about the project, who should be responsible for</w:t>
      </w:r>
      <w:r>
        <w:rPr>
          <w:rFonts w:cstheme="minorHAnsi"/>
          <w:lang w:val="en-GB"/>
        </w:rPr>
        <w:t xml:space="preserve"> </w:t>
      </w:r>
      <w:r w:rsidRPr="00916C2E">
        <w:rPr>
          <w:rFonts w:cstheme="minorHAnsi"/>
          <w:lang w:val="en-GB"/>
        </w:rPr>
        <w:t>doing so, and how local people can get involved in the project.</w:t>
      </w:r>
    </w:p>
    <w:p w:rsidR="00916C2E" w:rsidRPr="00916C2E" w:rsidRDefault="00916C2E" w:rsidP="00916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16C2E">
        <w:rPr>
          <w:rFonts w:cstheme="minorHAnsi"/>
          <w:lang w:val="en-GB"/>
        </w:rPr>
        <w:t>(6) Separating the participants into small group for further</w:t>
      </w:r>
      <w:r>
        <w:rPr>
          <w:rFonts w:cstheme="minorHAnsi"/>
          <w:lang w:val="en-GB"/>
        </w:rPr>
        <w:t xml:space="preserve"> </w:t>
      </w:r>
      <w:r w:rsidRPr="00916C2E">
        <w:rPr>
          <w:rFonts w:cstheme="minorHAnsi"/>
          <w:lang w:val="en-GB"/>
        </w:rPr>
        <w:t>discussion.</w:t>
      </w:r>
    </w:p>
    <w:p w:rsidR="00916C2E" w:rsidRPr="00916C2E" w:rsidRDefault="00916C2E" w:rsidP="00916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16C2E">
        <w:rPr>
          <w:rFonts w:cstheme="minorHAnsi"/>
          <w:lang w:val="en-GB"/>
        </w:rPr>
        <w:t>(7) Presentation of representatives from each group and opening</w:t>
      </w:r>
      <w:r>
        <w:rPr>
          <w:rFonts w:cstheme="minorHAnsi"/>
          <w:lang w:val="en-GB"/>
        </w:rPr>
        <w:t xml:space="preserve"> </w:t>
      </w:r>
      <w:r w:rsidRPr="00916C2E">
        <w:rPr>
          <w:rFonts w:cstheme="minorHAnsi"/>
          <w:lang w:val="en-GB"/>
        </w:rPr>
        <w:t>for discussion.</w:t>
      </w:r>
    </w:p>
    <w:p w:rsidR="00916C2E" w:rsidRPr="00916C2E" w:rsidRDefault="00916C2E" w:rsidP="00916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16C2E">
        <w:rPr>
          <w:rFonts w:cstheme="minorHAnsi"/>
          <w:lang w:val="en-GB"/>
        </w:rPr>
        <w:t>(8) Evaluation and conclusion of the meeting.</w:t>
      </w:r>
    </w:p>
    <w:p w:rsidR="00916C2E" w:rsidRPr="00916C2E" w:rsidRDefault="00916C2E" w:rsidP="00916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16C2E">
        <w:rPr>
          <w:rFonts w:cstheme="minorHAnsi"/>
          <w:lang w:val="en-GB"/>
        </w:rPr>
        <w:t>The focus group meeting is conducted by the facilitators, who</w:t>
      </w:r>
      <w:r>
        <w:rPr>
          <w:rFonts w:cstheme="minorHAnsi"/>
          <w:lang w:val="en-GB"/>
        </w:rPr>
        <w:t xml:space="preserve"> </w:t>
      </w:r>
      <w:r w:rsidRPr="00916C2E">
        <w:rPr>
          <w:rFonts w:cstheme="minorHAnsi"/>
          <w:lang w:val="en-GB"/>
        </w:rPr>
        <w:t>use probing questions to elicit the ideas and experiences of the</w:t>
      </w:r>
      <w:r>
        <w:rPr>
          <w:rFonts w:cstheme="minorHAnsi"/>
          <w:lang w:val="en-GB"/>
        </w:rPr>
        <w:t xml:space="preserve"> </w:t>
      </w:r>
      <w:r w:rsidRPr="00916C2E">
        <w:rPr>
          <w:rFonts w:cstheme="minorHAnsi"/>
          <w:lang w:val="en-GB"/>
        </w:rPr>
        <w:t>members in the group. The process begins with broad questions</w:t>
      </w:r>
      <w:r>
        <w:rPr>
          <w:rFonts w:cstheme="minorHAnsi"/>
          <w:lang w:val="en-GB"/>
        </w:rPr>
        <w:t xml:space="preserve"> </w:t>
      </w:r>
      <w:r w:rsidRPr="00916C2E">
        <w:rPr>
          <w:rFonts w:cstheme="minorHAnsi"/>
          <w:lang w:val="en-GB"/>
        </w:rPr>
        <w:t>and proceeds to specific questions</w:t>
      </w:r>
      <w:r w:rsidR="00BC5497">
        <w:rPr>
          <w:rFonts w:cstheme="minorHAnsi"/>
          <w:lang w:val="en-GB"/>
        </w:rPr>
        <w:t>”</w:t>
      </w:r>
    </w:p>
    <w:p w:rsidR="003767A0" w:rsidRPr="003767A0" w:rsidRDefault="003767A0" w:rsidP="00916C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</w:p>
    <w:sectPr w:rsidR="003767A0" w:rsidRPr="00376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DF60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D3C"/>
    <w:multiLevelType w:val="hybridMultilevel"/>
    <w:tmpl w:val="99000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00ABF"/>
    <w:multiLevelType w:val="hybridMultilevel"/>
    <w:tmpl w:val="C9E04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DC0D14"/>
    <w:multiLevelType w:val="hybridMultilevel"/>
    <w:tmpl w:val="E8FA5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373D"/>
    <w:multiLevelType w:val="hybridMultilevel"/>
    <w:tmpl w:val="95B254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C02B0"/>
    <w:multiLevelType w:val="hybridMultilevel"/>
    <w:tmpl w:val="1286F3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E57F34"/>
    <w:multiLevelType w:val="hybridMultilevel"/>
    <w:tmpl w:val="93722B2E"/>
    <w:lvl w:ilvl="0" w:tplc="08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AC"/>
    <w:rsid w:val="000E1BF7"/>
    <w:rsid w:val="000F34C1"/>
    <w:rsid w:val="00122FD4"/>
    <w:rsid w:val="001521F6"/>
    <w:rsid w:val="001617E9"/>
    <w:rsid w:val="00192085"/>
    <w:rsid w:val="003767A0"/>
    <w:rsid w:val="00393807"/>
    <w:rsid w:val="00433C60"/>
    <w:rsid w:val="004C1D3C"/>
    <w:rsid w:val="005A676E"/>
    <w:rsid w:val="005B1373"/>
    <w:rsid w:val="0061343D"/>
    <w:rsid w:val="0064336C"/>
    <w:rsid w:val="00701A14"/>
    <w:rsid w:val="007629AE"/>
    <w:rsid w:val="007E6F17"/>
    <w:rsid w:val="00801016"/>
    <w:rsid w:val="008132CA"/>
    <w:rsid w:val="00883A73"/>
    <w:rsid w:val="00891317"/>
    <w:rsid w:val="008A1C2A"/>
    <w:rsid w:val="008B4DB5"/>
    <w:rsid w:val="008E7EC4"/>
    <w:rsid w:val="00916C2E"/>
    <w:rsid w:val="009B33B2"/>
    <w:rsid w:val="00A022D2"/>
    <w:rsid w:val="00A61060"/>
    <w:rsid w:val="00A730BB"/>
    <w:rsid w:val="00A77E9C"/>
    <w:rsid w:val="00B03CF8"/>
    <w:rsid w:val="00B10269"/>
    <w:rsid w:val="00B544AC"/>
    <w:rsid w:val="00BA43A9"/>
    <w:rsid w:val="00BC5497"/>
    <w:rsid w:val="00C04001"/>
    <w:rsid w:val="00C11CF5"/>
    <w:rsid w:val="00C323C5"/>
    <w:rsid w:val="00C33A77"/>
    <w:rsid w:val="00C35138"/>
    <w:rsid w:val="00C95F05"/>
    <w:rsid w:val="00CE32A7"/>
    <w:rsid w:val="00CF2386"/>
    <w:rsid w:val="00D42CBB"/>
    <w:rsid w:val="00D632A2"/>
    <w:rsid w:val="00E915D6"/>
    <w:rsid w:val="00ED2EBA"/>
    <w:rsid w:val="00EF25A3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AB8F"/>
  <w15:chartTrackingRefBased/>
  <w15:docId w15:val="{426F39F8-7CE3-4DB4-8704-665C62AA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4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437</Words>
  <Characters>2467</Characters>
  <Application>Microsoft Office Word</Application>
  <DocSecurity>0</DocSecurity>
  <Lines>164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2022-08-31T06:31:00Z</dcterms:created>
  <dcterms:modified xsi:type="dcterms:W3CDTF">2022-09-18T11:24:00Z</dcterms:modified>
</cp:coreProperties>
</file>