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996" w:rsidRPr="00C33A77" w:rsidRDefault="00E44A6E" w:rsidP="007F57D3">
      <w:pPr>
        <w:autoSpaceDE w:val="0"/>
        <w:autoSpaceDN w:val="0"/>
        <w:adjustRightInd w:val="0"/>
        <w:spacing w:after="0" w:line="240" w:lineRule="auto"/>
        <w:jc w:val="both"/>
        <w:rPr>
          <w:b/>
          <w:sz w:val="24"/>
          <w:szCs w:val="24"/>
          <w:lang w:val="en-GB"/>
        </w:rPr>
      </w:pPr>
      <w:r w:rsidRPr="00E44A6E">
        <w:rPr>
          <w:rFonts w:ascii="TimesNewRomanPS-BoldMT" w:hAnsi="TimesNewRomanPS-BoldMT" w:cs="TimesNewRomanPS-BoldMT"/>
          <w:b/>
          <w:bCs/>
          <w:lang w:val="en-GB"/>
        </w:rPr>
        <w:t>Factors leading to sustainable social impact on the affected communities of engineering service learning projects</w:t>
      </w:r>
    </w:p>
    <w:p w:rsidR="00D42CBB" w:rsidRPr="00801016" w:rsidRDefault="00D42CBB">
      <w:pPr>
        <w:rPr>
          <w:lang w:val="en-GB"/>
        </w:rPr>
      </w:pPr>
    </w:p>
    <w:tbl>
      <w:tblPr>
        <w:tblStyle w:val="Tablaconcuadrcula"/>
        <w:tblW w:w="0" w:type="auto"/>
        <w:jc w:val="center"/>
        <w:tblLook w:val="04A0" w:firstRow="1" w:lastRow="0" w:firstColumn="1" w:lastColumn="0" w:noHBand="0" w:noVBand="1"/>
      </w:tblPr>
      <w:tblGrid>
        <w:gridCol w:w="846"/>
        <w:gridCol w:w="2551"/>
        <w:gridCol w:w="2268"/>
        <w:gridCol w:w="1560"/>
        <w:gridCol w:w="1269"/>
      </w:tblGrid>
      <w:tr w:rsidR="00883A73" w:rsidRPr="00D72B8F" w:rsidTr="00883A73">
        <w:trPr>
          <w:trHeight w:val="274"/>
          <w:jc w:val="center"/>
        </w:trPr>
        <w:tc>
          <w:tcPr>
            <w:tcW w:w="846" w:type="dxa"/>
          </w:tcPr>
          <w:p w:rsidR="00B544AC" w:rsidRPr="006138F0" w:rsidRDefault="00B544AC" w:rsidP="00395D21">
            <w:pPr>
              <w:jc w:val="center"/>
              <w:rPr>
                <w:b/>
                <w:bCs/>
                <w:sz w:val="18"/>
                <w:szCs w:val="18"/>
                <w:lang w:val="en-US"/>
              </w:rPr>
            </w:pPr>
            <w:r>
              <w:rPr>
                <w:b/>
                <w:bCs/>
                <w:sz w:val="18"/>
                <w:szCs w:val="18"/>
                <w:lang w:val="en-US"/>
              </w:rPr>
              <w:t>Study ID</w:t>
            </w:r>
          </w:p>
        </w:tc>
        <w:tc>
          <w:tcPr>
            <w:tcW w:w="2551" w:type="dxa"/>
          </w:tcPr>
          <w:p w:rsidR="00B544AC" w:rsidRDefault="00B544AC" w:rsidP="00395D21">
            <w:pPr>
              <w:jc w:val="center"/>
              <w:rPr>
                <w:b/>
                <w:bCs/>
                <w:sz w:val="18"/>
                <w:szCs w:val="18"/>
                <w:lang w:val="en-US"/>
              </w:rPr>
            </w:pPr>
            <w:r>
              <w:rPr>
                <w:b/>
                <w:bCs/>
                <w:sz w:val="18"/>
                <w:szCs w:val="18"/>
                <w:lang w:val="en-US"/>
              </w:rPr>
              <w:t>indicators</w:t>
            </w:r>
          </w:p>
        </w:tc>
        <w:tc>
          <w:tcPr>
            <w:tcW w:w="2268" w:type="dxa"/>
          </w:tcPr>
          <w:p w:rsidR="00B544AC" w:rsidRDefault="00B544AC" w:rsidP="00395D21">
            <w:pPr>
              <w:jc w:val="center"/>
              <w:rPr>
                <w:b/>
                <w:bCs/>
                <w:sz w:val="18"/>
                <w:szCs w:val="18"/>
                <w:lang w:val="en-US"/>
              </w:rPr>
            </w:pPr>
            <w:r>
              <w:rPr>
                <w:b/>
                <w:bCs/>
                <w:sz w:val="18"/>
                <w:szCs w:val="18"/>
                <w:lang w:val="en-US"/>
              </w:rPr>
              <w:t>methods</w:t>
            </w:r>
          </w:p>
        </w:tc>
        <w:tc>
          <w:tcPr>
            <w:tcW w:w="1560" w:type="dxa"/>
          </w:tcPr>
          <w:p w:rsidR="00B544AC" w:rsidRDefault="00B544AC" w:rsidP="00395D21">
            <w:pPr>
              <w:jc w:val="center"/>
              <w:rPr>
                <w:b/>
                <w:bCs/>
                <w:sz w:val="18"/>
                <w:szCs w:val="18"/>
                <w:lang w:val="en-US"/>
              </w:rPr>
            </w:pPr>
            <w:r>
              <w:rPr>
                <w:b/>
                <w:bCs/>
                <w:sz w:val="18"/>
                <w:szCs w:val="18"/>
                <w:lang w:val="en-US"/>
              </w:rPr>
              <w:t>scale</w:t>
            </w:r>
          </w:p>
        </w:tc>
        <w:tc>
          <w:tcPr>
            <w:tcW w:w="1269" w:type="dxa"/>
          </w:tcPr>
          <w:p w:rsidR="00B544AC" w:rsidRDefault="00B544AC" w:rsidP="00395D21">
            <w:pPr>
              <w:jc w:val="center"/>
              <w:rPr>
                <w:b/>
                <w:bCs/>
                <w:sz w:val="18"/>
                <w:szCs w:val="18"/>
                <w:lang w:val="en-US"/>
              </w:rPr>
            </w:pPr>
            <w:r>
              <w:rPr>
                <w:b/>
                <w:bCs/>
                <w:sz w:val="18"/>
                <w:szCs w:val="18"/>
                <w:lang w:val="en-US"/>
              </w:rPr>
              <w:t>practices</w:t>
            </w:r>
          </w:p>
        </w:tc>
      </w:tr>
      <w:tr w:rsidR="00883A73" w:rsidRPr="001521F6" w:rsidTr="00883A73">
        <w:trPr>
          <w:trHeight w:val="274"/>
          <w:jc w:val="center"/>
        </w:trPr>
        <w:tc>
          <w:tcPr>
            <w:tcW w:w="846" w:type="dxa"/>
          </w:tcPr>
          <w:p w:rsidR="00B544AC" w:rsidRPr="00883A73" w:rsidRDefault="007F57D3" w:rsidP="00395D21">
            <w:pPr>
              <w:jc w:val="center"/>
              <w:rPr>
                <w:bCs/>
                <w:sz w:val="18"/>
                <w:szCs w:val="18"/>
                <w:lang w:val="en-US"/>
              </w:rPr>
            </w:pPr>
            <w:r>
              <w:rPr>
                <w:bCs/>
                <w:sz w:val="18"/>
                <w:szCs w:val="18"/>
                <w:lang w:val="en-US"/>
              </w:rPr>
              <w:t>4</w:t>
            </w:r>
            <w:r w:rsidR="00E44A6E">
              <w:rPr>
                <w:bCs/>
                <w:sz w:val="18"/>
                <w:szCs w:val="18"/>
                <w:lang w:val="en-US"/>
              </w:rPr>
              <w:t>3</w:t>
            </w:r>
          </w:p>
        </w:tc>
        <w:tc>
          <w:tcPr>
            <w:tcW w:w="2551" w:type="dxa"/>
          </w:tcPr>
          <w:p w:rsidR="008E7EC4" w:rsidRPr="007F57D3" w:rsidRDefault="005525D9" w:rsidP="005525D9">
            <w:pPr>
              <w:jc w:val="center"/>
              <w:rPr>
                <w:bCs/>
                <w:sz w:val="18"/>
                <w:szCs w:val="18"/>
                <w:lang w:val="en-GB"/>
              </w:rPr>
            </w:pPr>
            <w:r>
              <w:rPr>
                <w:bCs/>
                <w:sz w:val="18"/>
                <w:szCs w:val="18"/>
                <w:lang w:val="en-GB"/>
              </w:rPr>
              <w:t>---</w:t>
            </w:r>
          </w:p>
        </w:tc>
        <w:tc>
          <w:tcPr>
            <w:tcW w:w="2268" w:type="dxa"/>
          </w:tcPr>
          <w:p w:rsidR="008B4DB5" w:rsidRPr="008B4DB5" w:rsidRDefault="005525D9" w:rsidP="005525D9">
            <w:pPr>
              <w:jc w:val="center"/>
              <w:rPr>
                <w:bCs/>
                <w:sz w:val="18"/>
                <w:szCs w:val="18"/>
                <w:lang w:val="en-GB"/>
              </w:rPr>
            </w:pPr>
            <w:r>
              <w:rPr>
                <w:bCs/>
                <w:sz w:val="18"/>
                <w:szCs w:val="18"/>
                <w:lang w:val="en-GB"/>
              </w:rPr>
              <w:t>---</w:t>
            </w:r>
          </w:p>
        </w:tc>
        <w:tc>
          <w:tcPr>
            <w:tcW w:w="1560" w:type="dxa"/>
          </w:tcPr>
          <w:p w:rsidR="00B544AC" w:rsidRPr="008B4DB5" w:rsidRDefault="005525D9" w:rsidP="005525D9">
            <w:pPr>
              <w:jc w:val="center"/>
              <w:rPr>
                <w:rFonts w:cstheme="minorHAnsi"/>
                <w:bCs/>
                <w:sz w:val="18"/>
                <w:szCs w:val="18"/>
              </w:rPr>
            </w:pPr>
            <w:r>
              <w:rPr>
                <w:rFonts w:cstheme="minorHAnsi"/>
                <w:bCs/>
                <w:sz w:val="18"/>
                <w:szCs w:val="18"/>
              </w:rPr>
              <w:t>---</w:t>
            </w:r>
          </w:p>
        </w:tc>
        <w:tc>
          <w:tcPr>
            <w:tcW w:w="1269" w:type="dxa"/>
          </w:tcPr>
          <w:p w:rsidR="00B544AC" w:rsidRPr="008B4DB5" w:rsidRDefault="005525D9" w:rsidP="005525D9">
            <w:pPr>
              <w:jc w:val="center"/>
              <w:rPr>
                <w:bCs/>
                <w:sz w:val="18"/>
                <w:szCs w:val="18"/>
              </w:rPr>
            </w:pPr>
            <w:r>
              <w:rPr>
                <w:bCs/>
                <w:sz w:val="18"/>
                <w:szCs w:val="18"/>
              </w:rPr>
              <w:t>---</w:t>
            </w:r>
          </w:p>
        </w:tc>
      </w:tr>
    </w:tbl>
    <w:p w:rsidR="00A417CB" w:rsidRDefault="00A417CB" w:rsidP="00A417CB">
      <w:pPr>
        <w:autoSpaceDE w:val="0"/>
        <w:autoSpaceDN w:val="0"/>
        <w:adjustRightInd w:val="0"/>
        <w:spacing w:before="120" w:after="0" w:line="240" w:lineRule="auto"/>
        <w:jc w:val="both"/>
        <w:rPr>
          <w:rFonts w:cstheme="minorHAnsi"/>
        </w:rPr>
      </w:pPr>
      <w:r>
        <w:rPr>
          <w:rFonts w:cstheme="minorHAnsi"/>
          <w:lang w:val="en-GB"/>
        </w:rPr>
        <w:t xml:space="preserve">It is a literature review to </w:t>
      </w:r>
      <w:r w:rsidRPr="00A417CB">
        <w:rPr>
          <w:rFonts w:cstheme="minorHAnsi"/>
          <w:lang w:val="en-GB"/>
        </w:rPr>
        <w:t>extract</w:t>
      </w:r>
      <w:r>
        <w:rPr>
          <w:rFonts w:cstheme="minorHAnsi"/>
          <w:lang w:val="en-GB"/>
        </w:rPr>
        <w:t xml:space="preserve"> </w:t>
      </w:r>
      <w:r w:rsidRPr="00A417CB">
        <w:rPr>
          <w:rFonts w:cstheme="minorHAnsi"/>
          <w:lang w:val="en-GB"/>
        </w:rPr>
        <w:t>factors practitioners believe are connected to the success of service</w:t>
      </w:r>
      <w:r>
        <w:rPr>
          <w:rFonts w:cstheme="minorHAnsi"/>
          <w:lang w:val="en-GB"/>
        </w:rPr>
        <w:t xml:space="preserve"> </w:t>
      </w:r>
      <w:r w:rsidRPr="00A417CB">
        <w:rPr>
          <w:rFonts w:cstheme="minorHAnsi"/>
          <w:lang w:val="en-GB"/>
        </w:rPr>
        <w:t>learning projects.</w:t>
      </w:r>
      <w:r>
        <w:rPr>
          <w:rFonts w:cstheme="minorHAnsi"/>
          <w:lang w:val="en-GB"/>
        </w:rPr>
        <w:t xml:space="preserve"> </w:t>
      </w:r>
      <w:r w:rsidR="00BB7327" w:rsidRPr="00BB7327">
        <w:rPr>
          <w:rFonts w:cstheme="minorHAnsi"/>
          <w:lang w:val="en-GB"/>
        </w:rPr>
        <w:t xml:space="preserve">Neither indicators nor methodologies for measuring social impact are made explicit. Reference is made only to the "universal metric", referencing the work of Stevenson et al. </w:t>
      </w:r>
      <w:r w:rsidR="00BB7327" w:rsidRPr="00BB7327">
        <w:rPr>
          <w:rFonts w:cstheme="minorHAnsi"/>
        </w:rPr>
        <w:t>(2018).</w:t>
      </w:r>
    </w:p>
    <w:p w:rsidR="00BB7327" w:rsidRDefault="00BB7327" w:rsidP="00A417CB">
      <w:pPr>
        <w:autoSpaceDE w:val="0"/>
        <w:autoSpaceDN w:val="0"/>
        <w:adjustRightInd w:val="0"/>
        <w:spacing w:before="120" w:after="0" w:line="240" w:lineRule="auto"/>
        <w:jc w:val="both"/>
        <w:rPr>
          <w:rFonts w:cstheme="minorHAnsi"/>
        </w:rPr>
      </w:pPr>
      <w:bookmarkStart w:id="0" w:name="_GoBack"/>
      <w:bookmarkEnd w:id="0"/>
    </w:p>
    <w:p w:rsidR="00A417CB" w:rsidRDefault="00A417CB" w:rsidP="00A417CB">
      <w:pPr>
        <w:autoSpaceDE w:val="0"/>
        <w:autoSpaceDN w:val="0"/>
        <w:adjustRightInd w:val="0"/>
        <w:spacing w:after="0" w:line="240" w:lineRule="auto"/>
        <w:jc w:val="both"/>
        <w:rPr>
          <w:rFonts w:cstheme="minorHAnsi"/>
          <w:sz w:val="18"/>
          <w:szCs w:val="18"/>
          <w:lang w:val="en-GB"/>
        </w:rPr>
      </w:pPr>
      <w:r w:rsidRPr="00A417CB">
        <w:rPr>
          <w:rFonts w:cstheme="minorHAnsi"/>
          <w:sz w:val="18"/>
          <w:szCs w:val="18"/>
          <w:lang w:val="en-GB"/>
        </w:rPr>
        <w:t xml:space="preserve">Stevenson, P.D., Mattson, C.A., Bryden, K.M., </w:t>
      </w:r>
      <w:proofErr w:type="spellStart"/>
      <w:r w:rsidRPr="00A417CB">
        <w:rPr>
          <w:rFonts w:cstheme="minorHAnsi"/>
          <w:sz w:val="18"/>
          <w:szCs w:val="18"/>
          <w:lang w:val="en-GB"/>
        </w:rPr>
        <w:t>MacCarty</w:t>
      </w:r>
      <w:proofErr w:type="spellEnd"/>
      <w:r w:rsidRPr="00A417CB">
        <w:rPr>
          <w:rFonts w:cstheme="minorHAnsi"/>
          <w:sz w:val="18"/>
          <w:szCs w:val="18"/>
          <w:lang w:val="en-GB"/>
        </w:rPr>
        <w:t>, N.A., 2018. Toward a universal</w:t>
      </w:r>
      <w:r>
        <w:rPr>
          <w:rFonts w:cstheme="minorHAnsi"/>
          <w:sz w:val="18"/>
          <w:szCs w:val="18"/>
          <w:lang w:val="en-GB"/>
        </w:rPr>
        <w:t xml:space="preserve"> </w:t>
      </w:r>
      <w:r w:rsidRPr="00A417CB">
        <w:rPr>
          <w:rFonts w:cstheme="minorHAnsi"/>
          <w:sz w:val="18"/>
          <w:szCs w:val="18"/>
          <w:lang w:val="en-GB"/>
        </w:rPr>
        <w:t>social impact metric for engineered products that alleviate poverty. J. Mech. Des.140 (4), 41404.</w:t>
      </w:r>
    </w:p>
    <w:p w:rsidR="00BB7327" w:rsidRPr="00A417CB" w:rsidRDefault="00BB7327" w:rsidP="00A417CB">
      <w:pPr>
        <w:autoSpaceDE w:val="0"/>
        <w:autoSpaceDN w:val="0"/>
        <w:adjustRightInd w:val="0"/>
        <w:spacing w:after="0" w:line="240" w:lineRule="auto"/>
        <w:jc w:val="both"/>
        <w:rPr>
          <w:rFonts w:cstheme="minorHAnsi"/>
          <w:sz w:val="18"/>
          <w:szCs w:val="18"/>
          <w:lang w:val="en-GB"/>
        </w:rPr>
      </w:pPr>
      <w:r>
        <w:rPr>
          <w:rFonts w:cstheme="minorHAnsi"/>
          <w:sz w:val="18"/>
          <w:szCs w:val="18"/>
          <w:lang w:val="en-GB"/>
        </w:rPr>
        <w:t>“</w:t>
      </w:r>
      <w:r w:rsidRPr="00BB7327">
        <w:rPr>
          <w:rFonts w:cstheme="minorHAnsi"/>
          <w:sz w:val="18"/>
          <w:szCs w:val="18"/>
          <w:lang w:val="en-GB"/>
        </w:rPr>
        <w:t>the product impact metric (PIM), which quantifies the impact a product has on impoverished individuals - especially those living in developing countries. It measures social impact broadly in five dimensions: health, education, standard of living, employment quality, and security. By measuring impact multidimensionally, it captures impacts both anticipated and unanticipated, thereby providing a broader assessment of the product's total impact than with other more specific metrics. The PIM is calculated based on 18 simple field measurements of the consumer. It is inspired by the UN's Multidimensional Poverty Index (UNMPI) created by the United Nations Development Programme (UNDP). The UNMPI measures how level of poverty within a nation changes year after year, and the PIM measures how an individual's poverty level changes after being affected by an engineered product. The PIM can be used to measure social impact (using specific data from products introduced into the market) or predict social impact (using personas that represent real individuals).</w:t>
      </w:r>
      <w:r>
        <w:rPr>
          <w:rFonts w:cstheme="minorHAnsi"/>
          <w:sz w:val="18"/>
          <w:szCs w:val="18"/>
          <w:lang w:val="en-GB"/>
        </w:rPr>
        <w:t>”</w:t>
      </w:r>
    </w:p>
    <w:sectPr w:rsidR="00BB7327" w:rsidRPr="00A417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54D3C"/>
    <w:multiLevelType w:val="hybridMultilevel"/>
    <w:tmpl w:val="99000E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100ABF"/>
    <w:multiLevelType w:val="hybridMultilevel"/>
    <w:tmpl w:val="C9E04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DDC0D14"/>
    <w:multiLevelType w:val="hybridMultilevel"/>
    <w:tmpl w:val="E8FA59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6A373D"/>
    <w:multiLevelType w:val="hybridMultilevel"/>
    <w:tmpl w:val="95B254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AE57F34"/>
    <w:multiLevelType w:val="hybridMultilevel"/>
    <w:tmpl w:val="93722B2E"/>
    <w:lvl w:ilvl="0" w:tplc="08090001">
      <w:start w:val="1"/>
      <w:numFmt w:val="bullet"/>
      <w:lvlText w:val=""/>
      <w:lvlJc w:val="left"/>
      <w:pPr>
        <w:ind w:left="530" w:hanging="360"/>
      </w:pPr>
      <w:rPr>
        <w:rFonts w:ascii="Symbol" w:hAnsi="Symbol" w:hint="default"/>
      </w:rPr>
    </w:lvl>
    <w:lvl w:ilvl="1" w:tplc="08090003" w:tentative="1">
      <w:start w:val="1"/>
      <w:numFmt w:val="bullet"/>
      <w:lvlText w:val="o"/>
      <w:lvlJc w:val="left"/>
      <w:pPr>
        <w:ind w:left="1250" w:hanging="360"/>
      </w:pPr>
      <w:rPr>
        <w:rFonts w:ascii="Courier New" w:hAnsi="Courier New" w:cs="Courier New" w:hint="default"/>
      </w:rPr>
    </w:lvl>
    <w:lvl w:ilvl="2" w:tplc="08090005" w:tentative="1">
      <w:start w:val="1"/>
      <w:numFmt w:val="bullet"/>
      <w:lvlText w:val=""/>
      <w:lvlJc w:val="left"/>
      <w:pPr>
        <w:ind w:left="1970" w:hanging="360"/>
      </w:pPr>
      <w:rPr>
        <w:rFonts w:ascii="Wingdings" w:hAnsi="Wingdings" w:hint="default"/>
      </w:rPr>
    </w:lvl>
    <w:lvl w:ilvl="3" w:tplc="08090001" w:tentative="1">
      <w:start w:val="1"/>
      <w:numFmt w:val="bullet"/>
      <w:lvlText w:val=""/>
      <w:lvlJc w:val="left"/>
      <w:pPr>
        <w:ind w:left="2690" w:hanging="360"/>
      </w:pPr>
      <w:rPr>
        <w:rFonts w:ascii="Symbol" w:hAnsi="Symbol" w:hint="default"/>
      </w:rPr>
    </w:lvl>
    <w:lvl w:ilvl="4" w:tplc="08090003" w:tentative="1">
      <w:start w:val="1"/>
      <w:numFmt w:val="bullet"/>
      <w:lvlText w:val="o"/>
      <w:lvlJc w:val="left"/>
      <w:pPr>
        <w:ind w:left="3410" w:hanging="360"/>
      </w:pPr>
      <w:rPr>
        <w:rFonts w:ascii="Courier New" w:hAnsi="Courier New" w:cs="Courier New" w:hint="default"/>
      </w:rPr>
    </w:lvl>
    <w:lvl w:ilvl="5" w:tplc="08090005" w:tentative="1">
      <w:start w:val="1"/>
      <w:numFmt w:val="bullet"/>
      <w:lvlText w:val=""/>
      <w:lvlJc w:val="left"/>
      <w:pPr>
        <w:ind w:left="4130" w:hanging="360"/>
      </w:pPr>
      <w:rPr>
        <w:rFonts w:ascii="Wingdings" w:hAnsi="Wingdings" w:hint="default"/>
      </w:rPr>
    </w:lvl>
    <w:lvl w:ilvl="6" w:tplc="08090001" w:tentative="1">
      <w:start w:val="1"/>
      <w:numFmt w:val="bullet"/>
      <w:lvlText w:val=""/>
      <w:lvlJc w:val="left"/>
      <w:pPr>
        <w:ind w:left="4850" w:hanging="360"/>
      </w:pPr>
      <w:rPr>
        <w:rFonts w:ascii="Symbol" w:hAnsi="Symbol" w:hint="default"/>
      </w:rPr>
    </w:lvl>
    <w:lvl w:ilvl="7" w:tplc="08090003" w:tentative="1">
      <w:start w:val="1"/>
      <w:numFmt w:val="bullet"/>
      <w:lvlText w:val="o"/>
      <w:lvlJc w:val="left"/>
      <w:pPr>
        <w:ind w:left="5570" w:hanging="360"/>
      </w:pPr>
      <w:rPr>
        <w:rFonts w:ascii="Courier New" w:hAnsi="Courier New" w:cs="Courier New" w:hint="default"/>
      </w:rPr>
    </w:lvl>
    <w:lvl w:ilvl="8" w:tplc="08090005" w:tentative="1">
      <w:start w:val="1"/>
      <w:numFmt w:val="bullet"/>
      <w:lvlText w:val=""/>
      <w:lvlJc w:val="left"/>
      <w:pPr>
        <w:ind w:left="629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AC"/>
    <w:rsid w:val="000E1BF7"/>
    <w:rsid w:val="000F34C1"/>
    <w:rsid w:val="00122FD4"/>
    <w:rsid w:val="001521F6"/>
    <w:rsid w:val="001617E9"/>
    <w:rsid w:val="00192085"/>
    <w:rsid w:val="00393807"/>
    <w:rsid w:val="00433C60"/>
    <w:rsid w:val="005525D9"/>
    <w:rsid w:val="005A676E"/>
    <w:rsid w:val="005B1373"/>
    <w:rsid w:val="0061343D"/>
    <w:rsid w:val="0064336C"/>
    <w:rsid w:val="00701A14"/>
    <w:rsid w:val="007629AE"/>
    <w:rsid w:val="007E6F17"/>
    <w:rsid w:val="007F57D3"/>
    <w:rsid w:val="00801016"/>
    <w:rsid w:val="008132CA"/>
    <w:rsid w:val="00883A73"/>
    <w:rsid w:val="008A1C2A"/>
    <w:rsid w:val="008B4DB5"/>
    <w:rsid w:val="008E7EC4"/>
    <w:rsid w:val="009B33B2"/>
    <w:rsid w:val="00A022D2"/>
    <w:rsid w:val="00A417CB"/>
    <w:rsid w:val="00A730BB"/>
    <w:rsid w:val="00A77E9C"/>
    <w:rsid w:val="00B03CF8"/>
    <w:rsid w:val="00B10269"/>
    <w:rsid w:val="00B544AC"/>
    <w:rsid w:val="00BA43A9"/>
    <w:rsid w:val="00BB7327"/>
    <w:rsid w:val="00C04001"/>
    <w:rsid w:val="00C11CF5"/>
    <w:rsid w:val="00C323C5"/>
    <w:rsid w:val="00C33A77"/>
    <w:rsid w:val="00CE32A7"/>
    <w:rsid w:val="00CF2386"/>
    <w:rsid w:val="00D42CBB"/>
    <w:rsid w:val="00D632A2"/>
    <w:rsid w:val="00E44A6E"/>
    <w:rsid w:val="00E915D6"/>
    <w:rsid w:val="00ED2EBA"/>
    <w:rsid w:val="00EF25A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D211"/>
  <w15:chartTrackingRefBased/>
  <w15:docId w15:val="{426F39F8-7CE3-4DB4-8704-665C62AA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44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54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D2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1802</TotalTime>
  <Pages>1</Pages>
  <Words>261</Words>
  <Characters>1478</Characters>
  <Application>Microsoft Office Word</Application>
  <DocSecurity>0</DocSecurity>
  <Lines>92</Lines>
  <Paragraphs>34</Paragraphs>
  <ScaleCrop>false</ScaleCrop>
  <HeadingPairs>
    <vt:vector size="2" baseType="variant">
      <vt:variant>
        <vt:lpstr>Título</vt:lpstr>
      </vt:variant>
      <vt:variant>
        <vt:i4>1</vt:i4>
      </vt:variant>
    </vt:vector>
  </HeadingPairs>
  <TitlesOfParts>
    <vt:vector size="1" baseType="lpstr">
      <vt:lpstr/>
    </vt:vector>
  </TitlesOfParts>
  <Company>Universidad Politecnica de Madrid</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2022-08-31T06:31:00Z</dcterms:created>
  <dcterms:modified xsi:type="dcterms:W3CDTF">2022-09-24T06:00:00Z</dcterms:modified>
</cp:coreProperties>
</file>