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060"/>
        <w:gridCol w:w="2076"/>
        <w:gridCol w:w="1756"/>
        <w:gridCol w:w="1756"/>
      </w:tblGrid>
      <w:tr w:rsidR="00F95DEA" w14:paraId="2E6360D2" w14:textId="77777777" w:rsidTr="005B1EB0">
        <w:trPr>
          <w:trHeight w:val="274"/>
          <w:jc w:val="center"/>
        </w:trPr>
        <w:tc>
          <w:tcPr>
            <w:tcW w:w="846" w:type="dxa"/>
          </w:tcPr>
          <w:p w14:paraId="640DCCFA" w14:textId="77777777" w:rsidR="00F95DEA" w:rsidRPr="006138F0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060" w:type="dxa"/>
          </w:tcPr>
          <w:p w14:paraId="007D90A1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076" w:type="dxa"/>
          </w:tcPr>
          <w:p w14:paraId="6C2222FD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756" w:type="dxa"/>
          </w:tcPr>
          <w:p w14:paraId="74A52E15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756" w:type="dxa"/>
          </w:tcPr>
          <w:p w14:paraId="7FE5CFD7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F95DEA" w14:paraId="1683DB03" w14:textId="77777777" w:rsidTr="005B1EB0">
        <w:trPr>
          <w:trHeight w:val="274"/>
          <w:jc w:val="center"/>
        </w:trPr>
        <w:tc>
          <w:tcPr>
            <w:tcW w:w="846" w:type="dxa"/>
          </w:tcPr>
          <w:p w14:paraId="3586198D" w14:textId="407150D0" w:rsidR="00F95DEA" w:rsidRPr="009F72B1" w:rsidRDefault="00832DF6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 w:rsidR="00FD1359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060" w:type="dxa"/>
          </w:tcPr>
          <w:p w14:paraId="1DBEEB2A" w14:textId="33788BD9" w:rsidR="00FD1359" w:rsidRPr="00FD1359" w:rsidRDefault="00FD1359" w:rsidP="00FD135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4" w:hanging="141"/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</w:pPr>
            <w:r w:rsidRPr="00FD1359"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  <w:t>Institutional Support and Logistics</w:t>
            </w:r>
          </w:p>
          <w:p w14:paraId="47C8BF5F" w14:textId="77777777" w:rsidR="00FD1359" w:rsidRPr="00FD1359" w:rsidRDefault="00FD1359" w:rsidP="00FD135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4" w:hanging="141"/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</w:pPr>
            <w:r w:rsidRPr="00FD1359"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  <w:t>Community Interaction</w:t>
            </w:r>
          </w:p>
          <w:p w14:paraId="657A79EE" w14:textId="77777777" w:rsidR="00FD1359" w:rsidRPr="00FD1359" w:rsidRDefault="00FD1359" w:rsidP="00FD135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4" w:hanging="141"/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</w:pPr>
            <w:r w:rsidRPr="00FD1359"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  <w:t>Student Preparation</w:t>
            </w:r>
          </w:p>
          <w:p w14:paraId="405067ED" w14:textId="7E1B0632" w:rsidR="00FD1359" w:rsidRPr="00FD1359" w:rsidRDefault="00FD1359" w:rsidP="00FD135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4" w:hanging="141"/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</w:pPr>
            <w:r w:rsidRPr="00FD1359"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  <w:t>Design and Technical</w:t>
            </w:r>
          </w:p>
          <w:p w14:paraId="309B99A6" w14:textId="03A6D35D" w:rsidR="00F95DEA" w:rsidRPr="00FD1359" w:rsidRDefault="00FD1359" w:rsidP="00FD1359">
            <w:pPr>
              <w:pStyle w:val="Prrafodelista"/>
              <w:numPr>
                <w:ilvl w:val="0"/>
                <w:numId w:val="1"/>
              </w:numPr>
              <w:ind w:left="174" w:hanging="141"/>
              <w:rPr>
                <w:sz w:val="18"/>
                <w:szCs w:val="18"/>
                <w:lang w:val="en-US"/>
              </w:rPr>
            </w:pPr>
            <w:r w:rsidRPr="00FD1359"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  <w:t>Implementation Trips</w:t>
            </w:r>
          </w:p>
        </w:tc>
        <w:tc>
          <w:tcPr>
            <w:tcW w:w="2076" w:type="dxa"/>
          </w:tcPr>
          <w:p w14:paraId="0337184C" w14:textId="6C8F38DD" w:rsidR="00AF5A6F" w:rsidRDefault="00AF5A6F" w:rsidP="00AF5A6F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harisSIL-Italic" w:eastAsiaTheme="minorHAnsi" w:hAnsi="CharisSIL-Italic" w:cs="CharisSIL-Italic"/>
                <w:i/>
                <w:iCs/>
                <w:sz w:val="16"/>
                <w:szCs w:val="16"/>
                <w:lang w:val="en-US" w:eastAsia="en-US"/>
              </w:rPr>
              <w:t>Qualitative analysis methods</w:t>
            </w:r>
            <w:r>
              <w:rPr>
                <w:rFonts w:ascii="CharisSIL-Italic" w:eastAsiaTheme="minorHAnsi" w:hAnsi="CharisSIL-Italic" w:cs="CharisSIL-Italic"/>
                <w:i/>
                <w:iCs/>
                <w:sz w:val="16"/>
                <w:szCs w:val="16"/>
                <w:lang w:val="en-US" w:eastAsia="en-US"/>
              </w:rPr>
              <w:t>:</w:t>
            </w:r>
          </w:p>
          <w:p w14:paraId="1DDC5158" w14:textId="77777777" w:rsidR="00F95DEA" w:rsidRDefault="00AF5A6F" w:rsidP="00A83A8F">
            <w:pPr>
              <w:rPr>
                <w:rFonts w:ascii="CharisSIL" w:eastAsiaTheme="minorHAnsi" w:hAnsi="CharisSIL" w:cs="CharisSI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harisSIL" w:eastAsiaTheme="minorHAnsi" w:hAnsi="CharisSIL" w:cs="CharisSIL"/>
                <w:color w:val="000000"/>
                <w:sz w:val="16"/>
                <w:szCs w:val="16"/>
                <w:lang w:val="en-US" w:eastAsia="en-US"/>
              </w:rPr>
              <w:t xml:space="preserve">- </w:t>
            </w:r>
            <w:r>
              <w:rPr>
                <w:rFonts w:ascii="CharisSIL" w:eastAsiaTheme="minorHAnsi" w:hAnsi="CharisSIL" w:cs="CharisSIL"/>
                <w:color w:val="000000"/>
                <w:sz w:val="16"/>
                <w:szCs w:val="16"/>
                <w:lang w:val="en-US" w:eastAsia="en-US"/>
              </w:rPr>
              <w:t>post project reflection</w:t>
            </w:r>
          </w:p>
          <w:p w14:paraId="35B42CBB" w14:textId="77777777" w:rsidR="00AF5A6F" w:rsidRDefault="00AF5A6F" w:rsidP="00AF5A6F">
            <w:pPr>
              <w:rPr>
                <w:rFonts w:ascii="CharisSIL-Italic" w:eastAsiaTheme="minorHAnsi" w:hAnsi="CharisSIL-Italic" w:cs="CharisSIL-Italic"/>
                <w:i/>
                <w:iCs/>
                <w:sz w:val="16"/>
                <w:szCs w:val="16"/>
                <w:lang w:val="en-US" w:eastAsia="en-US"/>
              </w:rPr>
            </w:pPr>
            <w:r>
              <w:rPr>
                <w:rFonts w:ascii="CharisSIL-Italic" w:eastAsiaTheme="minorHAnsi" w:hAnsi="CharisSIL-Italic" w:cs="CharisSIL-Italic"/>
                <w:i/>
                <w:iCs/>
                <w:sz w:val="16"/>
                <w:szCs w:val="16"/>
                <w:lang w:val="en-US" w:eastAsia="en-US"/>
              </w:rPr>
              <w:t>Quantitative analysis methods</w:t>
            </w:r>
          </w:p>
          <w:p w14:paraId="434E865E" w14:textId="77777777" w:rsidR="00AF5A6F" w:rsidRDefault="00AF5A6F" w:rsidP="00AF5A6F">
            <w:pPr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</w:pPr>
            <w:r>
              <w:rPr>
                <w:sz w:val="18"/>
                <w:szCs w:val="18"/>
                <w:lang w:val="en-US"/>
              </w:rPr>
              <w:t xml:space="preserve">- </w:t>
            </w:r>
            <w:r w:rsidR="00A83A8F"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  <w:t>statistical analysis</w:t>
            </w:r>
          </w:p>
          <w:p w14:paraId="3C13E6B9" w14:textId="77777777" w:rsidR="00A83A8F" w:rsidRDefault="00A83A8F" w:rsidP="00AF5A6F">
            <w:pPr>
              <w:rPr>
                <w:rFonts w:ascii="CharisSIL" w:hAnsi="CharisSIL" w:cs="CharisSIL"/>
                <w:sz w:val="18"/>
                <w:szCs w:val="18"/>
                <w:lang w:val="en-US"/>
              </w:rPr>
            </w:pPr>
          </w:p>
          <w:p w14:paraId="063CFBD6" w14:textId="77777777" w:rsidR="00A83A8F" w:rsidRDefault="00A83A8F" w:rsidP="00A83A8F">
            <w:pPr>
              <w:autoSpaceDE w:val="0"/>
              <w:autoSpaceDN w:val="0"/>
              <w:adjustRightInd w:val="0"/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</w:pPr>
            <w:r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  <w:t>A universal metric is a method of measuring impact that is applicable</w:t>
            </w:r>
          </w:p>
          <w:p w14:paraId="1B8A8777" w14:textId="0D26CE68" w:rsidR="00A83A8F" w:rsidRDefault="00A83A8F" w:rsidP="00A83A8F">
            <w:pPr>
              <w:autoSpaceDE w:val="0"/>
              <w:autoSpaceDN w:val="0"/>
              <w:adjustRightInd w:val="0"/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</w:pPr>
            <w:r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  <w:t>and comparable in all situations.</w:t>
            </w:r>
            <w:r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  <w:t xml:space="preserve"> T</w:t>
            </w:r>
            <w:r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  <w:t>he</w:t>
            </w:r>
          </w:p>
          <w:p w14:paraId="2C7BAB89" w14:textId="415D836E" w:rsidR="00A83A8F" w:rsidRDefault="00A83A8F" w:rsidP="00A83A8F">
            <w:pPr>
              <w:autoSpaceDE w:val="0"/>
              <w:autoSpaceDN w:val="0"/>
              <w:adjustRightInd w:val="0"/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</w:pPr>
            <w:r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  <w:t>United Nations Development Programme Index</w:t>
            </w:r>
            <w:r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  <w:t>lists several</w:t>
            </w:r>
          </w:p>
          <w:p w14:paraId="1F706F4D" w14:textId="77777777" w:rsidR="00A83A8F" w:rsidRDefault="00A83A8F" w:rsidP="00A83A8F">
            <w:pPr>
              <w:autoSpaceDE w:val="0"/>
              <w:autoSpaceDN w:val="0"/>
              <w:adjustRightInd w:val="0"/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</w:pPr>
            <w:r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  <w:t>different dimensions of quality of life that are applicable across all</w:t>
            </w:r>
          </w:p>
          <w:p w14:paraId="5C623BD0" w14:textId="376AB038" w:rsidR="00A83A8F" w:rsidRPr="009F72B1" w:rsidRDefault="00A83A8F" w:rsidP="00A83A8F">
            <w:pPr>
              <w:rPr>
                <w:sz w:val="18"/>
                <w:szCs w:val="18"/>
                <w:lang w:val="en-US"/>
              </w:rPr>
            </w:pPr>
            <w:r>
              <w:rPr>
                <w:rFonts w:ascii="CharisSIL" w:eastAsiaTheme="minorHAnsi" w:hAnsi="CharisSIL" w:cs="CharisSIL"/>
                <w:sz w:val="16"/>
                <w:szCs w:val="16"/>
                <w:lang w:val="en-US" w:eastAsia="en-US"/>
              </w:rPr>
              <w:t>spheres such as health, economic benefit, security, education, etc</w:t>
            </w:r>
          </w:p>
        </w:tc>
        <w:tc>
          <w:tcPr>
            <w:tcW w:w="1756" w:type="dxa"/>
          </w:tcPr>
          <w:p w14:paraId="3F9D717B" w14:textId="631ECF43" w:rsidR="00F95DEA" w:rsidRPr="009F72B1" w:rsidRDefault="00F95DE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756" w:type="dxa"/>
          </w:tcPr>
          <w:p w14:paraId="16174A23" w14:textId="3002347A" w:rsidR="00F95DEA" w:rsidRPr="009F72B1" w:rsidRDefault="00F95DE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</w:tbl>
    <w:p w14:paraId="21D3CCCA" w14:textId="56361DCB" w:rsidR="000541FA" w:rsidRDefault="000541FA"/>
    <w:p w14:paraId="7521D39A" w14:textId="2C65150B" w:rsidR="00FD1359" w:rsidRDefault="00FD1359" w:rsidP="00FD1359">
      <w:pPr>
        <w:autoSpaceDE w:val="0"/>
        <w:autoSpaceDN w:val="0"/>
        <w:adjustRightInd w:val="0"/>
        <w:spacing w:after="0" w:line="240" w:lineRule="auto"/>
        <w:rPr>
          <w:rFonts w:ascii="CharisSIL" w:eastAsiaTheme="minorHAnsi" w:hAnsi="CharisSIL" w:cs="CharisSIL"/>
          <w:sz w:val="14"/>
          <w:szCs w:val="14"/>
          <w:lang w:val="en-US" w:eastAsia="en-US"/>
        </w:rPr>
      </w:pPr>
      <w:r>
        <w:rPr>
          <w:rFonts w:ascii="CharisSIL" w:eastAsiaTheme="minorHAnsi" w:hAnsi="CharisSIL" w:cs="CharisSIL"/>
          <w:sz w:val="14"/>
          <w:szCs w:val="14"/>
          <w:lang w:val="en-US" w:eastAsia="en-US"/>
        </w:rPr>
        <w:t>The authors identified 49 distinct factors from</w:t>
      </w:r>
      <w:r>
        <w:rPr>
          <w:rFonts w:ascii="CharisSIL" w:eastAsiaTheme="minorHAnsi" w:hAnsi="CharisSIL" w:cs="CharisSIL"/>
          <w:sz w:val="14"/>
          <w:szCs w:val="14"/>
          <w:lang w:val="en-US" w:eastAsia="en-US"/>
        </w:rPr>
        <w:t xml:space="preserve"> </w:t>
      </w:r>
      <w:r>
        <w:rPr>
          <w:rFonts w:ascii="CharisSIL" w:eastAsiaTheme="minorHAnsi" w:hAnsi="CharisSIL" w:cs="CharisSIL"/>
          <w:sz w:val="14"/>
          <w:szCs w:val="14"/>
          <w:lang w:val="en-US" w:eastAsia="en-US"/>
        </w:rPr>
        <w:t>the literature that implicitly or explicitly are suggested to contribute to successful project outcomes. Formed</w:t>
      </w:r>
      <w:r>
        <w:rPr>
          <w:rFonts w:ascii="CharisSIL" w:eastAsiaTheme="minorHAnsi" w:hAnsi="CharisSIL" w:cs="CharisSIL"/>
          <w:sz w:val="14"/>
          <w:szCs w:val="14"/>
          <w:lang w:val="en-US" w:eastAsia="en-US"/>
        </w:rPr>
        <w:t xml:space="preserve"> </w:t>
      </w:r>
      <w:r>
        <w:rPr>
          <w:rFonts w:ascii="CharisSIL" w:eastAsiaTheme="minorHAnsi" w:hAnsi="CharisSIL" w:cs="CharisSIL"/>
          <w:sz w:val="14"/>
          <w:szCs w:val="14"/>
          <w:lang w:val="en-US" w:eastAsia="en-US"/>
        </w:rPr>
        <w:t>as postulates in this paper, these 49 factors have been separated into 5 categories to assist understanding</w:t>
      </w:r>
      <w:r>
        <w:rPr>
          <w:rFonts w:ascii="CharisSIL" w:eastAsiaTheme="minorHAnsi" w:hAnsi="CharisSIL" w:cs="CharisSIL"/>
          <w:sz w:val="14"/>
          <w:szCs w:val="14"/>
          <w:lang w:val="en-US" w:eastAsia="en-US"/>
        </w:rPr>
        <w:t xml:space="preserve"> </w:t>
      </w:r>
      <w:r>
        <w:rPr>
          <w:rFonts w:ascii="CharisSIL" w:eastAsiaTheme="minorHAnsi" w:hAnsi="CharisSIL" w:cs="CharisSIL"/>
          <w:sz w:val="14"/>
          <w:szCs w:val="14"/>
          <w:lang w:val="en-US" w:eastAsia="en-US"/>
        </w:rPr>
        <w:t>and implementing these factors into service learning programs. Lastly, different methods of analyzing and</w:t>
      </w:r>
      <w:r>
        <w:rPr>
          <w:rFonts w:ascii="CharisSIL" w:eastAsiaTheme="minorHAnsi" w:hAnsi="CharisSIL" w:cs="CharisSIL"/>
          <w:sz w:val="14"/>
          <w:szCs w:val="14"/>
          <w:lang w:val="en-US" w:eastAsia="en-US"/>
        </w:rPr>
        <w:t xml:space="preserve"> </w:t>
      </w:r>
      <w:r>
        <w:rPr>
          <w:rFonts w:ascii="CharisSIL" w:eastAsiaTheme="minorHAnsi" w:hAnsi="CharisSIL" w:cs="CharisSIL"/>
          <w:sz w:val="14"/>
          <w:szCs w:val="14"/>
          <w:lang w:val="en-US" w:eastAsia="en-US"/>
        </w:rPr>
        <w:t>measuring project success and impact are discussed.</w:t>
      </w:r>
    </w:p>
    <w:p w14:paraId="3CE51A8B" w14:textId="3C380E47" w:rsidR="00FD1359" w:rsidRDefault="00FD1359" w:rsidP="00FD1359">
      <w:pPr>
        <w:autoSpaceDE w:val="0"/>
        <w:autoSpaceDN w:val="0"/>
        <w:adjustRightInd w:val="0"/>
        <w:spacing w:after="0" w:line="240" w:lineRule="auto"/>
        <w:rPr>
          <w:rFonts w:ascii="CharisSIL" w:eastAsiaTheme="minorHAnsi" w:hAnsi="CharisSIL" w:cs="CharisSIL"/>
          <w:sz w:val="14"/>
          <w:szCs w:val="14"/>
          <w:lang w:val="en-US" w:eastAsia="en-US"/>
        </w:rPr>
      </w:pPr>
    </w:p>
    <w:p w14:paraId="4D889415" w14:textId="5EBD69FF" w:rsidR="00FD1359" w:rsidRDefault="00FD1359" w:rsidP="00FD13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D1359">
        <w:rPr>
          <w:lang w:val="en-US"/>
        </w:rPr>
        <w:drawing>
          <wp:inline distT="0" distB="0" distL="0" distR="0" wp14:anchorId="721DFCBB" wp14:editId="528F4E58">
            <wp:extent cx="3203649" cy="309372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936" cy="310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4849" w14:textId="2419DA89" w:rsidR="00FD1359" w:rsidRDefault="00FD1359" w:rsidP="00FD135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EE16E39" w14:textId="2CF04288" w:rsidR="00FD1359" w:rsidRDefault="00FD1359" w:rsidP="00FD13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D1359">
        <w:rPr>
          <w:lang w:val="en-US"/>
        </w:rPr>
        <w:lastRenderedPageBreak/>
        <w:drawing>
          <wp:inline distT="0" distB="0" distL="0" distR="0" wp14:anchorId="2CE8B106" wp14:editId="245B6A2B">
            <wp:extent cx="3322320" cy="4082786"/>
            <wp:effectExtent l="0" t="0" r="0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391" cy="408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2729" w14:textId="4A2C1BDF" w:rsidR="00FD1359" w:rsidRDefault="00FD1359" w:rsidP="00FD135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9361AE6" w14:textId="11E3FD8D" w:rsidR="00FD1359" w:rsidRDefault="00AF5A6F" w:rsidP="00FD13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F5A6F">
        <w:rPr>
          <w:lang w:val="en-US"/>
        </w:rPr>
        <w:drawing>
          <wp:inline distT="0" distB="0" distL="0" distR="0" wp14:anchorId="56F82211" wp14:editId="7976B6FF">
            <wp:extent cx="3619500" cy="3066682"/>
            <wp:effectExtent l="0" t="0" r="0" b="63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254" cy="30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B288" w14:textId="2E72FAD1" w:rsidR="00AF5A6F" w:rsidRDefault="00AF5A6F" w:rsidP="00FD13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F5A6F">
        <w:rPr>
          <w:lang w:val="en-US"/>
        </w:rPr>
        <w:lastRenderedPageBreak/>
        <w:drawing>
          <wp:inline distT="0" distB="0" distL="0" distR="0" wp14:anchorId="6CA9E72A" wp14:editId="4D161A23">
            <wp:extent cx="3619814" cy="5631668"/>
            <wp:effectExtent l="0" t="0" r="0" b="762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FB72" w14:textId="5A57488D" w:rsidR="00AF5A6F" w:rsidRDefault="00AF5A6F" w:rsidP="00FD13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F5A6F">
        <w:rPr>
          <w:lang w:val="en-US"/>
        </w:rPr>
        <w:drawing>
          <wp:inline distT="0" distB="0" distL="0" distR="0" wp14:anchorId="7A37E8F4" wp14:editId="4DF0DAA4">
            <wp:extent cx="3642676" cy="1828958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230F" w14:textId="1858EE7D" w:rsidR="00AF5A6F" w:rsidRDefault="00AF5A6F" w:rsidP="00FD135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6C1E470" w14:textId="5A4056FF" w:rsidR="00AF5A6F" w:rsidRDefault="00AF5A6F" w:rsidP="00FD13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harisSIL-Italic" w:eastAsiaTheme="minorHAnsi" w:hAnsi="CharisSIL-Italic" w:cs="CharisSIL-Italic"/>
          <w:i/>
          <w:iCs/>
          <w:sz w:val="16"/>
          <w:szCs w:val="16"/>
          <w:lang w:val="en-US" w:eastAsia="en-US"/>
        </w:rPr>
        <w:t>4.1. Qualitative analysis methods</w:t>
      </w:r>
    </w:p>
    <w:p w14:paraId="08C35EC4" w14:textId="044651F7" w:rsidR="00AF5A6F" w:rsidRPr="00FD1359" w:rsidRDefault="00AF5A6F" w:rsidP="00AF5A6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harisSIL" w:eastAsiaTheme="minorHAnsi" w:hAnsi="CharisSIL" w:cs="CharisSIL"/>
          <w:color w:val="000000"/>
          <w:sz w:val="16"/>
          <w:szCs w:val="16"/>
          <w:lang w:val="en-US" w:eastAsia="en-US"/>
        </w:rPr>
        <w:t>post project reflection (</w:t>
      </w:r>
      <w:r>
        <w:rPr>
          <w:rFonts w:ascii="CharisSIL" w:eastAsiaTheme="minorHAnsi" w:hAnsi="CharisSIL" w:cs="CharisSIL"/>
          <w:color w:val="0081AD"/>
          <w:sz w:val="16"/>
          <w:szCs w:val="16"/>
          <w:lang w:val="en-US" w:eastAsia="en-US"/>
        </w:rPr>
        <w:t>Soto and Dzwonczyk</w:t>
      </w:r>
      <w:r>
        <w:rPr>
          <w:rFonts w:ascii="CharisSIL" w:eastAsiaTheme="minorHAnsi" w:hAnsi="CharisSIL" w:cs="CharisSIL"/>
          <w:color w:val="000000"/>
          <w:sz w:val="16"/>
          <w:szCs w:val="16"/>
          <w:lang w:val="en-US" w:eastAsia="en-US"/>
        </w:rPr>
        <w:t xml:space="preserve">, </w:t>
      </w:r>
      <w:r>
        <w:rPr>
          <w:rFonts w:ascii="CharisSIL" w:eastAsiaTheme="minorHAnsi" w:hAnsi="CharisSIL" w:cs="CharisSIL"/>
          <w:color w:val="0081AD"/>
          <w:sz w:val="16"/>
          <w:szCs w:val="16"/>
          <w:lang w:val="en-US" w:eastAsia="en-US"/>
        </w:rPr>
        <w:t>2015</w:t>
      </w:r>
      <w:r>
        <w:rPr>
          <w:rFonts w:ascii="CharisSIL" w:eastAsiaTheme="minorHAnsi" w:hAnsi="CharisSIL" w:cs="CharisSIL"/>
          <w:color w:val="000000"/>
          <w:sz w:val="16"/>
          <w:szCs w:val="16"/>
          <w:lang w:val="en-US" w:eastAsia="en-US"/>
        </w:rPr>
        <w:t xml:space="preserve">; </w:t>
      </w:r>
      <w:r>
        <w:rPr>
          <w:rFonts w:ascii="CharisSIL" w:eastAsiaTheme="minorHAnsi" w:hAnsi="CharisSIL" w:cs="CharisSIL"/>
          <w:color w:val="0081AD"/>
          <w:sz w:val="16"/>
          <w:szCs w:val="16"/>
          <w:lang w:val="en-US" w:eastAsia="en-US"/>
        </w:rPr>
        <w:t>Muñoz</w:t>
      </w:r>
      <w:r>
        <w:rPr>
          <w:rFonts w:ascii="CharisSIL" w:eastAsiaTheme="minorHAnsi" w:hAnsi="CharisSIL" w:cs="CharisSIL"/>
          <w:color w:val="000000"/>
          <w:sz w:val="16"/>
          <w:szCs w:val="16"/>
          <w:lang w:val="en-US" w:eastAsia="en-US"/>
        </w:rPr>
        <w:t xml:space="preserve">, </w:t>
      </w:r>
      <w:r>
        <w:rPr>
          <w:rFonts w:ascii="CharisSIL" w:eastAsiaTheme="minorHAnsi" w:hAnsi="CharisSIL" w:cs="CharisSIL"/>
          <w:color w:val="0081AD"/>
          <w:sz w:val="16"/>
          <w:szCs w:val="16"/>
          <w:lang w:val="en-US" w:eastAsia="en-US"/>
        </w:rPr>
        <w:t>2014</w:t>
      </w:r>
      <w:r>
        <w:rPr>
          <w:rFonts w:ascii="CharisSIL" w:eastAsiaTheme="minorHAnsi" w:hAnsi="CharisSIL" w:cs="CharisSIL"/>
          <w:color w:val="000000"/>
          <w:sz w:val="16"/>
          <w:szCs w:val="16"/>
          <w:lang w:val="en-US" w:eastAsia="en-US"/>
        </w:rPr>
        <w:t>). This</w:t>
      </w:r>
      <w:r>
        <w:rPr>
          <w:rFonts w:ascii="CharisSIL" w:eastAsiaTheme="minorHAnsi" w:hAnsi="CharisSIL" w:cs="CharisSIL"/>
          <w:color w:val="000000"/>
          <w:sz w:val="16"/>
          <w:szCs w:val="16"/>
          <w:lang w:val="en-US" w:eastAsia="en-US"/>
        </w:rPr>
        <w:t xml:space="preserve"> </w:t>
      </w:r>
      <w:r>
        <w:rPr>
          <w:rFonts w:ascii="CharisSIL" w:eastAsiaTheme="minorHAnsi" w:hAnsi="CharisSIL" w:cs="CharisSIL"/>
          <w:color w:val="000000"/>
          <w:sz w:val="16"/>
          <w:szCs w:val="16"/>
          <w:lang w:val="en-US" w:eastAsia="en-US"/>
        </w:rPr>
        <w:t>method involves asking students and professors what worked and what</w:t>
      </w:r>
      <w:r>
        <w:rPr>
          <w:rFonts w:ascii="CharisSIL" w:eastAsiaTheme="minorHAnsi" w:hAnsi="CharisSIL" w:cs="CharisSIL"/>
          <w:color w:val="000000"/>
          <w:sz w:val="16"/>
          <w:szCs w:val="16"/>
          <w:lang w:val="en-US" w:eastAsia="en-US"/>
        </w:rPr>
        <w:t xml:space="preserve"> </w:t>
      </w:r>
      <w:r>
        <w:rPr>
          <w:rFonts w:ascii="CharisSIL" w:eastAsiaTheme="minorHAnsi" w:hAnsi="CharisSIL" w:cs="CharisSIL"/>
          <w:color w:val="000000"/>
          <w:sz w:val="16"/>
          <w:szCs w:val="16"/>
          <w:lang w:val="en-US" w:eastAsia="en-US"/>
        </w:rPr>
        <w:t>did not after the implementation of the project</w:t>
      </w:r>
    </w:p>
    <w:sectPr w:rsidR="00AF5A6F" w:rsidRPr="00FD1359" w:rsidSect="00FD1359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isSI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isSIL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949D0"/>
    <w:multiLevelType w:val="hybridMultilevel"/>
    <w:tmpl w:val="E5C4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27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71"/>
    <w:rsid w:val="000541FA"/>
    <w:rsid w:val="00191A93"/>
    <w:rsid w:val="00630071"/>
    <w:rsid w:val="00832DF6"/>
    <w:rsid w:val="00863DD0"/>
    <w:rsid w:val="00A83A8F"/>
    <w:rsid w:val="00AF5A6F"/>
    <w:rsid w:val="00BE2289"/>
    <w:rsid w:val="00D51DF7"/>
    <w:rsid w:val="00F95DEA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B7DD"/>
  <w15:chartTrackingRefBased/>
  <w15:docId w15:val="{8AA8B367-593E-4A50-B79B-2090434F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EA"/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5DE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DIAZ FERNANDEZ</dc:creator>
  <cp:keywords/>
  <dc:description/>
  <cp:lastModifiedBy>JESSICA DIAZ FERNANDEZ</cp:lastModifiedBy>
  <cp:revision>4</cp:revision>
  <dcterms:created xsi:type="dcterms:W3CDTF">2022-08-31T00:20:00Z</dcterms:created>
  <dcterms:modified xsi:type="dcterms:W3CDTF">2022-09-20T23:57:00Z</dcterms:modified>
</cp:coreProperties>
</file>