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126"/>
        <w:gridCol w:w="2010"/>
        <w:gridCol w:w="1756"/>
        <w:gridCol w:w="1756"/>
      </w:tblGrid>
      <w:tr w:rsidR="00F95DEA" w14:paraId="2E6360D2" w14:textId="77777777" w:rsidTr="00D1068D">
        <w:trPr>
          <w:trHeight w:val="274"/>
          <w:jc w:val="center"/>
        </w:trPr>
        <w:tc>
          <w:tcPr>
            <w:tcW w:w="846" w:type="dxa"/>
          </w:tcPr>
          <w:p w14:paraId="640DCCFA" w14:textId="77777777" w:rsidR="00F95DEA" w:rsidRPr="006138F0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126" w:type="dxa"/>
          </w:tcPr>
          <w:p w14:paraId="007D90A1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10" w:type="dxa"/>
          </w:tcPr>
          <w:p w14:paraId="6C2222FD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14:paraId="74A52E15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14:paraId="7FE5CFD7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F95DEA" w14:paraId="1683DB03" w14:textId="77777777" w:rsidTr="00D1068D">
        <w:trPr>
          <w:trHeight w:val="274"/>
          <w:jc w:val="center"/>
        </w:trPr>
        <w:tc>
          <w:tcPr>
            <w:tcW w:w="846" w:type="dxa"/>
          </w:tcPr>
          <w:p w14:paraId="3586198D" w14:textId="5B7AEC05" w:rsidR="00F95DEA" w:rsidRPr="009F72B1" w:rsidRDefault="001F3F5B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</w:t>
            </w:r>
          </w:p>
        </w:tc>
        <w:tc>
          <w:tcPr>
            <w:tcW w:w="2126" w:type="dxa"/>
          </w:tcPr>
          <w:p w14:paraId="07F24EAE" w14:textId="039D37C0" w:rsidR="00F95DEA" w:rsidRDefault="001F3F5B" w:rsidP="00BF25E6">
            <w:pPr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</w:pPr>
            <w:r w:rsidRPr="001F3F5B"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  <w:t>quality of living and working environment</w:t>
            </w:r>
          </w:p>
          <w:p w14:paraId="0BEC63D2" w14:textId="77777777" w:rsidR="00D1068D" w:rsidRDefault="00D1068D" w:rsidP="005B1EB0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207E085A" w14:textId="77777777" w:rsidR="00D1068D" w:rsidRDefault="00D1068D" w:rsidP="00D1068D">
            <w:pPr>
              <w:autoSpaceDE w:val="0"/>
              <w:autoSpaceDN w:val="0"/>
              <w:adjustRightInd w:val="0"/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</w:pP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 xml:space="preserve">Public accessibility </w:t>
            </w:r>
          </w:p>
          <w:p w14:paraId="01EBFC75" w14:textId="33CB7CC3" w:rsidR="00D1068D" w:rsidRPr="00D1068D" w:rsidRDefault="00D1068D" w:rsidP="00D1068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4" w:hanging="174"/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</w:pPr>
            <w:r w:rsidRPr="00D1068D"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Travel time min NA</w:t>
            </w:r>
          </w:p>
          <w:p w14:paraId="527D51C2" w14:textId="77777777" w:rsidR="00D1068D" w:rsidRPr="00D1068D" w:rsidRDefault="00D1068D" w:rsidP="00D1068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4" w:hanging="174"/>
              <w:rPr>
                <w:sz w:val="18"/>
                <w:szCs w:val="18"/>
                <w:lang w:val="en-US"/>
              </w:rPr>
            </w:pPr>
            <w:r w:rsidRPr="00D1068D"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Extent of congestion</w:t>
            </w:r>
          </w:p>
          <w:p w14:paraId="2808E2B3" w14:textId="40ED8884" w:rsidR="00D1068D" w:rsidRDefault="00D1068D" w:rsidP="00D1068D">
            <w:pPr>
              <w:autoSpaceDE w:val="0"/>
              <w:autoSpaceDN w:val="0"/>
              <w:adjustRightInd w:val="0"/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</w:pP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Health and safety</w:t>
            </w:r>
          </w:p>
          <w:p w14:paraId="739B139B" w14:textId="43B9FD9A" w:rsidR="00D1068D" w:rsidRPr="00D1068D" w:rsidRDefault="00D1068D" w:rsidP="00D1068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4" w:hanging="174"/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</w:pP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Casualty</w:t>
            </w:r>
          </w:p>
          <w:p w14:paraId="50A3E88E" w14:textId="77777777" w:rsidR="00D1068D" w:rsidRDefault="00D1068D" w:rsidP="00D1068D">
            <w:pPr>
              <w:autoSpaceDE w:val="0"/>
              <w:autoSpaceDN w:val="0"/>
              <w:adjustRightInd w:val="0"/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</w:pP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Local development</w:t>
            </w:r>
          </w:p>
          <w:p w14:paraId="3B9B216E" w14:textId="77777777" w:rsidR="00D1068D" w:rsidRDefault="00D1068D" w:rsidP="00D1068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4" w:hanging="174"/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</w:pP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Downtime</w:t>
            </w:r>
          </w:p>
          <w:p w14:paraId="309B99A6" w14:textId="412884D4" w:rsidR="00D1068D" w:rsidRPr="00D1068D" w:rsidRDefault="00D1068D" w:rsidP="00D1068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4" w:hanging="174"/>
              <w:rPr>
                <w:sz w:val="18"/>
                <w:szCs w:val="18"/>
                <w:lang w:val="en-US"/>
              </w:rPr>
            </w:pP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Economic loss</w:t>
            </w:r>
          </w:p>
        </w:tc>
        <w:tc>
          <w:tcPr>
            <w:tcW w:w="2010" w:type="dxa"/>
          </w:tcPr>
          <w:p w14:paraId="5C623BD0" w14:textId="3C7E2B6D" w:rsidR="00F95DEA" w:rsidRPr="009F72B1" w:rsidRDefault="00BF25E6" w:rsidP="00BF25E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  <w:t>comparative method</w:t>
            </w:r>
            <w:r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  <w:t>which utilizes historical data</w:t>
            </w:r>
            <w:r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  <w:t>of a similar project to predict the probable social impacts of the objective</w:t>
            </w:r>
            <w:r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  <w:t>project.</w:t>
            </w:r>
          </w:p>
        </w:tc>
        <w:tc>
          <w:tcPr>
            <w:tcW w:w="1756" w:type="dxa"/>
          </w:tcPr>
          <w:p w14:paraId="070A1A2E" w14:textId="77777777" w:rsidR="00D1068D" w:rsidRDefault="00D1068D" w:rsidP="005B1EB0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3D35D5D9" w14:textId="77777777" w:rsidR="00D1068D" w:rsidRDefault="00D1068D" w:rsidP="005B1EB0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70E6E676" w14:textId="77777777" w:rsidR="00D1068D" w:rsidRDefault="00D1068D" w:rsidP="005B1EB0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0E8F70B7" w14:textId="4AE62536" w:rsidR="00BF25E6" w:rsidRPr="00BF25E6" w:rsidRDefault="00BF25E6" w:rsidP="00BF25E6">
            <w:pPr>
              <w:autoSpaceDE w:val="0"/>
              <w:autoSpaceDN w:val="0"/>
              <w:adjustRightInd w:val="0"/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</w:pPr>
            <w:r w:rsidRPr="00BF25E6"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Travel time min NA</w:t>
            </w: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 xml:space="preserve"> </w:t>
            </w:r>
            <w:r w:rsidRPr="00BF25E6"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sym w:font="Wingdings" w:char="F0E0"/>
            </w: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 xml:space="preserve"> min</w:t>
            </w:r>
          </w:p>
          <w:p w14:paraId="2FE3C731" w14:textId="0DCDB200" w:rsidR="00BF25E6" w:rsidRPr="00BF25E6" w:rsidRDefault="00BF25E6" w:rsidP="00BF25E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BF25E6"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E</w:t>
            </w:r>
            <w:r w:rsidRPr="00BF25E6"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xtent of congestion</w:t>
            </w: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 xml:space="preserve"> </w:t>
            </w:r>
            <w:r w:rsidRPr="00BF25E6"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sym w:font="Wingdings" w:char="F0E0"/>
            </w: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 xml:space="preserve"> min</w:t>
            </w:r>
          </w:p>
          <w:p w14:paraId="2AD75008" w14:textId="1EF32A50" w:rsidR="00BF25E6" w:rsidRPr="00BF25E6" w:rsidRDefault="00BF25E6" w:rsidP="00BF25E6">
            <w:pPr>
              <w:autoSpaceDE w:val="0"/>
              <w:autoSpaceDN w:val="0"/>
              <w:adjustRightInd w:val="0"/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</w:pPr>
            <w:r w:rsidRPr="00BF25E6"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Casualty</w:t>
            </w: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 xml:space="preserve"> </w:t>
            </w:r>
            <w:r w:rsidRPr="00BF25E6"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sym w:font="Wingdings" w:char="F0E0"/>
            </w: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 xml:space="preserve"> persons</w:t>
            </w:r>
          </w:p>
          <w:p w14:paraId="4B9A3A8B" w14:textId="24E5451B" w:rsidR="00BF25E6" w:rsidRPr="00BF25E6" w:rsidRDefault="00BF25E6" w:rsidP="00BF25E6">
            <w:pPr>
              <w:autoSpaceDE w:val="0"/>
              <w:autoSpaceDN w:val="0"/>
              <w:adjustRightInd w:val="0"/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</w:pPr>
            <w:r w:rsidRPr="00BF25E6"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Downtime</w:t>
            </w: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 xml:space="preserve"> </w:t>
            </w:r>
            <w:r w:rsidRPr="00BF25E6"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sym w:font="Wingdings" w:char="F0E0"/>
            </w: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 xml:space="preserve"> days </w:t>
            </w:r>
          </w:p>
          <w:p w14:paraId="3F9D717B" w14:textId="5CE739C8" w:rsidR="00D1068D" w:rsidRPr="009F72B1" w:rsidRDefault="00BF25E6" w:rsidP="00BF25E6">
            <w:pPr>
              <w:rPr>
                <w:sz w:val="18"/>
                <w:szCs w:val="18"/>
                <w:lang w:val="en-US"/>
              </w:rPr>
            </w:pP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>Economic loss</w:t>
            </w:r>
            <w:r>
              <w:rPr>
                <w:rFonts w:ascii="AdvOT596495f2" w:eastAsiaTheme="minorHAnsi" w:hAnsi="AdvOT596495f2" w:cs="AdvOT596495f2"/>
                <w:sz w:val="13"/>
                <w:szCs w:val="13"/>
                <w:lang w:val="en-US" w:eastAsia="en-US"/>
              </w:rPr>
              <w:t xml:space="preserve"> ¿?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756" w:type="dxa"/>
          </w:tcPr>
          <w:p w14:paraId="16174A23" w14:textId="3002347A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21D3CCCA" w14:textId="2D4C5F8B" w:rsidR="000541FA" w:rsidRDefault="000541FA"/>
    <w:p w14:paraId="65FA2100" w14:textId="6B923902" w:rsidR="001F3F5B" w:rsidRDefault="001F3F5B" w:rsidP="001F3F5B">
      <w:pPr>
        <w:autoSpaceDE w:val="0"/>
        <w:autoSpaceDN w:val="0"/>
        <w:adjustRightInd w:val="0"/>
        <w:spacing w:after="0" w:line="240" w:lineRule="auto"/>
        <w:rPr>
          <w:rFonts w:ascii="AdvOT596495f2" w:eastAsiaTheme="minorHAnsi" w:hAnsi="AdvOT596495f2" w:cs="AdvOT596495f2"/>
          <w:sz w:val="16"/>
          <w:szCs w:val="16"/>
          <w:lang w:val="en-US" w:eastAsia="en-US"/>
        </w:rPr>
      </w:pP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This paper is about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a green structure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which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is supposed to minimize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local and global environmental impacts, as well as the social impacts.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The objective of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social impacts aims to improve the </w:t>
      </w:r>
      <w:r w:rsidRPr="001F3F5B">
        <w:rPr>
          <w:rFonts w:ascii="AdvOT596495f2" w:eastAsiaTheme="minorHAnsi" w:hAnsi="AdvOT596495f2" w:cs="AdvOT596495f2"/>
          <w:b/>
          <w:bCs/>
          <w:sz w:val="16"/>
          <w:szCs w:val="16"/>
          <w:lang w:val="en-US" w:eastAsia="en-US"/>
        </w:rPr>
        <w:t>quality of living and working environment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related to the structure.</w:t>
      </w:r>
    </w:p>
    <w:p w14:paraId="63A1FCE8" w14:textId="587041CC" w:rsidR="001F3F5B" w:rsidRDefault="001F3F5B" w:rsidP="001F3F5B">
      <w:pPr>
        <w:autoSpaceDE w:val="0"/>
        <w:autoSpaceDN w:val="0"/>
        <w:adjustRightInd w:val="0"/>
        <w:spacing w:after="0" w:line="240" w:lineRule="auto"/>
        <w:rPr>
          <w:rFonts w:ascii="AdvOT596495f2" w:eastAsiaTheme="minorHAnsi" w:hAnsi="AdvOT596495f2" w:cs="AdvOT596495f2"/>
          <w:sz w:val="16"/>
          <w:szCs w:val="16"/>
          <w:lang w:val="en-US" w:eastAsia="en-US"/>
        </w:rPr>
      </w:pPr>
    </w:p>
    <w:p w14:paraId="11C0EA6C" w14:textId="32E7491C" w:rsidR="001F3F5B" w:rsidRDefault="001F3F5B" w:rsidP="001F3F5B">
      <w:pPr>
        <w:autoSpaceDE w:val="0"/>
        <w:autoSpaceDN w:val="0"/>
        <w:adjustRightInd w:val="0"/>
        <w:spacing w:after="0" w:line="240" w:lineRule="auto"/>
        <w:rPr>
          <w:rFonts w:ascii="AdvOT596495f2" w:eastAsiaTheme="minorHAnsi" w:hAnsi="AdvOT596495f2" w:cs="AdvOT596495f2"/>
          <w:sz w:val="16"/>
          <w:szCs w:val="16"/>
          <w:lang w:val="en-US" w:eastAsia="en-US"/>
        </w:rPr>
      </w:pP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The social impacts of a structure are not entirely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or directly determined by the structure itself. They involve human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factors and market factors. For example, the social impacts caused by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bridge failure are associated with not only the probability of failure of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the structure but also the tra</w:t>
      </w:r>
      <w:r>
        <w:rPr>
          <w:rFonts w:ascii="AdvOT596495f2+fb" w:eastAsiaTheme="minorHAnsi" w:hAnsi="AdvOT596495f2+fb" w:cs="AdvOT596495f2+fb"/>
          <w:sz w:val="16"/>
          <w:szCs w:val="16"/>
          <w:lang w:val="en-US" w:eastAsia="en-US"/>
        </w:rPr>
        <w:t>ffi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c volume and the importance of the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bridge to the regional economy, among others. Additionally, the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structural activities are a</w:t>
      </w:r>
      <w:r>
        <w:rPr>
          <w:rFonts w:ascii="AdvOT596495f2+fb" w:eastAsiaTheme="minorHAnsi" w:hAnsi="AdvOT596495f2+fb" w:cs="AdvOT596495f2+fb"/>
          <w:sz w:val="16"/>
          <w:szCs w:val="16"/>
          <w:lang w:val="en-US" w:eastAsia="en-US"/>
        </w:rPr>
        <w:t>ff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ecting the greenhouse e</w:t>
      </w:r>
      <w:r>
        <w:rPr>
          <w:rFonts w:ascii="AdvOT596495f2+fb" w:eastAsiaTheme="minorHAnsi" w:hAnsi="AdvOT596495f2+fb" w:cs="AdvOT596495f2+fb"/>
          <w:sz w:val="16"/>
          <w:szCs w:val="16"/>
          <w:lang w:val="en-US" w:eastAsia="en-US"/>
        </w:rPr>
        <w:t>ff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ect, natural resources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depletion or other global environmental problems. The identi</w:t>
      </w:r>
      <w:r>
        <w:rPr>
          <w:rFonts w:ascii="AdvOT596495f2+fb" w:eastAsiaTheme="minorHAnsi" w:hAnsi="AdvOT596495f2+fb" w:cs="AdvOT596495f2+fb"/>
          <w:sz w:val="16"/>
          <w:szCs w:val="16"/>
          <w:lang w:val="en-US" w:eastAsia="en-US"/>
        </w:rPr>
        <w:t>fi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cation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and quanti</w:t>
      </w:r>
      <w:r>
        <w:rPr>
          <w:rFonts w:ascii="AdvOT596495f2+fb" w:eastAsiaTheme="minorHAnsi" w:hAnsi="AdvOT596495f2+fb" w:cs="AdvOT596495f2+fb"/>
          <w:sz w:val="16"/>
          <w:szCs w:val="16"/>
          <w:lang w:val="en-US" w:eastAsia="en-US"/>
        </w:rPr>
        <w:t>fi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cation of structures</w:t>
      </w:r>
      <w:r>
        <w:rPr>
          <w:rFonts w:ascii="AdvOT596495f2+20" w:eastAsia="AdvOT596495f2+20" w:hAnsi="AdvOT596495f2" w:cs="AdvOT596495f2+20" w:hint="eastAsia"/>
          <w:sz w:val="16"/>
          <w:szCs w:val="16"/>
          <w:lang w:val="en-US" w:eastAsia="en-US"/>
        </w:rPr>
        <w:t>’</w:t>
      </w:r>
      <w:r>
        <w:rPr>
          <w:rFonts w:ascii="AdvOT596495f2+20" w:eastAsia="AdvOT596495f2+20" w:hAnsi="AdvOT596495f2" w:cs="AdvOT596495f2+20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global environmental impacts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can be di</w:t>
      </w:r>
      <w:r>
        <w:rPr>
          <w:rFonts w:ascii="AdvOT596495f2+fb" w:eastAsiaTheme="minorHAnsi" w:hAnsi="AdvOT596495f2+fb" w:cs="AdvOT596495f2+fb"/>
          <w:sz w:val="16"/>
          <w:szCs w:val="16"/>
          <w:lang w:val="en-US" w:eastAsia="en-US"/>
        </w:rPr>
        <w:t>ffi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cult in a context as grand and as changeable as the entire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planet, but it is still of vital importance to consider this aspect as an</w:t>
      </w:r>
    </w:p>
    <w:p w14:paraId="65991011" w14:textId="2EE0B261" w:rsidR="001F3F5B" w:rsidRDefault="001F3F5B" w:rsidP="001F3F5B">
      <w:pPr>
        <w:autoSpaceDE w:val="0"/>
        <w:autoSpaceDN w:val="0"/>
        <w:adjustRightInd w:val="0"/>
        <w:spacing w:after="0" w:line="240" w:lineRule="auto"/>
        <w:rPr>
          <w:rFonts w:ascii="AdvOT596495f2" w:eastAsiaTheme="minorHAnsi" w:hAnsi="AdvOT596495f2" w:cs="AdvOT596495f2"/>
          <w:sz w:val="16"/>
          <w:szCs w:val="16"/>
          <w:lang w:val="en-US" w:eastAsia="en-US"/>
        </w:rPr>
      </w:pP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objective in the structural design process.</w:t>
      </w:r>
    </w:p>
    <w:p w14:paraId="7D280F66" w14:textId="04E3A5EF" w:rsidR="00BF25E6" w:rsidRDefault="00BF25E6" w:rsidP="001F3F5B">
      <w:pPr>
        <w:autoSpaceDE w:val="0"/>
        <w:autoSpaceDN w:val="0"/>
        <w:adjustRightInd w:val="0"/>
        <w:spacing w:after="0" w:line="240" w:lineRule="auto"/>
        <w:rPr>
          <w:rFonts w:ascii="AdvOT596495f2" w:eastAsiaTheme="minorHAnsi" w:hAnsi="AdvOT596495f2" w:cs="AdvOT596495f2"/>
          <w:sz w:val="16"/>
          <w:szCs w:val="16"/>
          <w:lang w:val="en-US" w:eastAsia="en-US"/>
        </w:rPr>
      </w:pPr>
    </w:p>
    <w:p w14:paraId="2C616844" w14:textId="33320617" w:rsidR="00BF25E6" w:rsidRPr="001F3F5B" w:rsidRDefault="00BF25E6" w:rsidP="00BF25E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Social impacts can include the changes to people</w:t>
      </w:r>
      <w:r>
        <w:rPr>
          <w:rFonts w:ascii="AdvOT596495f2+20" w:eastAsia="AdvOT596495f2+20" w:hAnsi="AdvOT596495f2" w:cs="AdvOT596495f2+20" w:hint="eastAsia"/>
          <w:sz w:val="16"/>
          <w:szCs w:val="16"/>
          <w:lang w:val="en-US" w:eastAsia="en-US"/>
        </w:rPr>
        <w:t>’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s way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of life, culture, political systems, community, environment, health and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wellbeing, personal and property rights and their fear and aspirations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[73]. Social impact assessment [73</w:t>
      </w:r>
      <w:r>
        <w:rPr>
          <w:rFonts w:ascii="AdvOT596495f2+20" w:eastAsia="AdvOT596495f2+20" w:hAnsi="AdvOT596495f2" w:cs="AdvOT596495f2+20" w:hint="eastAsia"/>
          <w:sz w:val="16"/>
          <w:szCs w:val="16"/>
          <w:lang w:val="en-US" w:eastAsia="en-US"/>
        </w:rPr>
        <w:t>–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75] is de</w:t>
      </w:r>
      <w:r>
        <w:rPr>
          <w:rFonts w:ascii="AdvOT596495f2+fb" w:eastAsiaTheme="minorHAnsi" w:hAnsi="AdvOT596495f2+fb" w:cs="AdvOT596495f2+fb"/>
          <w:sz w:val="16"/>
          <w:szCs w:val="16"/>
          <w:lang w:val="en-US" w:eastAsia="en-US"/>
        </w:rPr>
        <w:t>fi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ned as the analysis, estimation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and management of future social consequences of a current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change or development. For bridge structures, a simpli</w:t>
      </w:r>
      <w:r>
        <w:rPr>
          <w:rFonts w:ascii="AdvOT596495f2+fb" w:eastAsiaTheme="minorHAnsi" w:hAnsi="AdvOT596495f2+fb" w:cs="AdvOT596495f2+fb"/>
          <w:sz w:val="16"/>
          <w:szCs w:val="16"/>
          <w:lang w:val="en-US" w:eastAsia="en-US"/>
        </w:rPr>
        <w:t>fi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ed social evaluation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indicator system is developed herein by considering the major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characteristics of bridges, such as public accessibility, human health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and safety, and local development [17,15]. Public accessibility of a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bridge mainly refers to the tra</w:t>
      </w:r>
      <w:r>
        <w:rPr>
          <w:rFonts w:ascii="AdvOT596495f2+fb" w:eastAsiaTheme="minorHAnsi" w:hAnsi="AdvOT596495f2+fb" w:cs="AdvOT596495f2+fb"/>
          <w:sz w:val="16"/>
          <w:szCs w:val="16"/>
          <w:lang w:val="en-US" w:eastAsia="en-US"/>
        </w:rPr>
        <w:t>ffi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c condition, such as travel time and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extent of congestion. Human health and safety measures the injuries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and casualties induced by structure failure or engineering activities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during the life cycle of a bridge. The failure or engineering activities of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a bridge can a</w:t>
      </w:r>
      <w:r>
        <w:rPr>
          <w:rFonts w:ascii="AdvOT596495f2+fb" w:eastAsiaTheme="minorHAnsi" w:hAnsi="AdvOT596495f2+fb" w:cs="AdvOT596495f2+fb"/>
          <w:sz w:val="16"/>
          <w:szCs w:val="16"/>
          <w:lang w:val="en-US" w:eastAsia="en-US"/>
        </w:rPr>
        <w:t>ff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ect the local development by causing downtime and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economic loss.</w:t>
      </w:r>
    </w:p>
    <w:sectPr w:rsidR="00BF25E6" w:rsidRPr="001F3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596495f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596495f2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596495f2+2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AA4"/>
    <w:multiLevelType w:val="hybridMultilevel"/>
    <w:tmpl w:val="6BBE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02B28"/>
    <w:multiLevelType w:val="hybridMultilevel"/>
    <w:tmpl w:val="A3BE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21051">
    <w:abstractNumId w:val="1"/>
  </w:num>
  <w:num w:numId="2" w16cid:durableId="211775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1"/>
    <w:rsid w:val="000541FA"/>
    <w:rsid w:val="00191A93"/>
    <w:rsid w:val="001F3F5B"/>
    <w:rsid w:val="00202460"/>
    <w:rsid w:val="00630071"/>
    <w:rsid w:val="00863DD0"/>
    <w:rsid w:val="00BE2289"/>
    <w:rsid w:val="00BF25E6"/>
    <w:rsid w:val="00D1068D"/>
    <w:rsid w:val="00D51DF7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B7DD"/>
  <w15:chartTrackingRefBased/>
  <w15:docId w15:val="{8AA8B367-593E-4A50-B79B-2090434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EA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E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JESSICA DIAZ FERNANDEZ</cp:lastModifiedBy>
  <cp:revision>3</cp:revision>
  <dcterms:created xsi:type="dcterms:W3CDTF">2022-08-31T00:20:00Z</dcterms:created>
  <dcterms:modified xsi:type="dcterms:W3CDTF">2022-09-21T00:15:00Z</dcterms:modified>
</cp:coreProperties>
</file>