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jc w:val="center"/>
        <w:tblLook w:val="04A0" w:firstRow="1" w:lastRow="0" w:firstColumn="1" w:lastColumn="0" w:noHBand="0" w:noVBand="1"/>
      </w:tblPr>
      <w:tblGrid>
        <w:gridCol w:w="846"/>
        <w:gridCol w:w="2060"/>
        <w:gridCol w:w="2076"/>
        <w:gridCol w:w="1756"/>
        <w:gridCol w:w="1756"/>
      </w:tblGrid>
      <w:tr w:rsidR="00F95DEA" w14:paraId="2E6360D2" w14:textId="77777777" w:rsidTr="005B1EB0">
        <w:trPr>
          <w:trHeight w:val="274"/>
          <w:jc w:val="center"/>
        </w:trPr>
        <w:tc>
          <w:tcPr>
            <w:tcW w:w="846" w:type="dxa"/>
          </w:tcPr>
          <w:p w14:paraId="640DCCFA" w14:textId="77777777" w:rsidR="00F95DEA" w:rsidRPr="006138F0" w:rsidRDefault="00F95DEA" w:rsidP="005B1EB0">
            <w:pPr>
              <w:jc w:val="center"/>
              <w:rPr>
                <w:b/>
                <w:bCs/>
                <w:sz w:val="18"/>
                <w:szCs w:val="18"/>
                <w:lang w:val="en-US"/>
              </w:rPr>
            </w:pPr>
            <w:r>
              <w:rPr>
                <w:b/>
                <w:bCs/>
                <w:sz w:val="18"/>
                <w:szCs w:val="18"/>
                <w:lang w:val="en-US"/>
              </w:rPr>
              <w:t>Study ID</w:t>
            </w:r>
          </w:p>
        </w:tc>
        <w:tc>
          <w:tcPr>
            <w:tcW w:w="2060" w:type="dxa"/>
          </w:tcPr>
          <w:p w14:paraId="007D90A1" w14:textId="77777777" w:rsidR="00F95DEA" w:rsidRDefault="00F95DEA" w:rsidP="005B1EB0">
            <w:pPr>
              <w:jc w:val="center"/>
              <w:rPr>
                <w:b/>
                <w:bCs/>
                <w:sz w:val="18"/>
                <w:szCs w:val="18"/>
                <w:lang w:val="en-US"/>
              </w:rPr>
            </w:pPr>
            <w:r>
              <w:rPr>
                <w:b/>
                <w:bCs/>
                <w:sz w:val="18"/>
                <w:szCs w:val="18"/>
                <w:lang w:val="en-US"/>
              </w:rPr>
              <w:t>indicators</w:t>
            </w:r>
          </w:p>
        </w:tc>
        <w:tc>
          <w:tcPr>
            <w:tcW w:w="2076" w:type="dxa"/>
          </w:tcPr>
          <w:p w14:paraId="6C2222FD" w14:textId="77777777" w:rsidR="00F95DEA" w:rsidRDefault="00F95DEA" w:rsidP="005B1EB0">
            <w:pPr>
              <w:jc w:val="center"/>
              <w:rPr>
                <w:b/>
                <w:bCs/>
                <w:sz w:val="18"/>
                <w:szCs w:val="18"/>
                <w:lang w:val="en-US"/>
              </w:rPr>
            </w:pPr>
            <w:r>
              <w:rPr>
                <w:b/>
                <w:bCs/>
                <w:sz w:val="18"/>
                <w:szCs w:val="18"/>
                <w:lang w:val="en-US"/>
              </w:rPr>
              <w:t>methods</w:t>
            </w:r>
          </w:p>
        </w:tc>
        <w:tc>
          <w:tcPr>
            <w:tcW w:w="1756" w:type="dxa"/>
          </w:tcPr>
          <w:p w14:paraId="74A52E15" w14:textId="77777777" w:rsidR="00F95DEA" w:rsidRDefault="00F95DEA" w:rsidP="005B1EB0">
            <w:pPr>
              <w:jc w:val="center"/>
              <w:rPr>
                <w:b/>
                <w:bCs/>
                <w:sz w:val="18"/>
                <w:szCs w:val="18"/>
                <w:lang w:val="en-US"/>
              </w:rPr>
            </w:pPr>
            <w:r>
              <w:rPr>
                <w:b/>
                <w:bCs/>
                <w:sz w:val="18"/>
                <w:szCs w:val="18"/>
                <w:lang w:val="en-US"/>
              </w:rPr>
              <w:t>scale</w:t>
            </w:r>
          </w:p>
        </w:tc>
        <w:tc>
          <w:tcPr>
            <w:tcW w:w="1756" w:type="dxa"/>
          </w:tcPr>
          <w:p w14:paraId="7FE5CFD7" w14:textId="77777777" w:rsidR="00F95DEA" w:rsidRDefault="00F95DEA" w:rsidP="005B1EB0">
            <w:pPr>
              <w:jc w:val="center"/>
              <w:rPr>
                <w:b/>
                <w:bCs/>
                <w:sz w:val="18"/>
                <w:szCs w:val="18"/>
                <w:lang w:val="en-US"/>
              </w:rPr>
            </w:pPr>
            <w:r>
              <w:rPr>
                <w:b/>
                <w:bCs/>
                <w:sz w:val="18"/>
                <w:szCs w:val="18"/>
                <w:lang w:val="en-US"/>
              </w:rPr>
              <w:t>practices</w:t>
            </w:r>
          </w:p>
        </w:tc>
      </w:tr>
      <w:tr w:rsidR="00F95DEA" w14:paraId="1683DB03" w14:textId="77777777" w:rsidTr="005B1EB0">
        <w:trPr>
          <w:trHeight w:val="274"/>
          <w:jc w:val="center"/>
        </w:trPr>
        <w:tc>
          <w:tcPr>
            <w:tcW w:w="846" w:type="dxa"/>
          </w:tcPr>
          <w:p w14:paraId="3586198D" w14:textId="59356606" w:rsidR="00F95DEA" w:rsidRPr="009F72B1" w:rsidRDefault="00AC5F3C" w:rsidP="005B1EB0">
            <w:pPr>
              <w:jc w:val="center"/>
              <w:rPr>
                <w:sz w:val="18"/>
                <w:szCs w:val="18"/>
                <w:lang w:val="en-US"/>
              </w:rPr>
            </w:pPr>
            <w:r>
              <w:rPr>
                <w:sz w:val="18"/>
                <w:szCs w:val="18"/>
                <w:lang w:val="en-US"/>
              </w:rPr>
              <w:t>50</w:t>
            </w:r>
          </w:p>
        </w:tc>
        <w:tc>
          <w:tcPr>
            <w:tcW w:w="2060" w:type="dxa"/>
          </w:tcPr>
          <w:p w14:paraId="0BCD6148" w14:textId="34B797E7" w:rsidR="00AC5F3C" w:rsidRDefault="00AC5F3C" w:rsidP="005B1EB0">
            <w:pPr>
              <w:jc w:val="center"/>
              <w:rPr>
                <w:sz w:val="16"/>
                <w:szCs w:val="16"/>
                <w:lang w:val="en-US"/>
              </w:rPr>
            </w:pPr>
            <w:r w:rsidRPr="00AC5F3C">
              <w:rPr>
                <w:sz w:val="16"/>
                <w:szCs w:val="16"/>
                <w:lang w:val="en-US"/>
              </w:rPr>
              <w:t>S</w:t>
            </w:r>
            <w:r w:rsidRPr="00AC5F3C">
              <w:rPr>
                <w:sz w:val="16"/>
                <w:szCs w:val="16"/>
                <w:lang w:val="en-US"/>
              </w:rPr>
              <w:t>afety</w:t>
            </w:r>
          </w:p>
          <w:p w14:paraId="1BEF8DF7" w14:textId="5CDE6E83" w:rsidR="00F95DEA" w:rsidRDefault="00AC5F3C" w:rsidP="005B1EB0">
            <w:pPr>
              <w:jc w:val="center"/>
              <w:rPr>
                <w:sz w:val="16"/>
                <w:szCs w:val="16"/>
                <w:lang w:val="en-US"/>
              </w:rPr>
            </w:pPr>
            <w:r w:rsidRPr="00AC5F3C">
              <w:rPr>
                <w:sz w:val="16"/>
                <w:szCs w:val="16"/>
                <w:lang w:val="en-US"/>
              </w:rPr>
              <w:t>H</w:t>
            </w:r>
            <w:r w:rsidRPr="00AC5F3C">
              <w:rPr>
                <w:sz w:val="16"/>
                <w:szCs w:val="16"/>
                <w:lang w:val="en-US"/>
              </w:rPr>
              <w:t>ealth</w:t>
            </w:r>
          </w:p>
          <w:p w14:paraId="216FA3A1" w14:textId="77777777" w:rsidR="00AC5F3C" w:rsidRDefault="00AC5F3C" w:rsidP="005B1EB0">
            <w:pPr>
              <w:jc w:val="center"/>
              <w:rPr>
                <w:sz w:val="16"/>
                <w:szCs w:val="16"/>
                <w:lang w:val="en-US"/>
              </w:rPr>
            </w:pPr>
          </w:p>
          <w:p w14:paraId="3A74B9CA" w14:textId="77777777" w:rsidR="00AC5F3C" w:rsidRDefault="00AC5F3C" w:rsidP="005B1EB0">
            <w:pPr>
              <w:jc w:val="center"/>
              <w:rPr>
                <w:sz w:val="16"/>
                <w:szCs w:val="16"/>
                <w:lang w:val="en-US"/>
              </w:rPr>
            </w:pPr>
          </w:p>
          <w:p w14:paraId="761028DB" w14:textId="77777777" w:rsidR="00AC5F3C" w:rsidRDefault="00AC5F3C" w:rsidP="005B1EB0">
            <w:pPr>
              <w:jc w:val="center"/>
              <w:rPr>
                <w:sz w:val="16"/>
                <w:szCs w:val="16"/>
                <w:lang w:val="en-US"/>
              </w:rPr>
            </w:pPr>
          </w:p>
          <w:p w14:paraId="3DD0593F" w14:textId="77777777" w:rsidR="00AC5F3C" w:rsidRDefault="00AC5F3C" w:rsidP="005B1EB0">
            <w:pPr>
              <w:jc w:val="center"/>
              <w:rPr>
                <w:sz w:val="16"/>
                <w:szCs w:val="16"/>
                <w:lang w:val="en-US"/>
              </w:rPr>
            </w:pPr>
          </w:p>
          <w:p w14:paraId="04A1FC10" w14:textId="77777777" w:rsidR="00AC5F3C" w:rsidRDefault="00AC5F3C" w:rsidP="005B1EB0">
            <w:pPr>
              <w:jc w:val="center"/>
              <w:rPr>
                <w:sz w:val="16"/>
                <w:szCs w:val="16"/>
                <w:lang w:val="en-US"/>
              </w:rPr>
            </w:pPr>
          </w:p>
          <w:p w14:paraId="6AF52005" w14:textId="77777777" w:rsidR="00AC5F3C" w:rsidRDefault="00AC5F3C" w:rsidP="005B1EB0">
            <w:pPr>
              <w:jc w:val="center"/>
              <w:rPr>
                <w:sz w:val="16"/>
                <w:szCs w:val="16"/>
                <w:lang w:val="en-US"/>
              </w:rPr>
            </w:pPr>
          </w:p>
          <w:p w14:paraId="309B99A6" w14:textId="554FA18A" w:rsidR="00AC5F3C" w:rsidRPr="009F72B1" w:rsidRDefault="00AC5F3C" w:rsidP="005B1EB0">
            <w:pPr>
              <w:jc w:val="center"/>
              <w:rPr>
                <w:sz w:val="18"/>
                <w:szCs w:val="18"/>
                <w:lang w:val="en-US"/>
              </w:rPr>
            </w:pPr>
            <w:r w:rsidRPr="00AC5F3C">
              <w:rPr>
                <w:sz w:val="16"/>
                <w:szCs w:val="16"/>
                <w:lang w:val="en-US"/>
              </w:rPr>
              <w:t>Motivation</w:t>
            </w:r>
          </w:p>
        </w:tc>
        <w:tc>
          <w:tcPr>
            <w:tcW w:w="2076" w:type="dxa"/>
          </w:tcPr>
          <w:p w14:paraId="2DA82E32" w14:textId="77777777" w:rsidR="00F95DEA" w:rsidRDefault="00AC5F3C" w:rsidP="005B1EB0">
            <w:pPr>
              <w:jc w:val="center"/>
              <w:rPr>
                <w:sz w:val="18"/>
                <w:szCs w:val="18"/>
                <w:lang w:val="en-US"/>
              </w:rPr>
            </w:pPr>
            <w:r>
              <w:rPr>
                <w:sz w:val="18"/>
                <w:szCs w:val="18"/>
                <w:lang w:val="en-US"/>
              </w:rPr>
              <w:t>Reactive costs</w:t>
            </w:r>
          </w:p>
          <w:p w14:paraId="3DE187C6" w14:textId="77777777" w:rsidR="00AC5F3C" w:rsidRDefault="00AC5F3C" w:rsidP="005B1EB0">
            <w:pPr>
              <w:jc w:val="center"/>
              <w:rPr>
                <w:sz w:val="18"/>
                <w:szCs w:val="18"/>
                <w:lang w:val="en-US"/>
              </w:rPr>
            </w:pPr>
            <w:r>
              <w:rPr>
                <w:sz w:val="18"/>
                <w:szCs w:val="18"/>
                <w:lang w:val="en-US"/>
              </w:rPr>
              <w:t>Static costs</w:t>
            </w:r>
          </w:p>
          <w:p w14:paraId="68D6D5C9" w14:textId="77777777" w:rsidR="00AC5F3C" w:rsidRDefault="00AC5F3C" w:rsidP="005B1EB0">
            <w:pPr>
              <w:jc w:val="center"/>
              <w:rPr>
                <w:sz w:val="18"/>
                <w:szCs w:val="18"/>
                <w:lang w:val="en-US"/>
              </w:rPr>
            </w:pPr>
            <w:r>
              <w:rPr>
                <w:sz w:val="18"/>
                <w:szCs w:val="18"/>
                <w:lang w:val="en-US"/>
              </w:rPr>
              <w:t>Active costs</w:t>
            </w:r>
          </w:p>
          <w:p w14:paraId="34FA96E4" w14:textId="77777777" w:rsidR="00AC5F3C" w:rsidRDefault="00AC5F3C" w:rsidP="005B1EB0">
            <w:pPr>
              <w:jc w:val="center"/>
              <w:rPr>
                <w:sz w:val="18"/>
                <w:szCs w:val="18"/>
                <w:lang w:val="en-US"/>
              </w:rPr>
            </w:pPr>
          </w:p>
          <w:p w14:paraId="795F0B25" w14:textId="77777777" w:rsidR="00AC5F3C" w:rsidRDefault="00AC5F3C" w:rsidP="005B1EB0">
            <w:pPr>
              <w:jc w:val="center"/>
              <w:rPr>
                <w:sz w:val="18"/>
                <w:szCs w:val="18"/>
                <w:lang w:val="en-US"/>
              </w:rPr>
            </w:pPr>
          </w:p>
          <w:p w14:paraId="5C623BD0" w14:textId="5A1AF21A" w:rsidR="00AC5F3C" w:rsidRPr="00AC5F3C" w:rsidRDefault="00AC5F3C" w:rsidP="005B1EB0">
            <w:pPr>
              <w:jc w:val="center"/>
              <w:rPr>
                <w:sz w:val="18"/>
                <w:szCs w:val="18"/>
                <w:lang w:val="en-US"/>
              </w:rPr>
            </w:pPr>
            <w:r w:rsidRPr="00AC5F3C">
              <w:rPr>
                <w:sz w:val="16"/>
                <w:szCs w:val="16"/>
                <w:lang w:val="en-US"/>
              </w:rPr>
              <w:t>Job diagnostics studies will be used in assessing a task’s moti- vation potential score (MPS), which quantifies the motivation of a worker in performing the task.</w:t>
            </w:r>
          </w:p>
        </w:tc>
        <w:tc>
          <w:tcPr>
            <w:tcW w:w="1756" w:type="dxa"/>
          </w:tcPr>
          <w:p w14:paraId="3F6C2D92" w14:textId="77777777" w:rsidR="00F95DEA" w:rsidRDefault="00B34213" w:rsidP="005B1EB0">
            <w:pPr>
              <w:jc w:val="center"/>
              <w:rPr>
                <w:sz w:val="18"/>
                <w:szCs w:val="18"/>
                <w:lang w:val="en-US"/>
              </w:rPr>
            </w:pPr>
            <w:r>
              <w:rPr>
                <w:sz w:val="18"/>
                <w:szCs w:val="18"/>
                <w:lang w:val="en-US"/>
              </w:rPr>
              <w:t>$/year</w:t>
            </w:r>
          </w:p>
          <w:p w14:paraId="58518A46" w14:textId="77777777" w:rsidR="00B34213" w:rsidRDefault="00B34213" w:rsidP="005B1EB0">
            <w:pPr>
              <w:jc w:val="center"/>
              <w:rPr>
                <w:sz w:val="18"/>
                <w:szCs w:val="18"/>
                <w:lang w:val="en-US"/>
              </w:rPr>
            </w:pPr>
          </w:p>
          <w:p w14:paraId="6D1ABE70" w14:textId="77777777" w:rsidR="00B34213" w:rsidRDefault="00B34213" w:rsidP="005B1EB0">
            <w:pPr>
              <w:jc w:val="center"/>
              <w:rPr>
                <w:sz w:val="18"/>
                <w:szCs w:val="18"/>
                <w:lang w:val="en-US"/>
              </w:rPr>
            </w:pPr>
          </w:p>
          <w:p w14:paraId="0AEA5319" w14:textId="77777777" w:rsidR="00B34213" w:rsidRDefault="00B34213" w:rsidP="005B1EB0">
            <w:pPr>
              <w:jc w:val="center"/>
              <w:rPr>
                <w:sz w:val="18"/>
                <w:szCs w:val="18"/>
                <w:lang w:val="en-US"/>
              </w:rPr>
            </w:pPr>
          </w:p>
          <w:p w14:paraId="5CFC8F22" w14:textId="77777777" w:rsidR="00B34213" w:rsidRDefault="00B34213" w:rsidP="005B1EB0">
            <w:pPr>
              <w:jc w:val="center"/>
              <w:rPr>
                <w:sz w:val="18"/>
                <w:szCs w:val="18"/>
                <w:lang w:val="en-US"/>
              </w:rPr>
            </w:pPr>
          </w:p>
          <w:p w14:paraId="3F9D717B" w14:textId="4372B9D3" w:rsidR="00B34213" w:rsidRPr="009F72B1" w:rsidRDefault="00B34213" w:rsidP="005B1EB0">
            <w:pPr>
              <w:jc w:val="center"/>
              <w:rPr>
                <w:sz w:val="18"/>
                <w:szCs w:val="18"/>
                <w:lang w:val="en-US"/>
              </w:rPr>
            </w:pPr>
            <w:r>
              <w:rPr>
                <w:sz w:val="12"/>
                <w:szCs w:val="12"/>
              </w:rPr>
              <w:t>Motivation potential score chart.</w:t>
            </w:r>
          </w:p>
        </w:tc>
        <w:tc>
          <w:tcPr>
            <w:tcW w:w="1756" w:type="dxa"/>
          </w:tcPr>
          <w:p w14:paraId="16174A23" w14:textId="3002347A" w:rsidR="00F95DEA" w:rsidRPr="009F72B1" w:rsidRDefault="00F95DEA" w:rsidP="005B1EB0">
            <w:pPr>
              <w:jc w:val="center"/>
              <w:rPr>
                <w:sz w:val="18"/>
                <w:szCs w:val="18"/>
                <w:lang w:val="en-US"/>
              </w:rPr>
            </w:pPr>
            <w:r>
              <w:rPr>
                <w:sz w:val="18"/>
                <w:szCs w:val="18"/>
                <w:lang w:val="en-US"/>
              </w:rPr>
              <w:t>-</w:t>
            </w:r>
          </w:p>
        </w:tc>
      </w:tr>
    </w:tbl>
    <w:p w14:paraId="21D3CCCA" w14:textId="7097DFA0" w:rsidR="000541FA" w:rsidRDefault="000541FA"/>
    <w:p w14:paraId="0D6AE91A" w14:textId="05665F90" w:rsidR="00AC5F3C" w:rsidRDefault="00AC5F3C">
      <w:pPr>
        <w:rPr>
          <w:sz w:val="16"/>
          <w:szCs w:val="16"/>
          <w:lang w:val="en-US"/>
        </w:rPr>
      </w:pPr>
      <w:r w:rsidRPr="00AC5F3C">
        <w:rPr>
          <w:sz w:val="16"/>
          <w:szCs w:val="16"/>
          <w:lang w:val="en-US"/>
        </w:rPr>
        <w:t>While the broad aspects of social impact can be identified along the product life cycle, this study focuses on ESH (environmental, safety and health) issues on the shopfloor level and separates two categories, safety and health and psychological work well-being which is measured with motivation.</w:t>
      </w:r>
    </w:p>
    <w:p w14:paraId="436CC0E6" w14:textId="0275E196" w:rsidR="00AC5F3C" w:rsidRPr="00AC5F3C" w:rsidRDefault="00AC5F3C">
      <w:pPr>
        <w:rPr>
          <w:lang w:val="en-US"/>
        </w:rPr>
      </w:pPr>
      <w:r w:rsidRPr="00AC5F3C">
        <w:rPr>
          <w:lang w:val="en-US"/>
        </w:rPr>
        <w:drawing>
          <wp:inline distT="0" distB="0" distL="0" distR="0" wp14:anchorId="7F5BFC33" wp14:editId="03B5423F">
            <wp:extent cx="3390900" cy="2566484"/>
            <wp:effectExtent l="0" t="0" r="0" b="571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3393608" cy="2568533"/>
                    </a:xfrm>
                    <a:prstGeom prst="rect">
                      <a:avLst/>
                    </a:prstGeom>
                  </pic:spPr>
                </pic:pic>
              </a:graphicData>
            </a:graphic>
          </wp:inline>
        </w:drawing>
      </w:r>
    </w:p>
    <w:sectPr w:rsidR="00AC5F3C" w:rsidRPr="00AC5F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71"/>
    <w:rsid w:val="000541FA"/>
    <w:rsid w:val="00191A93"/>
    <w:rsid w:val="00630071"/>
    <w:rsid w:val="00863DD0"/>
    <w:rsid w:val="00AC5F3C"/>
    <w:rsid w:val="00B34213"/>
    <w:rsid w:val="00BE2289"/>
    <w:rsid w:val="00D51DF7"/>
    <w:rsid w:val="00F95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B7DD"/>
  <w15:chartTrackingRefBased/>
  <w15:docId w15:val="{8AA8B367-593E-4A50-B79B-2090434F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DEA"/>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5DE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539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DIAZ FERNANDEZ</dc:creator>
  <cp:keywords/>
  <dc:description/>
  <cp:lastModifiedBy>JESSICA DIAZ FERNANDEZ</cp:lastModifiedBy>
  <cp:revision>3</cp:revision>
  <dcterms:created xsi:type="dcterms:W3CDTF">2022-08-31T00:20:00Z</dcterms:created>
  <dcterms:modified xsi:type="dcterms:W3CDTF">2022-09-21T00:24:00Z</dcterms:modified>
</cp:coreProperties>
</file>