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18AE3" w14:textId="0EAA5EF8" w:rsidR="008D1DCB" w:rsidRPr="00EC2C25" w:rsidRDefault="00F83343" w:rsidP="008D1DCB">
      <w:pPr>
        <w:autoSpaceDE w:val="0"/>
        <w:autoSpaceDN w:val="0"/>
        <w:adjustRightInd w:val="0"/>
        <w:spacing w:after="0" w:line="240" w:lineRule="auto"/>
        <w:jc w:val="both"/>
        <w:rPr>
          <w:b/>
          <w:bCs/>
          <w:lang w:val="en-GB"/>
        </w:rPr>
      </w:pPr>
      <w:r w:rsidRPr="00F83343">
        <w:rPr>
          <w:b/>
          <w:bCs/>
          <w:lang w:val="en-GB"/>
        </w:rPr>
        <w:t>Multi-indicator assessment of a water-saving agricultural engineering project in North Beijing, China</w:t>
      </w:r>
    </w:p>
    <w:tbl>
      <w:tblPr>
        <w:tblStyle w:val="TableGrid"/>
        <w:tblW w:w="0" w:type="auto"/>
        <w:jc w:val="center"/>
        <w:tblLook w:val="04A0" w:firstRow="1" w:lastRow="0" w:firstColumn="1" w:lastColumn="0" w:noHBand="0" w:noVBand="1"/>
      </w:tblPr>
      <w:tblGrid>
        <w:gridCol w:w="846"/>
        <w:gridCol w:w="2060"/>
        <w:gridCol w:w="2076"/>
        <w:gridCol w:w="1756"/>
        <w:gridCol w:w="1756"/>
      </w:tblGrid>
      <w:tr w:rsidR="008D1DCB" w14:paraId="6552EC64" w14:textId="77777777" w:rsidTr="005A2D85">
        <w:trPr>
          <w:trHeight w:val="274"/>
          <w:jc w:val="center"/>
        </w:trPr>
        <w:tc>
          <w:tcPr>
            <w:tcW w:w="846" w:type="dxa"/>
          </w:tcPr>
          <w:p w14:paraId="59EA2EE8" w14:textId="77777777" w:rsidR="008D1DCB" w:rsidRPr="006138F0" w:rsidRDefault="008D1DCB" w:rsidP="005A2D85">
            <w:pPr>
              <w:jc w:val="center"/>
              <w:rPr>
                <w:b/>
                <w:bCs/>
                <w:sz w:val="18"/>
                <w:szCs w:val="18"/>
                <w:lang w:val="en-US"/>
              </w:rPr>
            </w:pPr>
            <w:r>
              <w:rPr>
                <w:b/>
                <w:bCs/>
                <w:sz w:val="18"/>
                <w:szCs w:val="18"/>
                <w:lang w:val="en-US"/>
              </w:rPr>
              <w:t>Study ID</w:t>
            </w:r>
          </w:p>
        </w:tc>
        <w:tc>
          <w:tcPr>
            <w:tcW w:w="2060" w:type="dxa"/>
          </w:tcPr>
          <w:p w14:paraId="081671A5" w14:textId="77777777" w:rsidR="008D1DCB" w:rsidRDefault="008D1DCB" w:rsidP="005A2D85">
            <w:pPr>
              <w:jc w:val="center"/>
              <w:rPr>
                <w:b/>
                <w:bCs/>
                <w:sz w:val="18"/>
                <w:szCs w:val="18"/>
                <w:lang w:val="en-US"/>
              </w:rPr>
            </w:pPr>
            <w:r>
              <w:rPr>
                <w:b/>
                <w:bCs/>
                <w:sz w:val="18"/>
                <w:szCs w:val="18"/>
                <w:lang w:val="en-US"/>
              </w:rPr>
              <w:t>indicators</w:t>
            </w:r>
          </w:p>
        </w:tc>
        <w:tc>
          <w:tcPr>
            <w:tcW w:w="2076" w:type="dxa"/>
          </w:tcPr>
          <w:p w14:paraId="601287FA" w14:textId="77777777" w:rsidR="008D1DCB" w:rsidRDefault="008D1DCB" w:rsidP="005A2D85">
            <w:pPr>
              <w:jc w:val="center"/>
              <w:rPr>
                <w:b/>
                <w:bCs/>
                <w:sz w:val="18"/>
                <w:szCs w:val="18"/>
                <w:lang w:val="en-US"/>
              </w:rPr>
            </w:pPr>
            <w:r>
              <w:rPr>
                <w:b/>
                <w:bCs/>
                <w:sz w:val="18"/>
                <w:szCs w:val="18"/>
                <w:lang w:val="en-US"/>
              </w:rPr>
              <w:t>methods</w:t>
            </w:r>
          </w:p>
        </w:tc>
        <w:tc>
          <w:tcPr>
            <w:tcW w:w="1756" w:type="dxa"/>
          </w:tcPr>
          <w:p w14:paraId="41F77523" w14:textId="77777777" w:rsidR="008D1DCB" w:rsidRDefault="008D1DCB" w:rsidP="005A2D85">
            <w:pPr>
              <w:jc w:val="center"/>
              <w:rPr>
                <w:b/>
                <w:bCs/>
                <w:sz w:val="18"/>
                <w:szCs w:val="18"/>
                <w:lang w:val="en-US"/>
              </w:rPr>
            </w:pPr>
            <w:r>
              <w:rPr>
                <w:b/>
                <w:bCs/>
                <w:sz w:val="18"/>
                <w:szCs w:val="18"/>
                <w:lang w:val="en-US"/>
              </w:rPr>
              <w:t>scale</w:t>
            </w:r>
          </w:p>
        </w:tc>
        <w:tc>
          <w:tcPr>
            <w:tcW w:w="1756" w:type="dxa"/>
          </w:tcPr>
          <w:p w14:paraId="4D558818" w14:textId="77777777" w:rsidR="008D1DCB" w:rsidRDefault="008D1DCB" w:rsidP="005A2D85">
            <w:pPr>
              <w:jc w:val="center"/>
              <w:rPr>
                <w:b/>
                <w:bCs/>
                <w:sz w:val="18"/>
                <w:szCs w:val="18"/>
                <w:lang w:val="en-US"/>
              </w:rPr>
            </w:pPr>
            <w:r>
              <w:rPr>
                <w:b/>
                <w:bCs/>
                <w:sz w:val="18"/>
                <w:szCs w:val="18"/>
                <w:lang w:val="en-US"/>
              </w:rPr>
              <w:t>practices</w:t>
            </w:r>
          </w:p>
        </w:tc>
      </w:tr>
      <w:tr w:rsidR="008D1DCB" w:rsidRPr="00B50C6C" w14:paraId="27200A22" w14:textId="77777777" w:rsidTr="005A2D85">
        <w:trPr>
          <w:trHeight w:val="274"/>
          <w:jc w:val="center"/>
        </w:trPr>
        <w:tc>
          <w:tcPr>
            <w:tcW w:w="846" w:type="dxa"/>
          </w:tcPr>
          <w:p w14:paraId="394392D8" w14:textId="6BAE1A1F" w:rsidR="008D1DCB" w:rsidRPr="009F72B1" w:rsidRDefault="00790CA1" w:rsidP="005A2D85">
            <w:pPr>
              <w:jc w:val="center"/>
              <w:rPr>
                <w:sz w:val="18"/>
                <w:szCs w:val="18"/>
                <w:lang w:val="en-US"/>
              </w:rPr>
            </w:pPr>
            <w:r>
              <w:rPr>
                <w:sz w:val="18"/>
                <w:szCs w:val="18"/>
                <w:lang w:val="en-US"/>
              </w:rPr>
              <w:t>ID</w:t>
            </w:r>
            <w:r w:rsidR="00F83343">
              <w:rPr>
                <w:sz w:val="18"/>
                <w:szCs w:val="18"/>
                <w:lang w:val="en-US"/>
              </w:rPr>
              <w:t>60</w:t>
            </w:r>
          </w:p>
        </w:tc>
        <w:tc>
          <w:tcPr>
            <w:tcW w:w="2060" w:type="dxa"/>
          </w:tcPr>
          <w:p w14:paraId="7820E253" w14:textId="209781BD" w:rsidR="00060313" w:rsidRDefault="00060313" w:rsidP="001C15F8">
            <w:pPr>
              <w:rPr>
                <w:sz w:val="18"/>
                <w:szCs w:val="18"/>
                <w:lang w:val="en-GB"/>
              </w:rPr>
            </w:pPr>
          </w:p>
          <w:p w14:paraId="4538CBE6" w14:textId="16C01A9C" w:rsidR="00060313" w:rsidRPr="0056281F" w:rsidRDefault="00060313" w:rsidP="00060313">
            <w:pPr>
              <w:rPr>
                <w:sz w:val="18"/>
                <w:szCs w:val="18"/>
                <w:lang w:val="en-GB"/>
              </w:rPr>
            </w:pPr>
            <w:r>
              <w:rPr>
                <w:sz w:val="18"/>
                <w:szCs w:val="18"/>
                <w:lang w:val="en-GB"/>
              </w:rPr>
              <w:t>A</w:t>
            </w:r>
            <w:r w:rsidRPr="0056281F">
              <w:rPr>
                <w:sz w:val="18"/>
                <w:szCs w:val="18"/>
                <w:lang w:val="en-GB"/>
              </w:rPr>
              <w:t>n integrated indicator was created</w:t>
            </w:r>
          </w:p>
          <w:p w14:paraId="6F59059A" w14:textId="2EE8745A" w:rsidR="00060313" w:rsidRDefault="00060313" w:rsidP="00060313">
            <w:pPr>
              <w:rPr>
                <w:sz w:val="18"/>
                <w:szCs w:val="18"/>
                <w:lang w:val="en-GB"/>
              </w:rPr>
            </w:pPr>
            <w:r w:rsidRPr="0056281F">
              <w:rPr>
                <w:sz w:val="18"/>
                <w:szCs w:val="18"/>
                <w:lang w:val="en-GB"/>
              </w:rPr>
              <w:t>to assist in interpretation of the overall change</w:t>
            </w:r>
          </w:p>
          <w:p w14:paraId="39F8147E" w14:textId="7D36F74B" w:rsidR="00015EF8" w:rsidRDefault="00015EF8" w:rsidP="00060313">
            <w:pPr>
              <w:rPr>
                <w:sz w:val="18"/>
                <w:szCs w:val="18"/>
                <w:lang w:val="en-GB"/>
              </w:rPr>
            </w:pPr>
          </w:p>
          <w:p w14:paraId="431C207B" w14:textId="0AADF12A" w:rsidR="00015EF8" w:rsidRPr="00015EF8" w:rsidRDefault="00015EF8" w:rsidP="00015EF8">
            <w:pPr>
              <w:rPr>
                <w:sz w:val="18"/>
                <w:szCs w:val="18"/>
                <w:lang w:val="en-GB"/>
              </w:rPr>
            </w:pPr>
            <w:r>
              <w:rPr>
                <w:sz w:val="18"/>
                <w:szCs w:val="18"/>
                <w:lang w:val="en-GB"/>
              </w:rPr>
              <w:t>F</w:t>
            </w:r>
            <w:r w:rsidRPr="00015EF8">
              <w:rPr>
                <w:sz w:val="18"/>
                <w:szCs w:val="18"/>
                <w:lang w:val="en-GB"/>
              </w:rPr>
              <w:t>ollowing Zhong</w:t>
            </w:r>
          </w:p>
          <w:p w14:paraId="2916E6CD" w14:textId="1E964B96" w:rsidR="00015EF8" w:rsidRPr="00015EF8" w:rsidRDefault="00015EF8" w:rsidP="00015EF8">
            <w:pPr>
              <w:rPr>
                <w:sz w:val="18"/>
                <w:szCs w:val="18"/>
                <w:lang w:val="en-GB"/>
              </w:rPr>
            </w:pPr>
            <w:r w:rsidRPr="00015EF8">
              <w:rPr>
                <w:sz w:val="18"/>
                <w:szCs w:val="18"/>
                <w:lang w:val="en-GB"/>
              </w:rPr>
              <w:t>(2014)</w:t>
            </w:r>
            <w:r>
              <w:rPr>
                <w:sz w:val="18"/>
                <w:szCs w:val="18"/>
                <w:lang w:val="en-GB"/>
              </w:rPr>
              <w:t>, t</w:t>
            </w:r>
            <w:r w:rsidRPr="00015EF8">
              <w:rPr>
                <w:sz w:val="18"/>
                <w:szCs w:val="18"/>
                <w:lang w:val="en-GB"/>
              </w:rPr>
              <w:t>he integrated indicator included four components: EUE</w:t>
            </w:r>
            <w:r>
              <w:rPr>
                <w:sz w:val="18"/>
                <w:szCs w:val="18"/>
                <w:lang w:val="en-GB"/>
              </w:rPr>
              <w:t xml:space="preserve"> (energy use efficiency)</w:t>
            </w:r>
            <w:r w:rsidRPr="00015EF8">
              <w:rPr>
                <w:sz w:val="18"/>
                <w:szCs w:val="18"/>
                <w:lang w:val="en-GB"/>
              </w:rPr>
              <w:t>,</w:t>
            </w:r>
          </w:p>
          <w:p w14:paraId="6EA11153" w14:textId="77777777" w:rsidR="00015EF8" w:rsidRPr="00015EF8" w:rsidRDefault="00015EF8" w:rsidP="00015EF8">
            <w:pPr>
              <w:rPr>
                <w:sz w:val="18"/>
                <w:szCs w:val="18"/>
                <w:lang w:val="en-GB"/>
              </w:rPr>
            </w:pPr>
            <w:r w:rsidRPr="00015EF8">
              <w:rPr>
                <w:sz w:val="18"/>
                <w:szCs w:val="18"/>
                <w:lang w:val="en-GB"/>
              </w:rPr>
              <w:t>weighting LCA score, net profit and ecological service value. The indicator was calculated using Eq. (4):</w:t>
            </w:r>
          </w:p>
          <w:p w14:paraId="40B9EA10" w14:textId="19B7B47A" w:rsidR="00015EF8" w:rsidRPr="00015EF8" w:rsidRDefault="00015EF8" w:rsidP="00015EF8">
            <w:pPr>
              <w:rPr>
                <w:sz w:val="18"/>
                <w:szCs w:val="18"/>
                <w:lang w:val="en-GB"/>
              </w:rPr>
            </w:pPr>
            <m:oMath>
              <m:sSub>
                <m:sSubPr>
                  <m:ctrlPr>
                    <w:rPr>
                      <w:rFonts w:ascii="Cambria Math" w:hAnsi="Cambria Math"/>
                      <w:i/>
                      <w:sz w:val="18"/>
                      <w:szCs w:val="18"/>
                      <w:lang w:val="en-GB"/>
                    </w:rPr>
                  </m:ctrlPr>
                </m:sSubPr>
                <m:e>
                  <m:r>
                    <w:rPr>
                      <w:rFonts w:ascii="Cambria Math" w:hAnsi="Cambria Math"/>
                      <w:sz w:val="18"/>
                      <w:szCs w:val="18"/>
                      <w:lang w:val="en-GB"/>
                    </w:rPr>
                    <m:t>I</m:t>
                  </m:r>
                </m:e>
                <m:sub>
                  <m:r>
                    <w:rPr>
                      <w:rFonts w:ascii="Cambria Math" w:hAnsi="Cambria Math"/>
                      <w:sz w:val="18"/>
                      <w:szCs w:val="18"/>
                      <w:lang w:val="en-GB"/>
                    </w:rPr>
                    <m:t>c</m:t>
                  </m:r>
                </m:sub>
              </m:sSub>
              <m:r>
                <w:rPr>
                  <w:rFonts w:ascii="Cambria Math" w:hAnsi="Cambria Math"/>
                  <w:sz w:val="18"/>
                  <w:szCs w:val="18"/>
                  <w:lang w:val="en-GB"/>
                </w:rPr>
                <m:t xml:space="preserve"> = Σ[W(Vmi - Vpi)/Ri]</m:t>
              </m:r>
            </m:oMath>
            <w:r w:rsidRPr="00015EF8">
              <w:rPr>
                <w:sz w:val="18"/>
                <w:szCs w:val="18"/>
                <w:lang w:val="en-GB"/>
              </w:rPr>
              <w:t xml:space="preserve"> (4)</w:t>
            </w:r>
          </w:p>
          <w:p w14:paraId="745AC8A6" w14:textId="765D19FB" w:rsidR="00060313" w:rsidRPr="00355F0A" w:rsidRDefault="00060313" w:rsidP="001C15F8">
            <w:pPr>
              <w:rPr>
                <w:sz w:val="18"/>
                <w:szCs w:val="18"/>
                <w:lang w:val="en-GB"/>
              </w:rPr>
            </w:pPr>
          </w:p>
        </w:tc>
        <w:tc>
          <w:tcPr>
            <w:tcW w:w="2076" w:type="dxa"/>
          </w:tcPr>
          <w:p w14:paraId="18DF1A73" w14:textId="115D2512" w:rsidR="003F7FB2" w:rsidRPr="0056281F" w:rsidRDefault="0056281F" w:rsidP="003F7FB2">
            <w:pPr>
              <w:rPr>
                <w:sz w:val="18"/>
                <w:szCs w:val="18"/>
                <w:lang w:val="en-GB"/>
              </w:rPr>
            </w:pPr>
            <w:r>
              <w:rPr>
                <w:sz w:val="18"/>
                <w:szCs w:val="18"/>
                <w:lang w:val="en-GB"/>
              </w:rPr>
              <w:t>Firstly, i</w:t>
            </w:r>
            <w:r w:rsidRPr="0056281F">
              <w:rPr>
                <w:sz w:val="18"/>
                <w:szCs w:val="18"/>
                <w:lang w:val="en-GB"/>
              </w:rPr>
              <w:t>nput-output methodology</w:t>
            </w:r>
            <w:r w:rsidRPr="0056281F">
              <w:rPr>
                <w:sz w:val="18"/>
                <w:szCs w:val="18"/>
                <w:lang w:val="en-GB"/>
              </w:rPr>
              <w:t xml:space="preserve"> for energy efficiency measurement</w:t>
            </w:r>
          </w:p>
          <w:p w14:paraId="0BC7B587" w14:textId="77777777" w:rsidR="0056281F" w:rsidRDefault="0056281F" w:rsidP="003F7FB2">
            <w:pPr>
              <w:rPr>
                <w:sz w:val="18"/>
                <w:szCs w:val="18"/>
                <w:lang w:val="en-GB"/>
              </w:rPr>
            </w:pPr>
          </w:p>
          <w:p w14:paraId="202C8A89" w14:textId="4E941411" w:rsidR="0056281F" w:rsidRPr="0056281F" w:rsidRDefault="00060313" w:rsidP="0056281F">
            <w:pPr>
              <w:rPr>
                <w:sz w:val="18"/>
                <w:szCs w:val="18"/>
                <w:lang w:val="en-GB"/>
              </w:rPr>
            </w:pPr>
            <w:r>
              <w:rPr>
                <w:sz w:val="18"/>
                <w:szCs w:val="18"/>
                <w:lang w:val="en-GB"/>
              </w:rPr>
              <w:t xml:space="preserve">Secondly, </w:t>
            </w:r>
            <w:r w:rsidR="0056281F" w:rsidRPr="0056281F">
              <w:rPr>
                <w:sz w:val="18"/>
                <w:szCs w:val="18"/>
                <w:lang w:val="en-GB"/>
              </w:rPr>
              <w:t xml:space="preserve">LCA </w:t>
            </w:r>
            <w:r w:rsidR="0056281F">
              <w:rPr>
                <w:sz w:val="18"/>
                <w:szCs w:val="18"/>
                <w:lang w:val="en-GB"/>
              </w:rPr>
              <w:t xml:space="preserve">(life cycle assessment) </w:t>
            </w:r>
            <w:r w:rsidR="0056281F" w:rsidRPr="0056281F">
              <w:rPr>
                <w:sz w:val="18"/>
                <w:szCs w:val="18"/>
                <w:lang w:val="en-GB"/>
              </w:rPr>
              <w:t xml:space="preserve">was used to estimate environmental effects </w:t>
            </w:r>
            <w:r w:rsidR="0056281F">
              <w:rPr>
                <w:sz w:val="18"/>
                <w:szCs w:val="18"/>
                <w:lang w:val="en-GB"/>
              </w:rPr>
              <w:t>of the programme</w:t>
            </w:r>
            <w:r>
              <w:rPr>
                <w:sz w:val="18"/>
                <w:szCs w:val="18"/>
                <w:lang w:val="en-GB"/>
              </w:rPr>
              <w:t>.</w:t>
            </w:r>
          </w:p>
          <w:p w14:paraId="02788D18" w14:textId="77777777" w:rsidR="0056281F" w:rsidRDefault="0056281F" w:rsidP="0056281F">
            <w:pPr>
              <w:rPr>
                <w:sz w:val="18"/>
                <w:szCs w:val="18"/>
                <w:lang w:val="en-GB"/>
              </w:rPr>
            </w:pPr>
          </w:p>
          <w:p w14:paraId="67CB78BE" w14:textId="28A5FA1A" w:rsidR="0056281F" w:rsidRPr="0056281F" w:rsidRDefault="0056281F" w:rsidP="0056281F">
            <w:pPr>
              <w:rPr>
                <w:sz w:val="18"/>
                <w:szCs w:val="18"/>
                <w:lang w:val="en-GB"/>
              </w:rPr>
            </w:pPr>
            <w:r w:rsidRPr="0056281F">
              <w:rPr>
                <w:sz w:val="18"/>
                <w:szCs w:val="18"/>
                <w:lang w:val="en-GB"/>
              </w:rPr>
              <w:t>Thirdly, the</w:t>
            </w:r>
          </w:p>
          <w:p w14:paraId="03E3FC1A" w14:textId="77777777" w:rsidR="0056281F" w:rsidRPr="0056281F" w:rsidRDefault="0056281F" w:rsidP="0056281F">
            <w:pPr>
              <w:rPr>
                <w:sz w:val="18"/>
                <w:szCs w:val="18"/>
                <w:lang w:val="en-GB"/>
              </w:rPr>
            </w:pPr>
            <w:r w:rsidRPr="0056281F">
              <w:rPr>
                <w:sz w:val="18"/>
                <w:szCs w:val="18"/>
                <w:lang w:val="en-GB"/>
              </w:rPr>
              <w:t>economic benefits of the changed systems were estimated using an</w:t>
            </w:r>
          </w:p>
          <w:p w14:paraId="28CE78C4" w14:textId="77777777" w:rsidR="00060313" w:rsidRDefault="0056281F" w:rsidP="0056281F">
            <w:pPr>
              <w:rPr>
                <w:sz w:val="18"/>
                <w:szCs w:val="18"/>
                <w:lang w:val="en-GB"/>
              </w:rPr>
            </w:pPr>
            <w:r w:rsidRPr="0056281F">
              <w:rPr>
                <w:sz w:val="18"/>
                <w:szCs w:val="18"/>
                <w:lang w:val="en-GB"/>
              </w:rPr>
              <w:t>input-output balance approach.</w:t>
            </w:r>
          </w:p>
          <w:p w14:paraId="5C4B1436" w14:textId="21D2A346" w:rsidR="0056281F" w:rsidRPr="0056281F" w:rsidRDefault="0056281F" w:rsidP="0056281F">
            <w:pPr>
              <w:rPr>
                <w:sz w:val="18"/>
                <w:szCs w:val="18"/>
                <w:lang w:val="en-GB"/>
              </w:rPr>
            </w:pPr>
            <w:r w:rsidRPr="0056281F">
              <w:rPr>
                <w:sz w:val="18"/>
                <w:szCs w:val="18"/>
                <w:lang w:val="en-GB"/>
              </w:rPr>
              <w:t xml:space="preserve"> Fourthly, both ecological service value</w:t>
            </w:r>
          </w:p>
          <w:p w14:paraId="3C957B6E" w14:textId="77777777" w:rsidR="00060313" w:rsidRDefault="0056281F" w:rsidP="0056281F">
            <w:pPr>
              <w:rPr>
                <w:sz w:val="18"/>
                <w:szCs w:val="18"/>
                <w:lang w:val="en-GB"/>
              </w:rPr>
            </w:pPr>
            <w:r w:rsidRPr="0056281F">
              <w:rPr>
                <w:sz w:val="18"/>
                <w:szCs w:val="18"/>
                <w:lang w:val="en-GB"/>
              </w:rPr>
              <w:t xml:space="preserve">and social impact were analyzed based on surveys </w:t>
            </w:r>
            <w:r w:rsidRPr="00060313">
              <w:rPr>
                <w:b/>
                <w:bCs/>
                <w:sz w:val="18"/>
                <w:szCs w:val="18"/>
                <w:lang w:val="en-GB"/>
              </w:rPr>
              <w:t>involving questionnaires and interviews</w:t>
            </w:r>
            <w:r w:rsidRPr="0056281F">
              <w:rPr>
                <w:sz w:val="18"/>
                <w:szCs w:val="18"/>
                <w:lang w:val="en-GB"/>
              </w:rPr>
              <w:t xml:space="preserve">. </w:t>
            </w:r>
          </w:p>
          <w:p w14:paraId="0102C522" w14:textId="77777777" w:rsidR="00060313" w:rsidRDefault="00060313" w:rsidP="0056281F">
            <w:pPr>
              <w:rPr>
                <w:sz w:val="18"/>
                <w:szCs w:val="18"/>
                <w:lang w:val="en-GB"/>
              </w:rPr>
            </w:pPr>
          </w:p>
          <w:p w14:paraId="59D0806A" w14:textId="3B5BE04C" w:rsidR="0056281F" w:rsidRPr="0056281F" w:rsidRDefault="0056281F" w:rsidP="0056281F">
            <w:pPr>
              <w:rPr>
                <w:sz w:val="18"/>
                <w:szCs w:val="18"/>
                <w:lang w:val="en-GB"/>
              </w:rPr>
            </w:pPr>
          </w:p>
        </w:tc>
        <w:tc>
          <w:tcPr>
            <w:tcW w:w="1756" w:type="dxa"/>
          </w:tcPr>
          <w:p w14:paraId="2EDB42F1" w14:textId="6B4A8E25" w:rsidR="008D1DCB" w:rsidRPr="00015EF8" w:rsidRDefault="00B50C6C" w:rsidP="00015EF8">
            <w:pPr>
              <w:jc w:val="center"/>
              <w:rPr>
                <w:sz w:val="18"/>
                <w:szCs w:val="18"/>
                <w:lang w:val="en-US"/>
              </w:rPr>
            </w:pPr>
            <w:r>
              <w:rPr>
                <w:sz w:val="18"/>
                <w:szCs w:val="18"/>
                <w:lang w:val="en-US"/>
              </w:rPr>
              <w:t xml:space="preserve">Numeric and qualitative </w:t>
            </w:r>
            <w:r w:rsidR="002421E3">
              <w:rPr>
                <w:sz w:val="18"/>
                <w:szCs w:val="18"/>
                <w:lang w:val="en-US"/>
              </w:rPr>
              <w:t>(normalization and weights were applied)</w:t>
            </w:r>
          </w:p>
        </w:tc>
        <w:tc>
          <w:tcPr>
            <w:tcW w:w="1756" w:type="dxa"/>
          </w:tcPr>
          <w:p w14:paraId="2CA3E8A0" w14:textId="7D3900DD" w:rsidR="008D1DCB" w:rsidRPr="009F72B1" w:rsidRDefault="00B50C6C" w:rsidP="005A2D85">
            <w:pPr>
              <w:jc w:val="center"/>
              <w:rPr>
                <w:sz w:val="18"/>
                <w:szCs w:val="18"/>
                <w:lang w:val="en-US"/>
              </w:rPr>
            </w:pPr>
            <w:r>
              <w:rPr>
                <w:sz w:val="18"/>
                <w:szCs w:val="18"/>
                <w:lang w:val="en-US"/>
              </w:rPr>
              <w:t xml:space="preserve">The good practice is related to the creation of a comprehensive indicator to evaluate the impact of the assessed programme. The indicator comprises four components: energy efficiency, </w:t>
            </w:r>
            <w:r w:rsidR="003B5050">
              <w:rPr>
                <w:sz w:val="18"/>
                <w:szCs w:val="18"/>
                <w:lang w:val="en-US"/>
              </w:rPr>
              <w:t>environmental performance, economic performance, and ecological and social performance.</w:t>
            </w:r>
          </w:p>
        </w:tc>
      </w:tr>
    </w:tbl>
    <w:p w14:paraId="1331832F" w14:textId="6F34FD41" w:rsidR="008D1DCB" w:rsidRDefault="008D1DCB" w:rsidP="008D1DCB">
      <w:pPr>
        <w:autoSpaceDE w:val="0"/>
        <w:autoSpaceDN w:val="0"/>
        <w:adjustRightInd w:val="0"/>
        <w:spacing w:after="0" w:line="240" w:lineRule="auto"/>
        <w:jc w:val="both"/>
        <w:rPr>
          <w:lang w:val="en-GB"/>
        </w:rPr>
      </w:pPr>
    </w:p>
    <w:p w14:paraId="190C437D" w14:textId="77777777" w:rsidR="00015EF8" w:rsidRPr="00015EF8" w:rsidRDefault="00015EF8" w:rsidP="00015EF8">
      <w:pPr>
        <w:rPr>
          <w:sz w:val="18"/>
          <w:szCs w:val="18"/>
          <w:lang w:val="en-GB"/>
        </w:rPr>
      </w:pPr>
      <m:oMath>
        <m:sSub>
          <m:sSubPr>
            <m:ctrlPr>
              <w:rPr>
                <w:rFonts w:ascii="Cambria Math" w:hAnsi="Cambria Math"/>
                <w:i/>
                <w:sz w:val="18"/>
                <w:szCs w:val="18"/>
                <w:lang w:val="en-GB"/>
              </w:rPr>
            </m:ctrlPr>
          </m:sSubPr>
          <m:e>
            <m:r>
              <w:rPr>
                <w:rFonts w:ascii="Cambria Math" w:hAnsi="Cambria Math"/>
                <w:sz w:val="18"/>
                <w:szCs w:val="18"/>
                <w:lang w:val="en-GB"/>
              </w:rPr>
              <m:t>I</m:t>
            </m:r>
          </m:e>
          <m:sub>
            <m:r>
              <w:rPr>
                <w:rFonts w:ascii="Cambria Math" w:hAnsi="Cambria Math"/>
                <w:sz w:val="18"/>
                <w:szCs w:val="18"/>
                <w:lang w:val="en-GB"/>
              </w:rPr>
              <m:t>c</m:t>
            </m:r>
          </m:sub>
        </m:sSub>
        <m:r>
          <w:rPr>
            <w:rFonts w:ascii="Cambria Math" w:hAnsi="Cambria Math"/>
            <w:sz w:val="18"/>
            <w:szCs w:val="18"/>
            <w:lang w:val="en-GB"/>
          </w:rPr>
          <m:t xml:space="preserve"> = Σ[W(Vmi - Vpi)/Ri]</m:t>
        </m:r>
      </m:oMath>
      <w:r w:rsidRPr="00015EF8">
        <w:rPr>
          <w:sz w:val="18"/>
          <w:szCs w:val="18"/>
          <w:lang w:val="en-GB"/>
        </w:rPr>
        <w:t xml:space="preserve"> (4)</w:t>
      </w:r>
    </w:p>
    <w:p w14:paraId="78DB8863" w14:textId="77777777" w:rsidR="00015EF8" w:rsidRDefault="00015EF8" w:rsidP="008D1DCB">
      <w:pPr>
        <w:autoSpaceDE w:val="0"/>
        <w:autoSpaceDN w:val="0"/>
        <w:adjustRightInd w:val="0"/>
        <w:spacing w:after="0" w:line="240" w:lineRule="auto"/>
        <w:jc w:val="both"/>
        <w:rPr>
          <w:lang w:val="en-GB"/>
        </w:rPr>
      </w:pPr>
    </w:p>
    <w:p w14:paraId="5EE48E8A" w14:textId="2898B348" w:rsidR="00015EF8" w:rsidRPr="00015EF8" w:rsidRDefault="00015EF8" w:rsidP="008D1DCB">
      <w:pPr>
        <w:autoSpaceDE w:val="0"/>
        <w:autoSpaceDN w:val="0"/>
        <w:adjustRightInd w:val="0"/>
        <w:spacing w:after="0" w:line="240" w:lineRule="auto"/>
        <w:jc w:val="both"/>
        <w:rPr>
          <w:lang w:val="en-GB"/>
        </w:rPr>
      </w:pPr>
      <w:r>
        <w:rPr>
          <w:lang w:val="en-GB"/>
        </w:rPr>
        <w:t>W</w:t>
      </w:r>
      <w:r w:rsidRPr="00015EF8">
        <w:rPr>
          <w:lang w:val="en-GB"/>
        </w:rPr>
        <w:t xml:space="preserve">here, </w:t>
      </w:r>
      <m:oMath>
        <m:r>
          <w:rPr>
            <w:rFonts w:ascii="Cambria Math" w:hAnsi="Cambria Math"/>
            <w:lang w:val="en-GB"/>
          </w:rPr>
          <m:t>Ic</m:t>
        </m:r>
      </m:oMath>
      <w:r w:rsidRPr="00015EF8">
        <w:rPr>
          <w:lang w:val="en-GB"/>
        </w:rPr>
        <w:t xml:space="preserve"> is the integrated indicator; W is the coefficient of weighting and the value of the four aspects is 0.25, respectively (Zhong, 2014); Vmi and Vpi are the values of ith impact of maize and paddy production, respectively; and Ri is the reference value of </w:t>
      </w:r>
      <w:r w:rsidRPr="00015EF8">
        <w:rPr>
          <w:i/>
          <w:iCs/>
          <w:lang w:val="en-GB"/>
        </w:rPr>
        <w:t>i</w:t>
      </w:r>
      <w:r w:rsidRPr="00015EF8">
        <w:rPr>
          <w:lang w:val="en-GB"/>
        </w:rPr>
        <w:t>th impact. The reference values were the average values across the period 2009–2011, which for EUE, weighting LCA score, net profit and ecological service value were 2.64 (Liu et al., 2013), 7.15 (Liang, 2009), 6,195 Yuan ha−1 (Luo et al., 2017) and 6,114 Yuan ha−1 (Li et al., 2016), respectively.</w:t>
      </w:r>
    </w:p>
    <w:sectPr w:rsidR="00015EF8" w:rsidRPr="00015E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DE"/>
    <w:rsid w:val="00003B47"/>
    <w:rsid w:val="00015EF8"/>
    <w:rsid w:val="00023EDE"/>
    <w:rsid w:val="000541FA"/>
    <w:rsid w:val="00060313"/>
    <w:rsid w:val="00191A93"/>
    <w:rsid w:val="001C15F8"/>
    <w:rsid w:val="002421E3"/>
    <w:rsid w:val="003346D2"/>
    <w:rsid w:val="00355F0A"/>
    <w:rsid w:val="003B5050"/>
    <w:rsid w:val="003D02C0"/>
    <w:rsid w:val="003F7FB2"/>
    <w:rsid w:val="0056281F"/>
    <w:rsid w:val="00755F70"/>
    <w:rsid w:val="00790CA1"/>
    <w:rsid w:val="00863DD0"/>
    <w:rsid w:val="008D1DCB"/>
    <w:rsid w:val="009F72B1"/>
    <w:rsid w:val="00B50C6C"/>
    <w:rsid w:val="00BD0C0F"/>
    <w:rsid w:val="00BE2289"/>
    <w:rsid w:val="00C73B92"/>
    <w:rsid w:val="00D005CD"/>
    <w:rsid w:val="00D51DF7"/>
    <w:rsid w:val="00E56186"/>
    <w:rsid w:val="00EC2C25"/>
    <w:rsid w:val="00F83343"/>
    <w:rsid w:val="00FB2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BB97"/>
  <w15:chartTrackingRefBased/>
  <w15:docId w15:val="{4EB3B389-1498-4B52-8923-87379AA4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B47"/>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3B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B92"/>
    <w:rPr>
      <w:color w:val="0563C1" w:themeColor="hyperlink"/>
      <w:u w:val="single"/>
    </w:rPr>
  </w:style>
  <w:style w:type="character" w:styleId="UnresolvedMention">
    <w:name w:val="Unresolved Mention"/>
    <w:basedOn w:val="DefaultParagraphFont"/>
    <w:uiPriority w:val="99"/>
    <w:semiHidden/>
    <w:unhideWhenUsed/>
    <w:rsid w:val="00C73B92"/>
    <w:rPr>
      <w:color w:val="605E5C"/>
      <w:shd w:val="clear" w:color="auto" w:fill="E1DFDD"/>
    </w:rPr>
  </w:style>
  <w:style w:type="character" w:styleId="FollowedHyperlink">
    <w:name w:val="FollowedHyperlink"/>
    <w:basedOn w:val="DefaultParagraphFont"/>
    <w:uiPriority w:val="99"/>
    <w:semiHidden/>
    <w:unhideWhenUsed/>
    <w:rsid w:val="001C15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6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276</Words>
  <Characters>1578</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DIAZ FERNANDEZ</dc:creator>
  <cp:keywords/>
  <dc:description/>
  <cp:lastModifiedBy>LOREDANA MARIA MANASIA (77132)</cp:lastModifiedBy>
  <cp:revision>11</cp:revision>
  <dcterms:created xsi:type="dcterms:W3CDTF">2022-09-20T19:49:00Z</dcterms:created>
  <dcterms:modified xsi:type="dcterms:W3CDTF">2022-09-21T16:52:00Z</dcterms:modified>
</cp:coreProperties>
</file>