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060"/>
        <w:gridCol w:w="2076"/>
        <w:gridCol w:w="1756"/>
        <w:gridCol w:w="1756"/>
      </w:tblGrid>
      <w:tr w:rsidR="00F95DEA" w14:paraId="2E6360D2" w14:textId="77777777" w:rsidTr="005B1EB0">
        <w:trPr>
          <w:trHeight w:val="274"/>
          <w:jc w:val="center"/>
        </w:trPr>
        <w:tc>
          <w:tcPr>
            <w:tcW w:w="846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060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2076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1756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756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F95DEA" w14:paraId="1683DB03" w14:textId="77777777" w:rsidTr="005B1EB0">
        <w:trPr>
          <w:trHeight w:val="274"/>
          <w:jc w:val="center"/>
        </w:trPr>
        <w:tc>
          <w:tcPr>
            <w:tcW w:w="846" w:type="dxa"/>
          </w:tcPr>
          <w:p w14:paraId="3586198D" w14:textId="2D23FEC2" w:rsidR="00F95DEA" w:rsidRPr="009F72B1" w:rsidRDefault="00D671A9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2060" w:type="dxa"/>
          </w:tcPr>
          <w:p w14:paraId="6C4E3CDF" w14:textId="77777777" w:rsidR="00F95DEA" w:rsidRPr="004170D0" w:rsidRDefault="004170D0" w:rsidP="004170D0">
            <w:pPr>
              <w:pStyle w:val="Prrafodelista"/>
              <w:numPr>
                <w:ilvl w:val="0"/>
                <w:numId w:val="1"/>
              </w:numPr>
              <w:ind w:left="174" w:firstLine="0"/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</w:pPr>
            <w:r w:rsidRPr="004170D0"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the change in household income</w:t>
            </w:r>
          </w:p>
          <w:p w14:paraId="309B99A6" w14:textId="10821BF1" w:rsidR="004170D0" w:rsidRPr="004170D0" w:rsidRDefault="004170D0" w:rsidP="004170D0">
            <w:pPr>
              <w:pStyle w:val="Prrafodelista"/>
              <w:numPr>
                <w:ilvl w:val="0"/>
                <w:numId w:val="1"/>
              </w:numPr>
              <w:ind w:left="174" w:firstLine="0"/>
              <w:rPr>
                <w:sz w:val="18"/>
                <w:szCs w:val="18"/>
                <w:lang w:val="en-US"/>
              </w:rPr>
            </w:pPr>
            <w:r w:rsidRPr="004170D0"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participation in employment outside the agricultural sector</w:t>
            </w:r>
          </w:p>
        </w:tc>
        <w:tc>
          <w:tcPr>
            <w:tcW w:w="2076" w:type="dxa"/>
          </w:tcPr>
          <w:p w14:paraId="5C623BD0" w14:textId="4366528E" w:rsidR="00F95DEA" w:rsidRPr="009F72B1" w:rsidRDefault="004170D0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AdvOT596495f2" w:eastAsiaTheme="minorHAnsi" w:hAnsi="AdvOT596495f2" w:cs="AdvOT596495f2"/>
                <w:sz w:val="16"/>
                <w:szCs w:val="16"/>
                <w:lang w:val="en-US" w:eastAsia="en-US"/>
              </w:rPr>
              <w:t>on surveys involving questionnaires and interviews</w:t>
            </w:r>
          </w:p>
        </w:tc>
        <w:tc>
          <w:tcPr>
            <w:tcW w:w="1756" w:type="dxa"/>
          </w:tcPr>
          <w:p w14:paraId="3F9D717B" w14:textId="631ECF43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756" w:type="dxa"/>
          </w:tcPr>
          <w:p w14:paraId="16174A23" w14:textId="3002347A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1D3CCCA" w14:textId="58F115D7" w:rsidR="000541FA" w:rsidRDefault="000541FA"/>
    <w:p w14:paraId="33DFD03E" w14:textId="192648DE" w:rsidR="00D671A9" w:rsidRDefault="00D671A9" w:rsidP="004170D0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eastAsiaTheme="minorHAnsi" w:hAnsi="AdvOT596495f2" w:cs="AdvOT596495f2"/>
          <w:sz w:val="16"/>
          <w:szCs w:val="16"/>
          <w:lang w:val="en-US" w:eastAsia="en-US"/>
        </w:rPr>
      </w:pP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The objective of this study was to make a comprehensive assessment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of the 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Paddy Land-to-Dry Land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(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PLDL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)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program based on multiple-methods and models. Firstly, an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energy e</w:t>
      </w:r>
      <w:r w:rsidRPr="004170D0">
        <w:rPr>
          <w:rFonts w:ascii="AdvOT596495f2+fb" w:eastAsiaTheme="minorHAnsi" w:hAnsi="AdvOT596495f2+fb" w:cs="AdvOT596495f2+fb"/>
          <w:sz w:val="16"/>
          <w:szCs w:val="16"/>
          <w:highlight w:val="yellow"/>
          <w:lang w:val="en-US" w:eastAsia="en-US"/>
        </w:rPr>
        <w:t>ffi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ciency analysis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was conducted using an input-output methodology.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Secondly, LCA was used to estimate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environmental e</w:t>
      </w:r>
      <w:r w:rsidRPr="004170D0">
        <w:rPr>
          <w:rFonts w:ascii="AdvOT596495f2+fb" w:eastAsiaTheme="minorHAnsi" w:hAnsi="AdvOT596495f2+fb" w:cs="AdvOT596495f2+fb"/>
          <w:sz w:val="16"/>
          <w:szCs w:val="16"/>
          <w:highlight w:val="yellow"/>
          <w:lang w:val="en-US" w:eastAsia="en-US"/>
        </w:rPr>
        <w:t>ff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ects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of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the transition from cultivation of paddy rice to maize. Thirdly,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the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 xml:space="preserve">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economic bene</w:t>
      </w:r>
      <w:r w:rsidRPr="004170D0">
        <w:rPr>
          <w:rFonts w:ascii="AdvOT596495f2+fb" w:eastAsiaTheme="minorHAnsi" w:hAnsi="AdvOT596495f2+fb" w:cs="AdvOT596495f2+fb"/>
          <w:sz w:val="16"/>
          <w:szCs w:val="16"/>
          <w:highlight w:val="yellow"/>
          <w:lang w:val="en-US" w:eastAsia="en-US"/>
        </w:rPr>
        <w:t>fi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ts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of the changed systems were estimated using an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input-output balance approach. Fourthly,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both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ecological service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value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and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social impact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were analyzed based on surveys involving questionnaires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and interviews. Finally, an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integrated indicator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was created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to assist in interpretation of the overall change.</w:t>
      </w:r>
    </w:p>
    <w:p w14:paraId="2ECF5D64" w14:textId="643E877D" w:rsidR="00D671A9" w:rsidRDefault="00D671A9" w:rsidP="004170D0">
      <w:pPr>
        <w:autoSpaceDE w:val="0"/>
        <w:autoSpaceDN w:val="0"/>
        <w:adjustRightInd w:val="0"/>
        <w:spacing w:after="0" w:line="240" w:lineRule="auto"/>
        <w:jc w:val="both"/>
        <w:rPr>
          <w:rFonts w:ascii="AdvOT596495f2" w:eastAsiaTheme="minorHAnsi" w:hAnsi="AdvOT596495f2" w:cs="AdvOT596495f2"/>
          <w:sz w:val="16"/>
          <w:szCs w:val="16"/>
          <w:lang w:val="en-US" w:eastAsia="en-US"/>
        </w:rPr>
      </w:pPr>
    </w:p>
    <w:p w14:paraId="4DE0AF29" w14:textId="2C7815C3" w:rsidR="00D671A9" w:rsidRPr="00D671A9" w:rsidRDefault="00D671A9" w:rsidP="004170D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two indicators were used to assess the social impact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: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One indicator was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the change in household income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, including 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ag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ricultural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and non-agricultural sources of income. The second indicator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 </w:t>
      </w:r>
      <w:r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 xml:space="preserve">was </w:t>
      </w:r>
      <w:r w:rsidRPr="004170D0">
        <w:rPr>
          <w:rFonts w:ascii="AdvOT596495f2" w:eastAsiaTheme="minorHAnsi" w:hAnsi="AdvOT596495f2" w:cs="AdvOT596495f2"/>
          <w:sz w:val="16"/>
          <w:szCs w:val="16"/>
          <w:highlight w:val="yellow"/>
          <w:lang w:val="en-US" w:eastAsia="en-US"/>
        </w:rPr>
        <w:t>participation in employment outside the agricultural sector</w:t>
      </w:r>
      <w:r w:rsidR="004170D0">
        <w:rPr>
          <w:rFonts w:ascii="AdvOT596495f2" w:eastAsiaTheme="minorHAnsi" w:hAnsi="AdvOT596495f2" w:cs="AdvOT596495f2"/>
          <w:sz w:val="16"/>
          <w:szCs w:val="16"/>
          <w:lang w:val="en-US" w:eastAsia="en-US"/>
        </w:rPr>
        <w:t>.</w:t>
      </w:r>
    </w:p>
    <w:sectPr w:rsidR="00D671A9" w:rsidRPr="00D6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596495f2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3FD4"/>
    <w:multiLevelType w:val="hybridMultilevel"/>
    <w:tmpl w:val="B420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07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4170D0"/>
    <w:rsid w:val="00630071"/>
    <w:rsid w:val="00863DD0"/>
    <w:rsid w:val="00BE2289"/>
    <w:rsid w:val="00D51DF7"/>
    <w:rsid w:val="00D671A9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2022-08-31T00:20:00Z</dcterms:created>
  <dcterms:modified xsi:type="dcterms:W3CDTF">2022-09-21T10:31:00Z</dcterms:modified>
</cp:coreProperties>
</file>