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996" w:rsidRPr="00C33A77" w:rsidRDefault="003570A8" w:rsidP="00A61060">
      <w:pPr>
        <w:autoSpaceDE w:val="0"/>
        <w:autoSpaceDN w:val="0"/>
        <w:adjustRightInd w:val="0"/>
        <w:spacing w:after="0" w:line="240" w:lineRule="auto"/>
        <w:jc w:val="both"/>
        <w:rPr>
          <w:b/>
          <w:sz w:val="24"/>
          <w:szCs w:val="24"/>
          <w:lang w:val="en-GB"/>
        </w:rPr>
      </w:pPr>
      <w:r w:rsidRPr="003570A8">
        <w:rPr>
          <w:rFonts w:ascii="TimesNewRomanPS-BoldMT" w:hAnsi="TimesNewRomanPS-BoldMT" w:cs="TimesNewRomanPS-BoldMT"/>
          <w:b/>
          <w:bCs/>
          <w:lang w:val="en-GB"/>
        </w:rPr>
        <w:t>Resisting and assisting engagement with public welfare in engineering education</w:t>
      </w:r>
    </w:p>
    <w:p w:rsidR="00D42CBB" w:rsidRPr="00801016" w:rsidRDefault="00D42CBB">
      <w:pPr>
        <w:rPr>
          <w:lang w:val="en-GB"/>
        </w:rPr>
      </w:pPr>
    </w:p>
    <w:tbl>
      <w:tblPr>
        <w:tblStyle w:val="Tablaconcuadrcula"/>
        <w:tblW w:w="0" w:type="auto"/>
        <w:jc w:val="center"/>
        <w:tblLook w:val="04A0" w:firstRow="1" w:lastRow="0" w:firstColumn="1" w:lastColumn="0" w:noHBand="0" w:noVBand="1"/>
      </w:tblPr>
      <w:tblGrid>
        <w:gridCol w:w="846"/>
        <w:gridCol w:w="2551"/>
        <w:gridCol w:w="2268"/>
        <w:gridCol w:w="1560"/>
        <w:gridCol w:w="1269"/>
      </w:tblGrid>
      <w:tr w:rsidR="00883A73" w:rsidRPr="00D72B8F" w:rsidTr="00883A73">
        <w:trPr>
          <w:trHeight w:val="274"/>
          <w:jc w:val="center"/>
        </w:trPr>
        <w:tc>
          <w:tcPr>
            <w:tcW w:w="846" w:type="dxa"/>
          </w:tcPr>
          <w:p w:rsidR="00B544AC" w:rsidRPr="006138F0" w:rsidRDefault="00B544AC" w:rsidP="00395D21">
            <w:pPr>
              <w:jc w:val="center"/>
              <w:rPr>
                <w:b/>
                <w:bCs/>
                <w:sz w:val="18"/>
                <w:szCs w:val="18"/>
                <w:lang w:val="en-US"/>
              </w:rPr>
            </w:pPr>
            <w:r>
              <w:rPr>
                <w:b/>
                <w:bCs/>
                <w:sz w:val="18"/>
                <w:szCs w:val="18"/>
                <w:lang w:val="en-US"/>
              </w:rPr>
              <w:t>Study ID</w:t>
            </w:r>
          </w:p>
        </w:tc>
        <w:tc>
          <w:tcPr>
            <w:tcW w:w="2551" w:type="dxa"/>
          </w:tcPr>
          <w:p w:rsidR="00B544AC" w:rsidRDefault="00B544AC" w:rsidP="00395D21">
            <w:pPr>
              <w:jc w:val="center"/>
              <w:rPr>
                <w:b/>
                <w:bCs/>
                <w:sz w:val="18"/>
                <w:szCs w:val="18"/>
                <w:lang w:val="en-US"/>
              </w:rPr>
            </w:pPr>
            <w:r>
              <w:rPr>
                <w:b/>
                <w:bCs/>
                <w:sz w:val="18"/>
                <w:szCs w:val="18"/>
                <w:lang w:val="en-US"/>
              </w:rPr>
              <w:t>indicators</w:t>
            </w:r>
          </w:p>
        </w:tc>
        <w:tc>
          <w:tcPr>
            <w:tcW w:w="2268" w:type="dxa"/>
          </w:tcPr>
          <w:p w:rsidR="00B544AC" w:rsidRDefault="00B544AC" w:rsidP="00395D21">
            <w:pPr>
              <w:jc w:val="center"/>
              <w:rPr>
                <w:b/>
                <w:bCs/>
                <w:sz w:val="18"/>
                <w:szCs w:val="18"/>
                <w:lang w:val="en-US"/>
              </w:rPr>
            </w:pPr>
            <w:r>
              <w:rPr>
                <w:b/>
                <w:bCs/>
                <w:sz w:val="18"/>
                <w:szCs w:val="18"/>
                <w:lang w:val="en-US"/>
              </w:rPr>
              <w:t>methods</w:t>
            </w:r>
          </w:p>
        </w:tc>
        <w:tc>
          <w:tcPr>
            <w:tcW w:w="1560" w:type="dxa"/>
          </w:tcPr>
          <w:p w:rsidR="00B544AC" w:rsidRDefault="00B544AC" w:rsidP="00395D21">
            <w:pPr>
              <w:jc w:val="center"/>
              <w:rPr>
                <w:b/>
                <w:bCs/>
                <w:sz w:val="18"/>
                <w:szCs w:val="18"/>
                <w:lang w:val="en-US"/>
              </w:rPr>
            </w:pPr>
            <w:r>
              <w:rPr>
                <w:b/>
                <w:bCs/>
                <w:sz w:val="18"/>
                <w:szCs w:val="18"/>
                <w:lang w:val="en-US"/>
              </w:rPr>
              <w:t>scale</w:t>
            </w:r>
          </w:p>
        </w:tc>
        <w:tc>
          <w:tcPr>
            <w:tcW w:w="1269" w:type="dxa"/>
          </w:tcPr>
          <w:p w:rsidR="00B544AC" w:rsidRDefault="00B544AC" w:rsidP="00395D21">
            <w:pPr>
              <w:jc w:val="center"/>
              <w:rPr>
                <w:b/>
                <w:bCs/>
                <w:sz w:val="18"/>
                <w:szCs w:val="18"/>
                <w:lang w:val="en-US"/>
              </w:rPr>
            </w:pPr>
            <w:r>
              <w:rPr>
                <w:b/>
                <w:bCs/>
                <w:sz w:val="18"/>
                <w:szCs w:val="18"/>
                <w:lang w:val="en-US"/>
              </w:rPr>
              <w:t>practices</w:t>
            </w:r>
          </w:p>
        </w:tc>
      </w:tr>
      <w:tr w:rsidR="00883A73" w:rsidRPr="00C45182" w:rsidTr="00883A73">
        <w:trPr>
          <w:trHeight w:val="274"/>
          <w:jc w:val="center"/>
        </w:trPr>
        <w:tc>
          <w:tcPr>
            <w:tcW w:w="846" w:type="dxa"/>
          </w:tcPr>
          <w:p w:rsidR="00B544AC" w:rsidRPr="00883A73" w:rsidRDefault="003570A8" w:rsidP="00395D21">
            <w:pPr>
              <w:jc w:val="center"/>
              <w:rPr>
                <w:bCs/>
                <w:sz w:val="18"/>
                <w:szCs w:val="18"/>
                <w:lang w:val="en-US"/>
              </w:rPr>
            </w:pPr>
            <w:r>
              <w:rPr>
                <w:bCs/>
                <w:sz w:val="18"/>
                <w:szCs w:val="18"/>
                <w:lang w:val="en-US"/>
              </w:rPr>
              <w:t>75</w:t>
            </w:r>
          </w:p>
        </w:tc>
        <w:tc>
          <w:tcPr>
            <w:tcW w:w="2551" w:type="dxa"/>
          </w:tcPr>
          <w:p w:rsidR="008E7EC4" w:rsidRPr="00C45182" w:rsidRDefault="00E76971" w:rsidP="00E76971">
            <w:pPr>
              <w:jc w:val="center"/>
              <w:rPr>
                <w:bCs/>
                <w:sz w:val="18"/>
                <w:szCs w:val="18"/>
                <w:lang w:val="en-GB"/>
              </w:rPr>
            </w:pPr>
            <w:r>
              <w:rPr>
                <w:bCs/>
                <w:sz w:val="18"/>
                <w:szCs w:val="18"/>
                <w:lang w:val="en-GB"/>
              </w:rPr>
              <w:t>---</w:t>
            </w:r>
          </w:p>
        </w:tc>
        <w:tc>
          <w:tcPr>
            <w:tcW w:w="2268" w:type="dxa"/>
          </w:tcPr>
          <w:p w:rsidR="00FF0929" w:rsidRPr="00C45182" w:rsidRDefault="00E76971" w:rsidP="00E76971">
            <w:pPr>
              <w:jc w:val="center"/>
              <w:rPr>
                <w:bCs/>
                <w:sz w:val="18"/>
                <w:szCs w:val="18"/>
                <w:lang w:val="en-GB"/>
              </w:rPr>
            </w:pPr>
            <w:r>
              <w:rPr>
                <w:bCs/>
                <w:sz w:val="18"/>
                <w:szCs w:val="18"/>
                <w:lang w:val="en-GB"/>
              </w:rPr>
              <w:t>---</w:t>
            </w:r>
          </w:p>
        </w:tc>
        <w:tc>
          <w:tcPr>
            <w:tcW w:w="1560" w:type="dxa"/>
          </w:tcPr>
          <w:p w:rsidR="00B544AC" w:rsidRPr="00BF2E79" w:rsidRDefault="00E76971" w:rsidP="00E76971">
            <w:pPr>
              <w:jc w:val="center"/>
              <w:rPr>
                <w:rFonts w:cstheme="minorHAnsi"/>
                <w:bCs/>
                <w:sz w:val="18"/>
                <w:szCs w:val="18"/>
                <w:lang w:val="en-GB"/>
              </w:rPr>
            </w:pPr>
            <w:r>
              <w:rPr>
                <w:rFonts w:cstheme="minorHAnsi"/>
                <w:bCs/>
                <w:sz w:val="18"/>
                <w:szCs w:val="18"/>
                <w:lang w:val="en-GB"/>
              </w:rPr>
              <w:t>---</w:t>
            </w:r>
          </w:p>
        </w:tc>
        <w:tc>
          <w:tcPr>
            <w:tcW w:w="1269" w:type="dxa"/>
          </w:tcPr>
          <w:p w:rsidR="00B544AC" w:rsidRPr="00C35138" w:rsidRDefault="00E76971" w:rsidP="00E76971">
            <w:pPr>
              <w:jc w:val="center"/>
              <w:rPr>
                <w:bCs/>
                <w:sz w:val="18"/>
                <w:szCs w:val="18"/>
                <w:lang w:val="en-GB"/>
              </w:rPr>
            </w:pPr>
            <w:r>
              <w:rPr>
                <w:bCs/>
                <w:sz w:val="18"/>
                <w:szCs w:val="18"/>
                <w:lang w:val="en-GB"/>
              </w:rPr>
              <w:t>---</w:t>
            </w:r>
          </w:p>
        </w:tc>
      </w:tr>
    </w:tbl>
    <w:p w:rsidR="003767A0" w:rsidRDefault="003767A0" w:rsidP="00C45182">
      <w:pPr>
        <w:autoSpaceDE w:val="0"/>
        <w:autoSpaceDN w:val="0"/>
        <w:adjustRightInd w:val="0"/>
        <w:spacing w:after="0" w:line="240" w:lineRule="auto"/>
        <w:rPr>
          <w:rFonts w:cstheme="minorHAnsi"/>
          <w:lang w:val="en-GB"/>
        </w:rPr>
      </w:pPr>
    </w:p>
    <w:p w:rsidR="00D61BA7" w:rsidRPr="00E76971" w:rsidRDefault="00D61BA7" w:rsidP="00D61BA7">
      <w:pPr>
        <w:autoSpaceDE w:val="0"/>
        <w:autoSpaceDN w:val="0"/>
        <w:adjustRightInd w:val="0"/>
        <w:spacing w:after="0" w:line="240" w:lineRule="auto"/>
        <w:jc w:val="both"/>
        <w:rPr>
          <w:rFonts w:cstheme="minorHAnsi"/>
          <w:lang w:val="en-GB"/>
        </w:rPr>
      </w:pPr>
      <w:r w:rsidRPr="00E76971">
        <w:rPr>
          <w:lang w:val="en-GB"/>
        </w:rPr>
        <w:t>The work does not attempt to measure the social impact generated by the students' activities but to analyse the reasons why engineering students find it difficult to integrate the social impact aspect into their work as engineers.</w:t>
      </w:r>
    </w:p>
    <w:p w:rsidR="00E76971" w:rsidRDefault="009B57CE" w:rsidP="00E76971">
      <w:pPr>
        <w:pStyle w:val="Ttulo3"/>
        <w:spacing w:before="0" w:line="240" w:lineRule="auto"/>
        <w:jc w:val="both"/>
        <w:rPr>
          <w:rFonts w:asciiTheme="minorHAnsi" w:hAnsiTheme="minorHAnsi" w:cstheme="minorHAnsi"/>
          <w:color w:val="auto"/>
          <w:sz w:val="22"/>
          <w:szCs w:val="22"/>
          <w:lang w:val="en-GB"/>
        </w:rPr>
      </w:pPr>
      <w:r>
        <w:rPr>
          <w:rFonts w:asciiTheme="minorHAnsi" w:hAnsiTheme="minorHAnsi" w:cstheme="minorHAnsi"/>
          <w:color w:val="auto"/>
          <w:sz w:val="22"/>
          <w:szCs w:val="22"/>
          <w:lang w:val="en-GB"/>
        </w:rPr>
        <w:t>“</w:t>
      </w:r>
      <w:r w:rsidRPr="009B57CE">
        <w:rPr>
          <w:rFonts w:asciiTheme="minorHAnsi" w:hAnsiTheme="minorHAnsi" w:cstheme="minorHAnsi"/>
          <w:color w:val="auto"/>
          <w:sz w:val="22"/>
          <w:szCs w:val="22"/>
          <w:lang w:val="en-GB"/>
        </w:rPr>
        <w:t>interviews with engineering students (n =26)</w:t>
      </w:r>
      <w:r>
        <w:rPr>
          <w:rFonts w:asciiTheme="minorHAnsi" w:hAnsiTheme="minorHAnsi" w:cstheme="minorHAnsi"/>
          <w:color w:val="auto"/>
          <w:sz w:val="22"/>
          <w:szCs w:val="22"/>
          <w:lang w:val="en-GB"/>
        </w:rPr>
        <w:t xml:space="preserve"> </w:t>
      </w:r>
      <w:r w:rsidRPr="009B57CE">
        <w:rPr>
          <w:rFonts w:asciiTheme="minorHAnsi" w:hAnsiTheme="minorHAnsi" w:cstheme="minorHAnsi"/>
          <w:color w:val="auto"/>
          <w:sz w:val="22"/>
          <w:szCs w:val="22"/>
          <w:lang w:val="en-GB"/>
        </w:rPr>
        <w:t>and ethnographic observations of program events, classes, presentations, and</w:t>
      </w:r>
      <w:r>
        <w:rPr>
          <w:rFonts w:asciiTheme="minorHAnsi" w:hAnsiTheme="minorHAnsi" w:cstheme="minorHAnsi"/>
          <w:color w:val="auto"/>
          <w:sz w:val="22"/>
          <w:szCs w:val="22"/>
          <w:lang w:val="en-GB"/>
        </w:rPr>
        <w:t xml:space="preserve"> </w:t>
      </w:r>
      <w:r w:rsidRPr="009B57CE">
        <w:rPr>
          <w:rFonts w:asciiTheme="minorHAnsi" w:hAnsiTheme="minorHAnsi" w:cstheme="minorHAnsi"/>
          <w:color w:val="auto"/>
          <w:sz w:val="22"/>
          <w:szCs w:val="22"/>
          <w:lang w:val="en-GB"/>
        </w:rPr>
        <w:t>social groups (n = 60) at two engineering programs that focus on engagement</w:t>
      </w:r>
      <w:r>
        <w:rPr>
          <w:rFonts w:asciiTheme="minorHAnsi" w:hAnsiTheme="minorHAnsi" w:cstheme="minorHAnsi"/>
          <w:color w:val="auto"/>
          <w:sz w:val="22"/>
          <w:szCs w:val="22"/>
          <w:lang w:val="en-GB"/>
        </w:rPr>
        <w:t xml:space="preserve"> </w:t>
      </w:r>
      <w:r w:rsidRPr="009B57CE">
        <w:rPr>
          <w:rFonts w:asciiTheme="minorHAnsi" w:hAnsiTheme="minorHAnsi" w:cstheme="minorHAnsi"/>
          <w:color w:val="auto"/>
          <w:sz w:val="22"/>
          <w:szCs w:val="22"/>
          <w:lang w:val="en-GB"/>
        </w:rPr>
        <w:t>with public welfare and foreground learning about the social context and social</w:t>
      </w:r>
      <w:r>
        <w:rPr>
          <w:rFonts w:asciiTheme="minorHAnsi" w:hAnsiTheme="minorHAnsi" w:cstheme="minorHAnsi"/>
          <w:color w:val="auto"/>
          <w:sz w:val="22"/>
          <w:szCs w:val="22"/>
          <w:lang w:val="en-GB"/>
        </w:rPr>
        <w:t xml:space="preserve"> </w:t>
      </w:r>
      <w:r w:rsidRPr="009B57CE">
        <w:rPr>
          <w:rFonts w:asciiTheme="minorHAnsi" w:hAnsiTheme="minorHAnsi" w:cstheme="minorHAnsi"/>
          <w:color w:val="auto"/>
          <w:sz w:val="22"/>
          <w:szCs w:val="22"/>
          <w:lang w:val="en-GB"/>
        </w:rPr>
        <w:t xml:space="preserve">impacts of engineering. We </w:t>
      </w:r>
      <w:proofErr w:type="spellStart"/>
      <w:r w:rsidRPr="009B57CE">
        <w:rPr>
          <w:rFonts w:asciiTheme="minorHAnsi" w:hAnsiTheme="minorHAnsi" w:cstheme="minorHAnsi"/>
          <w:color w:val="auto"/>
          <w:sz w:val="22"/>
          <w:szCs w:val="22"/>
          <w:lang w:val="en-GB"/>
        </w:rPr>
        <w:t>analyzed</w:t>
      </w:r>
      <w:proofErr w:type="spellEnd"/>
      <w:r w:rsidRPr="009B57CE">
        <w:rPr>
          <w:rFonts w:asciiTheme="minorHAnsi" w:hAnsiTheme="minorHAnsi" w:cstheme="minorHAnsi"/>
          <w:color w:val="auto"/>
          <w:sz w:val="22"/>
          <w:szCs w:val="22"/>
          <w:lang w:val="en-GB"/>
        </w:rPr>
        <w:t xml:space="preserve"> these data to identify areas in which students</w:t>
      </w:r>
      <w:r>
        <w:rPr>
          <w:rFonts w:asciiTheme="minorHAnsi" w:hAnsiTheme="minorHAnsi" w:cstheme="minorHAnsi"/>
          <w:color w:val="auto"/>
          <w:sz w:val="22"/>
          <w:szCs w:val="22"/>
          <w:lang w:val="en-GB"/>
        </w:rPr>
        <w:t xml:space="preserve"> </w:t>
      </w:r>
      <w:r w:rsidRPr="009B57CE">
        <w:rPr>
          <w:rFonts w:asciiTheme="minorHAnsi" w:hAnsiTheme="minorHAnsi" w:cstheme="minorHAnsi"/>
          <w:color w:val="auto"/>
          <w:sz w:val="22"/>
          <w:szCs w:val="22"/>
          <w:lang w:val="en-GB"/>
        </w:rPr>
        <w:t>experienced challenges integrating considerations of public welfare into</w:t>
      </w:r>
      <w:r>
        <w:rPr>
          <w:rFonts w:asciiTheme="minorHAnsi" w:hAnsiTheme="minorHAnsi" w:cstheme="minorHAnsi"/>
          <w:color w:val="auto"/>
          <w:sz w:val="22"/>
          <w:szCs w:val="22"/>
          <w:lang w:val="en-GB"/>
        </w:rPr>
        <w:t xml:space="preserve"> </w:t>
      </w:r>
      <w:r w:rsidRPr="009B57CE">
        <w:rPr>
          <w:rFonts w:asciiTheme="minorHAnsi" w:hAnsiTheme="minorHAnsi" w:cstheme="minorHAnsi"/>
          <w:color w:val="auto"/>
          <w:sz w:val="22"/>
          <w:szCs w:val="22"/>
          <w:lang w:val="en-GB"/>
        </w:rPr>
        <w:t>their work.</w:t>
      </w:r>
      <w:r>
        <w:rPr>
          <w:rFonts w:asciiTheme="minorHAnsi" w:hAnsiTheme="minorHAnsi" w:cstheme="minorHAnsi"/>
          <w:color w:val="auto"/>
          <w:sz w:val="22"/>
          <w:szCs w:val="22"/>
          <w:lang w:val="en-GB"/>
        </w:rPr>
        <w:t>”</w:t>
      </w:r>
      <w:r w:rsidR="00F8739C" w:rsidRPr="00094640">
        <w:rPr>
          <w:rFonts w:asciiTheme="minorHAnsi" w:hAnsiTheme="minorHAnsi" w:cstheme="minorHAnsi"/>
          <w:color w:val="auto"/>
          <w:sz w:val="22"/>
          <w:szCs w:val="22"/>
          <w:lang w:val="en-GB"/>
        </w:rPr>
        <w:t xml:space="preserve"> </w:t>
      </w:r>
    </w:p>
    <w:p w:rsidR="00F8739C" w:rsidRDefault="00F8739C" w:rsidP="00E76971">
      <w:pPr>
        <w:pStyle w:val="Ttulo3"/>
        <w:spacing w:before="0" w:line="240" w:lineRule="auto"/>
        <w:jc w:val="both"/>
        <w:rPr>
          <w:rFonts w:asciiTheme="minorHAnsi" w:hAnsiTheme="minorHAnsi" w:cstheme="minorHAnsi"/>
          <w:color w:val="auto"/>
          <w:sz w:val="22"/>
          <w:szCs w:val="22"/>
          <w:lang w:val="en-GB"/>
        </w:rPr>
      </w:pPr>
      <w:r w:rsidRPr="00094640">
        <w:rPr>
          <w:rFonts w:asciiTheme="minorHAnsi" w:hAnsiTheme="minorHAnsi" w:cstheme="minorHAnsi"/>
          <w:color w:val="auto"/>
          <w:sz w:val="22"/>
          <w:szCs w:val="22"/>
          <w:lang w:val="en-GB"/>
        </w:rPr>
        <w:t>Engineers have a great capacity to impact society, and training engineers to understand and take responsibility for the social implications of their work is a crucial challenge of engineering education today</w:t>
      </w:r>
      <w:r w:rsidR="00E76971">
        <w:rPr>
          <w:rFonts w:asciiTheme="minorHAnsi" w:hAnsiTheme="minorHAnsi" w:cstheme="minorHAnsi"/>
          <w:color w:val="auto"/>
          <w:sz w:val="22"/>
          <w:szCs w:val="22"/>
          <w:lang w:val="en-GB"/>
        </w:rPr>
        <w:t>.</w:t>
      </w:r>
      <w:bookmarkStart w:id="0" w:name="_GoBack"/>
      <w:bookmarkEnd w:id="0"/>
    </w:p>
    <w:sectPr w:rsidR="00F873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54D3C"/>
    <w:multiLevelType w:val="hybridMultilevel"/>
    <w:tmpl w:val="99000E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100ABF"/>
    <w:multiLevelType w:val="hybridMultilevel"/>
    <w:tmpl w:val="C9E046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DDC0D14"/>
    <w:multiLevelType w:val="hybridMultilevel"/>
    <w:tmpl w:val="E8FA59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6A373D"/>
    <w:multiLevelType w:val="hybridMultilevel"/>
    <w:tmpl w:val="95B254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0CC02B0"/>
    <w:multiLevelType w:val="hybridMultilevel"/>
    <w:tmpl w:val="1286F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AE57F34"/>
    <w:multiLevelType w:val="hybridMultilevel"/>
    <w:tmpl w:val="93722B2E"/>
    <w:lvl w:ilvl="0" w:tplc="08090001">
      <w:start w:val="1"/>
      <w:numFmt w:val="bullet"/>
      <w:lvlText w:val=""/>
      <w:lvlJc w:val="left"/>
      <w:pPr>
        <w:ind w:left="530" w:hanging="360"/>
      </w:pPr>
      <w:rPr>
        <w:rFonts w:ascii="Symbol" w:hAnsi="Symbol" w:hint="default"/>
      </w:rPr>
    </w:lvl>
    <w:lvl w:ilvl="1" w:tplc="08090003" w:tentative="1">
      <w:start w:val="1"/>
      <w:numFmt w:val="bullet"/>
      <w:lvlText w:val="o"/>
      <w:lvlJc w:val="left"/>
      <w:pPr>
        <w:ind w:left="1250" w:hanging="360"/>
      </w:pPr>
      <w:rPr>
        <w:rFonts w:ascii="Courier New" w:hAnsi="Courier New" w:cs="Courier New" w:hint="default"/>
      </w:rPr>
    </w:lvl>
    <w:lvl w:ilvl="2" w:tplc="08090005" w:tentative="1">
      <w:start w:val="1"/>
      <w:numFmt w:val="bullet"/>
      <w:lvlText w:val=""/>
      <w:lvlJc w:val="left"/>
      <w:pPr>
        <w:ind w:left="1970" w:hanging="360"/>
      </w:pPr>
      <w:rPr>
        <w:rFonts w:ascii="Wingdings" w:hAnsi="Wingdings" w:hint="default"/>
      </w:rPr>
    </w:lvl>
    <w:lvl w:ilvl="3" w:tplc="08090001" w:tentative="1">
      <w:start w:val="1"/>
      <w:numFmt w:val="bullet"/>
      <w:lvlText w:val=""/>
      <w:lvlJc w:val="left"/>
      <w:pPr>
        <w:ind w:left="2690" w:hanging="360"/>
      </w:pPr>
      <w:rPr>
        <w:rFonts w:ascii="Symbol" w:hAnsi="Symbol" w:hint="default"/>
      </w:rPr>
    </w:lvl>
    <w:lvl w:ilvl="4" w:tplc="08090003" w:tentative="1">
      <w:start w:val="1"/>
      <w:numFmt w:val="bullet"/>
      <w:lvlText w:val="o"/>
      <w:lvlJc w:val="left"/>
      <w:pPr>
        <w:ind w:left="3410" w:hanging="360"/>
      </w:pPr>
      <w:rPr>
        <w:rFonts w:ascii="Courier New" w:hAnsi="Courier New" w:cs="Courier New" w:hint="default"/>
      </w:rPr>
    </w:lvl>
    <w:lvl w:ilvl="5" w:tplc="08090005" w:tentative="1">
      <w:start w:val="1"/>
      <w:numFmt w:val="bullet"/>
      <w:lvlText w:val=""/>
      <w:lvlJc w:val="left"/>
      <w:pPr>
        <w:ind w:left="4130" w:hanging="360"/>
      </w:pPr>
      <w:rPr>
        <w:rFonts w:ascii="Wingdings" w:hAnsi="Wingdings" w:hint="default"/>
      </w:rPr>
    </w:lvl>
    <w:lvl w:ilvl="6" w:tplc="08090001" w:tentative="1">
      <w:start w:val="1"/>
      <w:numFmt w:val="bullet"/>
      <w:lvlText w:val=""/>
      <w:lvlJc w:val="left"/>
      <w:pPr>
        <w:ind w:left="4850" w:hanging="360"/>
      </w:pPr>
      <w:rPr>
        <w:rFonts w:ascii="Symbol" w:hAnsi="Symbol" w:hint="default"/>
      </w:rPr>
    </w:lvl>
    <w:lvl w:ilvl="7" w:tplc="08090003" w:tentative="1">
      <w:start w:val="1"/>
      <w:numFmt w:val="bullet"/>
      <w:lvlText w:val="o"/>
      <w:lvlJc w:val="left"/>
      <w:pPr>
        <w:ind w:left="5570" w:hanging="360"/>
      </w:pPr>
      <w:rPr>
        <w:rFonts w:ascii="Courier New" w:hAnsi="Courier New" w:cs="Courier New" w:hint="default"/>
      </w:rPr>
    </w:lvl>
    <w:lvl w:ilvl="8" w:tplc="08090005" w:tentative="1">
      <w:start w:val="1"/>
      <w:numFmt w:val="bullet"/>
      <w:lvlText w:val=""/>
      <w:lvlJc w:val="left"/>
      <w:pPr>
        <w:ind w:left="629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AC"/>
    <w:rsid w:val="000E1BF7"/>
    <w:rsid w:val="000F34C1"/>
    <w:rsid w:val="00122FD4"/>
    <w:rsid w:val="001521F6"/>
    <w:rsid w:val="001617E9"/>
    <w:rsid w:val="00192085"/>
    <w:rsid w:val="002D03D5"/>
    <w:rsid w:val="003570A8"/>
    <w:rsid w:val="003767A0"/>
    <w:rsid w:val="00393807"/>
    <w:rsid w:val="00433C60"/>
    <w:rsid w:val="004C1D3C"/>
    <w:rsid w:val="005A676E"/>
    <w:rsid w:val="005B1373"/>
    <w:rsid w:val="0061343D"/>
    <w:rsid w:val="0064336C"/>
    <w:rsid w:val="00701A14"/>
    <w:rsid w:val="007629AE"/>
    <w:rsid w:val="007D1236"/>
    <w:rsid w:val="007E6F17"/>
    <w:rsid w:val="00801016"/>
    <w:rsid w:val="008132CA"/>
    <w:rsid w:val="00883A73"/>
    <w:rsid w:val="00891317"/>
    <w:rsid w:val="008A1C2A"/>
    <w:rsid w:val="008B4DB5"/>
    <w:rsid w:val="008E7EC4"/>
    <w:rsid w:val="00916C2E"/>
    <w:rsid w:val="009B33B2"/>
    <w:rsid w:val="009B57CE"/>
    <w:rsid w:val="00A022D2"/>
    <w:rsid w:val="00A61060"/>
    <w:rsid w:val="00A730BB"/>
    <w:rsid w:val="00A77E9C"/>
    <w:rsid w:val="00AA2A46"/>
    <w:rsid w:val="00B03CF8"/>
    <w:rsid w:val="00B10269"/>
    <w:rsid w:val="00B544AC"/>
    <w:rsid w:val="00BA43A9"/>
    <w:rsid w:val="00BC5497"/>
    <w:rsid w:val="00BF2E79"/>
    <w:rsid w:val="00C04001"/>
    <w:rsid w:val="00C11CF5"/>
    <w:rsid w:val="00C323C5"/>
    <w:rsid w:val="00C33A77"/>
    <w:rsid w:val="00C35138"/>
    <w:rsid w:val="00C45182"/>
    <w:rsid w:val="00C61728"/>
    <w:rsid w:val="00C95F05"/>
    <w:rsid w:val="00CB63C6"/>
    <w:rsid w:val="00CE32A7"/>
    <w:rsid w:val="00CF2386"/>
    <w:rsid w:val="00D42CBB"/>
    <w:rsid w:val="00D61BA7"/>
    <w:rsid w:val="00D632A2"/>
    <w:rsid w:val="00E76971"/>
    <w:rsid w:val="00E915D6"/>
    <w:rsid w:val="00ED2EBA"/>
    <w:rsid w:val="00EF25A3"/>
    <w:rsid w:val="00F62A4E"/>
    <w:rsid w:val="00F8739C"/>
    <w:rsid w:val="00FF092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17F2"/>
  <w15:chartTrackingRefBased/>
  <w15:docId w15:val="{426F39F8-7CE3-4DB4-8704-665C62AA9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4AC"/>
  </w:style>
  <w:style w:type="paragraph" w:styleId="Ttulo3">
    <w:name w:val="heading 3"/>
    <w:basedOn w:val="Normal"/>
    <w:next w:val="Normal"/>
    <w:link w:val="Ttulo3Car"/>
    <w:uiPriority w:val="9"/>
    <w:semiHidden/>
    <w:unhideWhenUsed/>
    <w:qFormat/>
    <w:rsid w:val="00F873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54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D2EBA"/>
    <w:pPr>
      <w:ind w:left="720"/>
      <w:contextualSpacing/>
    </w:pPr>
  </w:style>
  <w:style w:type="character" w:customStyle="1" w:styleId="Ttulo3Car">
    <w:name w:val="Título 3 Car"/>
    <w:basedOn w:val="Fuentedeprrafopredeter"/>
    <w:link w:val="Ttulo3"/>
    <w:uiPriority w:val="9"/>
    <w:semiHidden/>
    <w:rsid w:val="00F873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2302</TotalTime>
  <Pages>1</Pages>
  <Words>156</Words>
  <Characters>880</Characters>
  <Application>Microsoft Office Word</Application>
  <DocSecurity>0</DocSecurity>
  <Lines>55</Lines>
  <Paragraphs>20</Paragraphs>
  <ScaleCrop>false</ScaleCrop>
  <HeadingPairs>
    <vt:vector size="2" baseType="variant">
      <vt:variant>
        <vt:lpstr>Título</vt:lpstr>
      </vt:variant>
      <vt:variant>
        <vt:i4>1</vt:i4>
      </vt:variant>
    </vt:vector>
  </HeadingPairs>
  <TitlesOfParts>
    <vt:vector size="1" baseType="lpstr">
      <vt:lpstr/>
    </vt:vector>
  </TitlesOfParts>
  <Company>Universidad Politecnica de Madrid</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dcterms:created xsi:type="dcterms:W3CDTF">2022-08-31T06:31:00Z</dcterms:created>
  <dcterms:modified xsi:type="dcterms:W3CDTF">2022-09-20T12:24:00Z</dcterms:modified>
</cp:coreProperties>
</file>