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8AE3" w14:textId="432AD07C" w:rsidR="008D1DCB" w:rsidRPr="00C61351" w:rsidRDefault="00C61351" w:rsidP="008D1DC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C61351">
        <w:rPr>
          <w:lang w:val="en-GB"/>
        </w:rPr>
        <w:t>Social Impacts of Mini-grids: Towards an Evaluation Methodology</w:t>
      </w:r>
    </w:p>
    <w:p w14:paraId="34041DA9" w14:textId="77777777" w:rsidR="00D06BC4" w:rsidRPr="00D06BC4" w:rsidRDefault="00D06BC4" w:rsidP="008D1DCB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2"/>
        <w:gridCol w:w="3938"/>
        <w:gridCol w:w="1461"/>
        <w:gridCol w:w="933"/>
        <w:gridCol w:w="1460"/>
      </w:tblGrid>
      <w:tr w:rsidR="008376DD" w14:paraId="6552EC64" w14:textId="77777777" w:rsidTr="005A2D85">
        <w:trPr>
          <w:trHeight w:val="274"/>
          <w:jc w:val="center"/>
        </w:trPr>
        <w:tc>
          <w:tcPr>
            <w:tcW w:w="846" w:type="dxa"/>
          </w:tcPr>
          <w:p w14:paraId="59EA2EE8" w14:textId="77777777" w:rsidR="008D1DCB" w:rsidRPr="006138F0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060" w:type="dxa"/>
          </w:tcPr>
          <w:p w14:paraId="081671A5" w14:textId="77777777" w:rsidR="008D1DCB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076" w:type="dxa"/>
          </w:tcPr>
          <w:p w14:paraId="601287FA" w14:textId="77777777" w:rsidR="008D1DCB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756" w:type="dxa"/>
          </w:tcPr>
          <w:p w14:paraId="41F77523" w14:textId="77777777" w:rsidR="008D1DCB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756" w:type="dxa"/>
          </w:tcPr>
          <w:p w14:paraId="4D558818" w14:textId="77777777" w:rsidR="008D1DCB" w:rsidRDefault="008D1DCB" w:rsidP="005A2D8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8376DD" w:rsidRPr="00C61351" w14:paraId="27200A22" w14:textId="77777777" w:rsidTr="005A2D85">
        <w:trPr>
          <w:trHeight w:val="274"/>
          <w:jc w:val="center"/>
        </w:trPr>
        <w:tc>
          <w:tcPr>
            <w:tcW w:w="846" w:type="dxa"/>
          </w:tcPr>
          <w:p w14:paraId="394392D8" w14:textId="27940238" w:rsidR="008D1DCB" w:rsidRPr="009F72B1" w:rsidRDefault="00790CA1" w:rsidP="005A2D8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ID</w:t>
            </w:r>
            <w:r w:rsidR="00D06BC4">
              <w:rPr>
                <w:sz w:val="18"/>
                <w:szCs w:val="18"/>
                <w:lang w:val="en-US"/>
              </w:rPr>
              <w:t>8</w:t>
            </w:r>
            <w:r w:rsidR="00C61351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060" w:type="dxa"/>
          </w:tcPr>
          <w:p w14:paraId="7820E253" w14:textId="209781BD" w:rsidR="00060313" w:rsidRDefault="00060313" w:rsidP="001C15F8">
            <w:pPr>
              <w:rPr>
                <w:sz w:val="18"/>
                <w:szCs w:val="18"/>
                <w:lang w:val="en-GB"/>
              </w:rPr>
            </w:pPr>
          </w:p>
          <w:p w14:paraId="40B9EA10" w14:textId="2667519C" w:rsidR="00015EF8" w:rsidRPr="00474C7C" w:rsidRDefault="008376DD" w:rsidP="00015EF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Social and ethical indicators</w:t>
            </w:r>
            <w:r w:rsidR="00474C7C">
              <w:rPr>
                <w:sz w:val="18"/>
                <w:szCs w:val="18"/>
                <w:lang w:val="en-GB"/>
              </w:rPr>
              <w:t xml:space="preserve"> (</w:t>
            </w:r>
            <w:r w:rsidR="00474C7C" w:rsidRPr="00474C7C">
              <w:rPr>
                <w:sz w:val="18"/>
                <w:szCs w:val="18"/>
                <w:lang w:val="en-GB"/>
              </w:rPr>
              <w:t>A. Yadoo and H. Cruickshank</w:t>
            </w:r>
            <w:r w:rsidR="00474C7C">
              <w:rPr>
                <w:sz w:val="18"/>
                <w:szCs w:val="18"/>
                <w:lang w:val="en-GB"/>
              </w:rPr>
              <w:t>, 2012)</w:t>
            </w:r>
          </w:p>
          <w:p w14:paraId="65793063" w14:textId="3BA85595" w:rsidR="008376DD" w:rsidRPr="00015EF8" w:rsidRDefault="008376DD" w:rsidP="00015EF8">
            <w:pPr>
              <w:rPr>
                <w:sz w:val="18"/>
                <w:szCs w:val="18"/>
                <w:lang w:val="en-GB"/>
              </w:rPr>
            </w:pPr>
            <w:r w:rsidRPr="008376DD">
              <w:rPr>
                <w:sz w:val="18"/>
                <w:szCs w:val="18"/>
                <w:lang w:val="en-GB"/>
              </w:rPr>
              <w:drawing>
                <wp:inline distT="0" distB="0" distL="0" distR="0" wp14:anchorId="43E7F9EA" wp14:editId="63E84435">
                  <wp:extent cx="2363848" cy="16510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990" cy="165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AC8A6" w14:textId="765D19FB" w:rsidR="00060313" w:rsidRPr="00355F0A" w:rsidRDefault="00060313" w:rsidP="001C15F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76" w:type="dxa"/>
          </w:tcPr>
          <w:p w14:paraId="3271952D" w14:textId="77777777" w:rsidR="00C61351" w:rsidRDefault="00C61351" w:rsidP="00980C2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Surveys, Metering, Proxy</w:t>
            </w:r>
          </w:p>
          <w:p w14:paraId="787E944D" w14:textId="77777777" w:rsidR="00C61351" w:rsidRDefault="00C61351" w:rsidP="00980C2C">
            <w:pPr>
              <w:rPr>
                <w:sz w:val="18"/>
                <w:szCs w:val="18"/>
                <w:lang w:val="en-GB"/>
              </w:rPr>
            </w:pPr>
          </w:p>
          <w:p w14:paraId="2DDF9BB6" w14:textId="468D1007" w:rsidR="00C42A63" w:rsidRPr="00C42A63" w:rsidRDefault="00E34CA4" w:rsidP="00C42A63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</w:t>
            </w:r>
            <w:r w:rsidR="00C42A63" w:rsidRPr="00C42A63">
              <w:rPr>
                <w:sz w:val="18"/>
                <w:szCs w:val="18"/>
                <w:lang w:val="en-GB"/>
              </w:rPr>
              <w:t>emi-structured interviews with users and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="00C42A63" w:rsidRPr="00C42A63">
              <w:rPr>
                <w:sz w:val="18"/>
                <w:szCs w:val="18"/>
                <w:lang w:val="en-GB"/>
              </w:rPr>
              <w:t>managers, transect walks, photographic evidence, and</w:t>
            </w:r>
          </w:p>
          <w:p w14:paraId="0102C522" w14:textId="2CACC046" w:rsidR="00060313" w:rsidRDefault="00C42A63" w:rsidP="00C42A63">
            <w:pPr>
              <w:rPr>
                <w:sz w:val="18"/>
                <w:szCs w:val="18"/>
                <w:lang w:val="en-GB"/>
              </w:rPr>
            </w:pPr>
            <w:r w:rsidRPr="00C42A63">
              <w:rPr>
                <w:sz w:val="18"/>
                <w:szCs w:val="18"/>
                <w:lang w:val="en-GB"/>
              </w:rPr>
              <w:t>observations.</w:t>
            </w:r>
          </w:p>
          <w:p w14:paraId="7A590E33" w14:textId="4582B363" w:rsidR="00E34CA4" w:rsidRDefault="00E34CA4" w:rsidP="00C42A63">
            <w:pPr>
              <w:rPr>
                <w:sz w:val="18"/>
                <w:szCs w:val="18"/>
                <w:lang w:val="en-GB"/>
              </w:rPr>
            </w:pPr>
          </w:p>
          <w:p w14:paraId="4228B65B" w14:textId="2F3CEB5C" w:rsidR="00E34CA4" w:rsidRPr="00C42A63" w:rsidRDefault="00E34CA4" w:rsidP="00C42A63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Case studies</w:t>
            </w:r>
          </w:p>
          <w:p w14:paraId="59D0806A" w14:textId="3B5BE04C" w:rsidR="0056281F" w:rsidRPr="0056281F" w:rsidRDefault="0056281F" w:rsidP="0056281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56" w:type="dxa"/>
          </w:tcPr>
          <w:p w14:paraId="2EDB42F1" w14:textId="608D85C3" w:rsidR="008D1DCB" w:rsidRPr="00015EF8" w:rsidRDefault="008D1DCB" w:rsidP="00015EF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56" w:type="dxa"/>
          </w:tcPr>
          <w:p w14:paraId="484EA9B3" w14:textId="77777777" w:rsidR="00C61351" w:rsidRPr="00C61351" w:rsidRDefault="00C61351" w:rsidP="00C61351">
            <w:pPr>
              <w:rPr>
                <w:sz w:val="18"/>
                <w:szCs w:val="18"/>
                <w:lang w:val="en-GB"/>
              </w:rPr>
            </w:pPr>
            <w:r w:rsidRPr="00C61351">
              <w:rPr>
                <w:sz w:val="18"/>
                <w:szCs w:val="18"/>
                <w:lang w:val="en-GB"/>
              </w:rPr>
              <w:t>Practical Action’s Poor People’s Energy Outlook (PPEO)</w:t>
            </w:r>
          </w:p>
          <w:p w14:paraId="0CD1073B" w14:textId="77777777" w:rsidR="00C61351" w:rsidRPr="00C61351" w:rsidRDefault="00C61351" w:rsidP="00C61351">
            <w:pPr>
              <w:rPr>
                <w:sz w:val="18"/>
                <w:szCs w:val="18"/>
                <w:lang w:val="en-GB"/>
              </w:rPr>
            </w:pPr>
            <w:r w:rsidRPr="00C61351">
              <w:rPr>
                <w:sz w:val="18"/>
                <w:szCs w:val="18"/>
                <w:lang w:val="en-GB"/>
              </w:rPr>
              <w:t>[20] outlines a framework for observing and evaluating the</w:t>
            </w:r>
          </w:p>
          <w:p w14:paraId="3FBFBDB4" w14:textId="1E336AD1" w:rsidR="00C61351" w:rsidRPr="00C61351" w:rsidRDefault="00C61351" w:rsidP="00C61351">
            <w:pPr>
              <w:rPr>
                <w:sz w:val="18"/>
                <w:szCs w:val="18"/>
                <w:lang w:val="en-GB"/>
              </w:rPr>
            </w:pPr>
            <w:r w:rsidRPr="00C61351">
              <w:rPr>
                <w:sz w:val="18"/>
                <w:szCs w:val="18"/>
                <w:lang w:val="en-GB"/>
              </w:rPr>
              <w:t>social value of energy projects at a local level through an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C61351">
              <w:rPr>
                <w:sz w:val="18"/>
                <w:szCs w:val="18"/>
                <w:lang w:val="en-GB"/>
              </w:rPr>
              <w:t>ecosystem approach that encompasses the SE4All Global</w:t>
            </w:r>
          </w:p>
          <w:p w14:paraId="39DD8825" w14:textId="45E8528A" w:rsidR="00C61351" w:rsidRDefault="00C61351" w:rsidP="00C61351">
            <w:pPr>
              <w:rPr>
                <w:sz w:val="18"/>
                <w:szCs w:val="18"/>
                <w:lang w:val="en-GB"/>
              </w:rPr>
            </w:pPr>
            <w:r w:rsidRPr="00C61351">
              <w:rPr>
                <w:sz w:val="18"/>
                <w:szCs w:val="18"/>
                <w:lang w:val="en-GB"/>
              </w:rPr>
              <w:t>Tracking Framework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>.</w:t>
            </w:r>
          </w:p>
          <w:p w14:paraId="7CB3520B" w14:textId="065F6F01" w:rsidR="00C61351" w:rsidRDefault="00C61351" w:rsidP="00C61351">
            <w:pPr>
              <w:rPr>
                <w:sz w:val="18"/>
                <w:szCs w:val="18"/>
                <w:lang w:val="en-GB"/>
              </w:rPr>
            </w:pPr>
          </w:p>
          <w:p w14:paraId="74231D6A" w14:textId="19E2AC6A" w:rsidR="00C61351" w:rsidRPr="00C61351" w:rsidRDefault="00F4114E" w:rsidP="00C61351">
            <w:pPr>
              <w:rPr>
                <w:sz w:val="18"/>
                <w:szCs w:val="18"/>
                <w:lang w:val="en-GB"/>
              </w:rPr>
            </w:pPr>
            <w:r w:rsidRPr="00F4114E">
              <w:rPr>
                <w:lang w:val="en-GB"/>
              </w:rPr>
              <w:t>Ilskog</w:t>
            </w:r>
            <w:r w:rsidRPr="00F4114E">
              <w:rPr>
                <w:lang w:val="en-GB"/>
              </w:rPr>
              <w:t xml:space="preserve"> (2008) </w:t>
            </w:r>
            <w:r w:rsidR="00C61351" w:rsidRPr="00C61351">
              <w:rPr>
                <w:sz w:val="18"/>
                <w:szCs w:val="18"/>
                <w:lang w:val="en-GB"/>
              </w:rPr>
              <w:t>presents a method for the evaluation of rural</w:t>
            </w:r>
          </w:p>
          <w:p w14:paraId="022C6C04" w14:textId="77777777" w:rsidR="00C61351" w:rsidRPr="00C61351" w:rsidRDefault="00C61351" w:rsidP="00C61351">
            <w:pPr>
              <w:rPr>
                <w:sz w:val="18"/>
                <w:szCs w:val="18"/>
                <w:lang w:val="en-GB"/>
              </w:rPr>
            </w:pPr>
            <w:r w:rsidRPr="00C61351">
              <w:rPr>
                <w:sz w:val="18"/>
                <w:szCs w:val="18"/>
                <w:lang w:val="en-GB"/>
              </w:rPr>
              <w:t>electrification projects that covers five dimensions of</w:t>
            </w:r>
          </w:p>
          <w:p w14:paraId="7D387658" w14:textId="77777777" w:rsidR="00C61351" w:rsidRPr="00C61351" w:rsidRDefault="00C61351" w:rsidP="00C61351">
            <w:pPr>
              <w:rPr>
                <w:sz w:val="18"/>
                <w:szCs w:val="18"/>
                <w:lang w:val="en-GB"/>
              </w:rPr>
            </w:pPr>
            <w:r w:rsidRPr="00C61351">
              <w:rPr>
                <w:sz w:val="18"/>
                <w:szCs w:val="18"/>
                <w:lang w:val="en-GB"/>
              </w:rPr>
              <w:t>sustainability: technical, economic, social/ethical,</w:t>
            </w:r>
          </w:p>
          <w:p w14:paraId="16322859" w14:textId="48F37E34" w:rsidR="00C61351" w:rsidRPr="00C61351" w:rsidRDefault="00C61351" w:rsidP="00C61351">
            <w:pPr>
              <w:rPr>
                <w:sz w:val="18"/>
                <w:szCs w:val="18"/>
                <w:lang w:val="en-GB"/>
              </w:rPr>
            </w:pPr>
            <w:r w:rsidRPr="00C61351">
              <w:rPr>
                <w:sz w:val="18"/>
                <w:szCs w:val="18"/>
                <w:lang w:val="en-GB"/>
              </w:rPr>
              <w:t>environmental, and institutional.</w:t>
            </w:r>
          </w:p>
          <w:p w14:paraId="2CA3E8A0" w14:textId="7936D9CE" w:rsidR="008D1DCB" w:rsidRPr="009C6D5C" w:rsidRDefault="008D1DCB" w:rsidP="009C6D5C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14:paraId="1331832F" w14:textId="2A95733D" w:rsidR="008D1DCB" w:rsidRDefault="008D1DCB" w:rsidP="008D1DC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272C7B2" w14:textId="305161E2" w:rsidR="00C42A63" w:rsidRDefault="00C42A63" w:rsidP="008D1DC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The paper presents the results of a literature review. Consequently, various frameworks, indicators, and methods are discussed and a synthesis is proposed in table III (see below)</w:t>
      </w:r>
      <w:r w:rsidR="00E34CA4">
        <w:rPr>
          <w:lang w:val="en-GB"/>
        </w:rPr>
        <w:t xml:space="preserve">. The authors emphasize the idea of Ilskog (2008) </w:t>
      </w:r>
      <w:r w:rsidR="00E34CA4" w:rsidRPr="00E34CA4">
        <w:rPr>
          <w:lang w:val="en-GB"/>
        </w:rPr>
        <w:t xml:space="preserve">that </w:t>
      </w:r>
      <w:r w:rsidR="00E34CA4">
        <w:rPr>
          <w:lang w:val="en-GB"/>
        </w:rPr>
        <w:t>‘</w:t>
      </w:r>
      <w:r w:rsidR="00E34CA4" w:rsidRPr="00E34CA4">
        <w:rPr>
          <w:lang w:val="en-GB"/>
        </w:rPr>
        <w:t>in an ideal scenario, sustainability indicators should be designed in consultation with project stakeholders such as users, government, local electricity service providers, project workers, financing bodies, etc</w:t>
      </w:r>
      <w:r w:rsidR="00E34CA4">
        <w:rPr>
          <w:lang w:val="en-GB"/>
        </w:rPr>
        <w:t>.’</w:t>
      </w:r>
    </w:p>
    <w:p w14:paraId="3D24DEFD" w14:textId="1D8DE5EE" w:rsidR="008376DD" w:rsidRPr="008376DD" w:rsidRDefault="008376DD" w:rsidP="008D1DC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When discussing the social and ethical indicators, the authors pointed out that </w:t>
      </w:r>
      <w:r w:rsidRPr="008376DD">
        <w:rPr>
          <w:lang w:val="en-GB"/>
        </w:rPr>
        <w:t>a key focus within the indicators is put on education, healthcare, and gender; with a notable element of equality also highlighted.</w:t>
      </w:r>
    </w:p>
    <w:p w14:paraId="478FDF8D" w14:textId="3A9A5507" w:rsidR="00C61351" w:rsidRDefault="00C61351" w:rsidP="008D1DC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C61351">
        <w:rPr>
          <w:lang w:val="en-GB"/>
        </w:rPr>
        <w:lastRenderedPageBreak/>
        <w:drawing>
          <wp:inline distT="0" distB="0" distL="0" distR="0" wp14:anchorId="4DBCCC1A" wp14:editId="142F6D4B">
            <wp:extent cx="4064209" cy="450238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DE"/>
    <w:rsid w:val="00003B47"/>
    <w:rsid w:val="00015EF8"/>
    <w:rsid w:val="00023EDE"/>
    <w:rsid w:val="000541FA"/>
    <w:rsid w:val="00060313"/>
    <w:rsid w:val="00191A93"/>
    <w:rsid w:val="001C15F8"/>
    <w:rsid w:val="002421E3"/>
    <w:rsid w:val="003346D2"/>
    <w:rsid w:val="00355F0A"/>
    <w:rsid w:val="003B5050"/>
    <w:rsid w:val="003D02C0"/>
    <w:rsid w:val="003F7FB2"/>
    <w:rsid w:val="00474C7C"/>
    <w:rsid w:val="0056281F"/>
    <w:rsid w:val="00755F70"/>
    <w:rsid w:val="00790CA1"/>
    <w:rsid w:val="008376DD"/>
    <w:rsid w:val="00863DD0"/>
    <w:rsid w:val="008D1DCB"/>
    <w:rsid w:val="00980C2C"/>
    <w:rsid w:val="009C6D5C"/>
    <w:rsid w:val="009F72B1"/>
    <w:rsid w:val="00B50C6C"/>
    <w:rsid w:val="00BD0C0F"/>
    <w:rsid w:val="00BE2289"/>
    <w:rsid w:val="00C3304C"/>
    <w:rsid w:val="00C42A63"/>
    <w:rsid w:val="00C61351"/>
    <w:rsid w:val="00C73B92"/>
    <w:rsid w:val="00D005CD"/>
    <w:rsid w:val="00D06BC4"/>
    <w:rsid w:val="00D51DF7"/>
    <w:rsid w:val="00E34CA4"/>
    <w:rsid w:val="00E56186"/>
    <w:rsid w:val="00EC2C25"/>
    <w:rsid w:val="00F4114E"/>
    <w:rsid w:val="00F83343"/>
    <w:rsid w:val="00FB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BB97"/>
  <w15:chartTrackingRefBased/>
  <w15:docId w15:val="{4EB3B389-1498-4B52-8923-87379AA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B47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B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3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B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DIAZ FERNANDEZ</dc:creator>
  <cp:keywords/>
  <dc:description/>
  <cp:lastModifiedBy>LOREDANA MARIA MANASIA (77132)</cp:lastModifiedBy>
  <cp:revision>17</cp:revision>
  <dcterms:created xsi:type="dcterms:W3CDTF">2022-09-20T19:49:00Z</dcterms:created>
  <dcterms:modified xsi:type="dcterms:W3CDTF">2022-09-21T20:12:00Z</dcterms:modified>
</cp:coreProperties>
</file>