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68" w:type="dxa"/>
        <w:jc w:val="center"/>
        <w:tblLook w:val="04A0" w:firstRow="1" w:lastRow="0" w:firstColumn="1" w:lastColumn="0" w:noHBand="0" w:noVBand="1"/>
      </w:tblPr>
      <w:tblGrid>
        <w:gridCol w:w="647"/>
        <w:gridCol w:w="6578"/>
        <w:gridCol w:w="1559"/>
        <w:gridCol w:w="992"/>
        <w:gridCol w:w="992"/>
      </w:tblGrid>
      <w:tr w:rsidR="00C838B7" w14:paraId="2E6360D2" w14:textId="77777777" w:rsidTr="00C838B7">
        <w:trPr>
          <w:trHeight w:val="274"/>
          <w:jc w:val="center"/>
        </w:trPr>
        <w:tc>
          <w:tcPr>
            <w:tcW w:w="647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6578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1559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992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992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C838B7" w14:paraId="1683DB03" w14:textId="77777777" w:rsidTr="00C838B7">
        <w:trPr>
          <w:trHeight w:val="274"/>
          <w:jc w:val="center"/>
        </w:trPr>
        <w:tc>
          <w:tcPr>
            <w:tcW w:w="647" w:type="dxa"/>
          </w:tcPr>
          <w:p w14:paraId="3586198D" w14:textId="07BA0FF2" w:rsidR="00F95DEA" w:rsidRPr="009F72B1" w:rsidRDefault="00EA1B8F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6578" w:type="dxa"/>
          </w:tcPr>
          <w:p w14:paraId="309B99A6" w14:textId="102A8EA9" w:rsidR="00F95DEA" w:rsidRPr="009F72B1" w:rsidRDefault="00C838B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C838B7">
              <w:rPr>
                <w:sz w:val="18"/>
                <w:szCs w:val="18"/>
                <w:lang w:val="en-US"/>
              </w:rPr>
              <w:drawing>
                <wp:inline distT="0" distB="0" distL="0" distR="0" wp14:anchorId="4BAF941A" wp14:editId="3E3733BC">
                  <wp:extent cx="4031591" cy="156210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568" cy="15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C623BD0" w14:textId="03D7C637" w:rsidR="00F95DEA" w:rsidRPr="009F72B1" w:rsidRDefault="00EA1B8F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EA1B8F">
              <w:rPr>
                <w:lang w:val="en-US"/>
              </w:rPr>
              <w:t>in-depth</w:t>
            </w:r>
            <w:r>
              <w:rPr>
                <w:lang w:val="en-US"/>
              </w:rPr>
              <w:t xml:space="preserve"> </w:t>
            </w:r>
            <w:r w:rsidRPr="00EA1B8F">
              <w:rPr>
                <w:lang w:val="en-US"/>
              </w:rPr>
              <w:t xml:space="preserve">interview, </w:t>
            </w:r>
            <w:proofErr w:type="gramStart"/>
            <w:r w:rsidRPr="00EA1B8F">
              <w:rPr>
                <w:lang w:val="en-US"/>
              </w:rPr>
              <w:t>survey</w:t>
            </w:r>
            <w:proofErr w:type="gramEnd"/>
            <w:r w:rsidRPr="00EA1B8F">
              <w:rPr>
                <w:lang w:val="en-US"/>
              </w:rPr>
              <w:t xml:space="preserve"> and brainstorming</w:t>
            </w:r>
          </w:p>
        </w:tc>
        <w:tc>
          <w:tcPr>
            <w:tcW w:w="992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0802764F" w:rsidR="000541FA" w:rsidRDefault="000541FA"/>
    <w:p w14:paraId="61815B6F" w14:textId="1968D98F" w:rsidR="00EA1B8F" w:rsidRDefault="00EA1B8F" w:rsidP="00EA1B8F">
      <w:pPr>
        <w:jc w:val="both"/>
        <w:rPr>
          <w:lang w:val="en-US"/>
        </w:rPr>
      </w:pPr>
      <w:r w:rsidRPr="00EA1B8F">
        <w:rPr>
          <w:lang w:val="en-US"/>
        </w:rPr>
        <w:t>We selected the Social Return on</w:t>
      </w:r>
      <w:r>
        <w:rPr>
          <w:lang w:val="en-US"/>
        </w:rPr>
        <w:t xml:space="preserve"> </w:t>
      </w:r>
      <w:r w:rsidRPr="00EA1B8F">
        <w:rPr>
          <w:lang w:val="en-US"/>
        </w:rPr>
        <w:t>Investment )SROI( to evaluate the impact of the Young Scientist</w:t>
      </w:r>
      <w:r>
        <w:rPr>
          <w:lang w:val="en-US"/>
        </w:rPr>
        <w:t xml:space="preserve"> </w:t>
      </w:r>
      <w:r w:rsidRPr="00EA1B8F">
        <w:rPr>
          <w:lang w:val="en-US"/>
        </w:rPr>
        <w:t>Competition project. The methods of study are based on in-depth</w:t>
      </w:r>
      <w:r>
        <w:rPr>
          <w:lang w:val="en-US"/>
        </w:rPr>
        <w:t xml:space="preserve"> </w:t>
      </w:r>
      <w:r w:rsidRPr="00EA1B8F">
        <w:rPr>
          <w:lang w:val="en-US"/>
        </w:rPr>
        <w:t>interview, survey and brainstorming with stakeholders including</w:t>
      </w:r>
      <w:r>
        <w:rPr>
          <w:lang w:val="en-US"/>
        </w:rPr>
        <w:t xml:space="preserve"> </w:t>
      </w:r>
      <w:r w:rsidRPr="00EA1B8F">
        <w:rPr>
          <w:lang w:val="en-US"/>
        </w:rPr>
        <w:t>students and teachers.</w:t>
      </w:r>
    </w:p>
    <w:p w14:paraId="666EF5AC" w14:textId="49D3C690" w:rsidR="00EA1B8F" w:rsidRDefault="00EA1B8F" w:rsidP="00EA1B8F">
      <w:pPr>
        <w:jc w:val="both"/>
        <w:rPr>
          <w:lang w:val="en-US"/>
        </w:rPr>
      </w:pPr>
    </w:p>
    <w:p w14:paraId="5C755E8C" w14:textId="06FD33E7" w:rsidR="00EA1B8F" w:rsidRDefault="00EA1B8F" w:rsidP="00EA1B8F">
      <w:pPr>
        <w:jc w:val="both"/>
        <w:rPr>
          <w:lang w:val="en-US"/>
        </w:rPr>
      </w:pPr>
      <w:r w:rsidRPr="00EA1B8F">
        <w:rPr>
          <w:lang w:val="en-US"/>
        </w:rPr>
        <w:t xml:space="preserve">this paper offers the comprehensive </w:t>
      </w:r>
      <w:r w:rsidRPr="00EA1B8F">
        <w:rPr>
          <w:b/>
          <w:bCs/>
          <w:lang w:val="en-US"/>
        </w:rPr>
        <w:t>social impact</w:t>
      </w:r>
      <w:r w:rsidRPr="00EA1B8F">
        <w:rPr>
          <w:b/>
          <w:bCs/>
          <w:lang w:val="en-US"/>
        </w:rPr>
        <w:t xml:space="preserve"> </w:t>
      </w:r>
      <w:r w:rsidRPr="00EA1B8F">
        <w:rPr>
          <w:b/>
          <w:bCs/>
          <w:lang w:val="en-US"/>
        </w:rPr>
        <w:t>evaluation framework</w:t>
      </w:r>
      <w:r w:rsidRPr="00EA1B8F">
        <w:rPr>
          <w:lang w:val="en-US"/>
        </w:rPr>
        <w:t xml:space="preserve"> that includes a design of social outcome</w:t>
      </w:r>
      <w:r>
        <w:rPr>
          <w:lang w:val="en-US"/>
        </w:rPr>
        <w:t xml:space="preserve"> </w:t>
      </w:r>
      <w:r w:rsidRPr="00EA1B8F">
        <w:rPr>
          <w:lang w:val="en-US"/>
        </w:rPr>
        <w:t>and financial proxy from the stakeholder and the secondary data</w:t>
      </w:r>
      <w:r>
        <w:rPr>
          <w:lang w:val="en-US"/>
        </w:rPr>
        <w:t xml:space="preserve"> </w:t>
      </w:r>
      <w:r w:rsidRPr="00EA1B8F">
        <w:rPr>
          <w:lang w:val="en-US"/>
        </w:rPr>
        <w:t>sources.</w:t>
      </w:r>
    </w:p>
    <w:p w14:paraId="3ABCE19C" w14:textId="7B27FC74" w:rsidR="00EA1B8F" w:rsidRDefault="00EA1B8F" w:rsidP="00EA1B8F">
      <w:pPr>
        <w:jc w:val="both"/>
        <w:rPr>
          <w:lang w:val="en-US"/>
        </w:rPr>
      </w:pPr>
    </w:p>
    <w:p w14:paraId="78942BF1" w14:textId="73E393AB" w:rsidR="00EA1B8F" w:rsidRDefault="00EA1B8F" w:rsidP="00EA1B8F">
      <w:pPr>
        <w:jc w:val="both"/>
        <w:rPr>
          <w:lang w:val="en-US"/>
        </w:rPr>
      </w:pPr>
      <w:r w:rsidRPr="00EA1B8F">
        <w:rPr>
          <w:lang w:val="en-US"/>
        </w:rPr>
        <w:t>In this paper, we define the counter factual for the YSC</w:t>
      </w:r>
      <w:r>
        <w:rPr>
          <w:lang w:val="en-US"/>
        </w:rPr>
        <w:t xml:space="preserve"> </w:t>
      </w:r>
      <w:r w:rsidRPr="00EA1B8F">
        <w:rPr>
          <w:lang w:val="en-US"/>
        </w:rPr>
        <w:t>project and select before-after comparative situation. We</w:t>
      </w:r>
      <w:r>
        <w:rPr>
          <w:lang w:val="en-US"/>
        </w:rPr>
        <w:t xml:space="preserve"> </w:t>
      </w:r>
      <w:r w:rsidRPr="00EA1B8F">
        <w:rPr>
          <w:lang w:val="en-US"/>
        </w:rPr>
        <w:t>choose the Logic model, which show of logically relationship</w:t>
      </w:r>
      <w:r>
        <w:rPr>
          <w:lang w:val="en-US"/>
        </w:rPr>
        <w:t xml:space="preserve"> </w:t>
      </w:r>
      <w:r w:rsidRPr="00EA1B8F">
        <w:rPr>
          <w:lang w:val="en-US"/>
        </w:rPr>
        <w:t>between resources, activities, outputs, stakeholders, outcomes</w:t>
      </w:r>
      <w:r>
        <w:rPr>
          <w:lang w:val="en-US"/>
        </w:rPr>
        <w:t xml:space="preserve"> </w:t>
      </w:r>
      <w:r w:rsidRPr="00EA1B8F">
        <w:rPr>
          <w:lang w:val="en-US"/>
        </w:rPr>
        <w:t>and impacts, and selected SROI model for measuring financial</w:t>
      </w:r>
      <w:r>
        <w:rPr>
          <w:lang w:val="en-US"/>
        </w:rPr>
        <w:t xml:space="preserve"> </w:t>
      </w:r>
      <w:r w:rsidRPr="00EA1B8F">
        <w:rPr>
          <w:lang w:val="en-US"/>
        </w:rPr>
        <w:t>value, which define indicators, deadweight, attribution,</w:t>
      </w:r>
      <w:r>
        <w:rPr>
          <w:lang w:val="en-US"/>
        </w:rPr>
        <w:t xml:space="preserve"> </w:t>
      </w:r>
      <w:r w:rsidRPr="00EA1B8F">
        <w:rPr>
          <w:lang w:val="en-US"/>
        </w:rPr>
        <w:t>replacement, drop-off, and evaluate qualitative data by</w:t>
      </w:r>
      <w:r>
        <w:rPr>
          <w:lang w:val="en-US"/>
        </w:rPr>
        <w:t xml:space="preserve"> </w:t>
      </w:r>
      <w:r w:rsidRPr="00EA1B8F">
        <w:rPr>
          <w:lang w:val="en-US"/>
        </w:rPr>
        <w:t xml:space="preserve">financial proxy of each </w:t>
      </w:r>
      <w:proofErr w:type="gramStart"/>
      <w:r w:rsidRPr="00EA1B8F">
        <w:rPr>
          <w:lang w:val="en-US"/>
        </w:rPr>
        <w:t>indicators</w:t>
      </w:r>
      <w:proofErr w:type="gramEnd"/>
      <w:r w:rsidRPr="00EA1B8F">
        <w:rPr>
          <w:lang w:val="en-US"/>
        </w:rPr>
        <w:t xml:space="preserve"> and calculate with SROI</w:t>
      </w:r>
      <w:r>
        <w:rPr>
          <w:lang w:val="en-US"/>
        </w:rPr>
        <w:t xml:space="preserve"> </w:t>
      </w:r>
      <w:r w:rsidRPr="00EA1B8F">
        <w:rPr>
          <w:lang w:val="en-US"/>
        </w:rPr>
        <w:t>equation.</w:t>
      </w:r>
    </w:p>
    <w:p w14:paraId="7CA4F7F6" w14:textId="183EAE32" w:rsidR="00EA1B8F" w:rsidRPr="00EA1B8F" w:rsidRDefault="00EA1B8F" w:rsidP="00EA1B8F">
      <w:pPr>
        <w:jc w:val="both"/>
        <w:rPr>
          <w:lang w:val="en-US"/>
        </w:rPr>
      </w:pPr>
      <w:r w:rsidRPr="00EA1B8F">
        <w:rPr>
          <w:lang w:val="en-US"/>
        </w:rPr>
        <w:drawing>
          <wp:inline distT="0" distB="0" distL="0" distR="0" wp14:anchorId="37AD7D12" wp14:editId="15A3EB44">
            <wp:extent cx="3048264" cy="403895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8F" w:rsidRPr="00EA1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630071"/>
    <w:rsid w:val="00863DD0"/>
    <w:rsid w:val="00BE2289"/>
    <w:rsid w:val="00C838B7"/>
    <w:rsid w:val="00D51DF7"/>
    <w:rsid w:val="00EA1B8F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2022-09-21T13:09:00Z</dcterms:modified>
</cp:coreProperties>
</file>