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Ashen Company Player Guide</w:t>
      </w:r>
    </w:p>
    <w:p>
      <w:pPr>
        <w:pStyle w:val="BookSubtitle"/>
      </w:pPr>
      <w:r>
        <w:t>Campaign lore and field handbook · 26 October 2026</w:t>
      </w:r>
    </w:p>
    <w:p>
      <w:pPr>
        <w:pStyle w:val="BookLede"/>
      </w:pPr>
      <w:r>
        <w:t>You are members of a mercenary company that survived the disaster at Redwater. The Company has temporary shelter in Greyhaven, little room for waste, and a missing banner. This guide explains what your characters know, how to choose and prepare for missions, and how to care for the organization that outlives any one adventurer.</w:t>
      </w:r>
    </w:p>
    <w:p>
      <w:pPr>
        <w:pStyle w:val="Heading1"/>
      </w:pPr>
      <w:r>
        <w:t>The Company after Redwater</w:t>
      </w:r>
    </w:p>
    <w:p>
      <w:r>
        <w:t>The Ashen Company is broken but alive. Its remaining members have gathered in Greyhaven under Lieutenant Mara Venn, the acting officer who led survivors out of Redwater. The banner is lost. Recovering it is the Company’s first known mission and a public sign that its people still stand together.</w:t>
      </w:r>
    </w:p>
    <w:p>
      <w:r>
        <w:t>A disgraced reputation and thin stores shape early decisions. Rumor and incomplete intelligence are part of play; a briefing tells you what the Company believes, not everything that is true.</w:t>
      </w:r>
    </w:p>
    <w:p>
      <w:pPr>
        <w:pStyle w:val="Heading2"/>
      </w:pPr>
      <w:r>
        <w:t>Places you can name</w:t>
      </w:r>
    </w:p>
    <w:p>
      <w:r>
        <w:rPr>
          <w:b/>
        </w:rPr>
        <w:t xml:space="preserve">Greyhaven.  </w:t>
      </w:r>
      <w:r>
        <w:t>The surviving Company uses temporary quarters here. It is the place to seek information, prepare, recover, and decide what to do next.</w:t>
      </w:r>
    </w:p>
    <w:p>
      <w:r>
        <w:rPr>
          <w:b/>
        </w:rPr>
        <w:t xml:space="preserve">Redwater Weirhouse.  </w:t>
      </w:r>
      <w:r>
        <w:t>A ruined stone tollhouse and floodgate downstream of Redwater ford. Broken sluices and a wet lower chamber remain reachable from the banks.</w:t>
      </w:r>
    </w:p>
    <w:p>
      <w:pPr>
        <w:pStyle w:val="Heading2"/>
      </w:pPr>
      <w:r>
        <w:t>People you know</w:t>
      </w:r>
    </w:p>
    <w:p>
      <w:r>
        <w:rPr>
          <w:b/>
        </w:rPr>
        <w:t xml:space="preserve">Lieutenant Mara Venn.  </w:t>
      </w:r>
      <w:r>
        <w:t>The Company’s acting officer. She led survivors out of Redwater and now directs their recovery from Greyhaven.</w:t>
      </w:r>
    </w:p>
    <w:p>
      <w:r>
        <w:rPr>
          <w:b/>
        </w:rPr>
        <w:t xml:space="preserve">An Ashen Company survivor.  </w:t>
      </w:r>
      <w:r>
        <w:t>One of the remaining members quartered in Greyhaven. Survivors can hold useful memories, but no single account must be complete.</w:t>
      </w:r>
    </w:p>
    <w:p>
      <w:pPr>
        <w:pStyle w:val="Heading1"/>
      </w:pPr>
      <w:r>
        <w:t>Your first mission</w:t>
      </w:r>
    </w:p>
    <w:p>
      <w:r>
        <w:t>Lieutenant Mara Venn asks the Company to recover its banner, lost at Redwater. A survivor in Greyhaven may know where it was last seen. Bring the standard home.</w:t>
      </w:r>
    </w:p>
    <w:p>
      <w:r>
        <w:t>You can begin by speaking to survivors, studying the route downstream, and choosing what gear and people to commit. A mission can be solved by conversation, careful movement, discovery, or combat. Retreat is a valid decision when the Company cannot afford a loss.</w:t>
      </w:r>
    </w:p>
    <w:p>
      <w:pPr>
        <w:pStyle w:val="Heading1"/>
      </w:pPr>
      <w:r>
        <w:t>How Company missions work</w:t>
      </w:r>
    </w:p>
    <w:p>
      <w:pPr>
        <w:spacing w:after="60"/>
        <w:ind w:left="331" w:hanging="259"/>
      </w:pPr>
      <w:r>
        <w:t>1.  Read the briefing. Identify the stated objective, reward, deadline, and what remains uncertain.</w:t>
      </w:r>
    </w:p>
    <w:p>
      <w:pPr>
        <w:spacing w:after="60"/>
        <w:ind w:left="331" w:hanging="259"/>
      </w:pPr>
      <w:r>
        <w:t>2.  Gather intelligence. Question people, scout routes, inspect maps, and compare sources.</w:t>
      </w:r>
    </w:p>
    <w:p>
      <w:pPr>
        <w:spacing w:after="60"/>
        <w:ind w:left="331" w:hanging="259"/>
      </w:pPr>
      <w:r>
        <w:t>3.  Choose the deployment. Decide who goes, who remains in reserve, and what the quartermaster issues.</w:t>
      </w:r>
    </w:p>
    <w:p>
      <w:pPr>
        <w:spacing w:after="60"/>
        <w:ind w:left="331" w:hanging="259"/>
      </w:pPr>
      <w:r>
        <w:t>4.  Play the operation. Opposition has aims of its own; negotiations and withdrawal can matter as much as victory.</w:t>
      </w:r>
    </w:p>
    <w:p>
      <w:pPr>
        <w:spacing w:after="60"/>
        <w:ind w:left="331" w:hanging="259"/>
      </w:pPr>
      <w:r>
        <w:t>5.  Make an after-action report. Record the outcome, losses, gear, money, discoveries, and time spent.</w:t>
      </w:r>
    </w:p>
    <w:p>
      <w:pPr>
        <w:spacing w:after="60"/>
        <w:ind w:left="331" w:hanging="259"/>
      </w:pPr>
      <w:r>
        <w:t>6.  Update the Company. Refit, recover, train, and see how factions or missed opportunities changed.</w:t>
      </w:r>
    </w:p>
    <w:p>
      <w:pPr>
        <w:pStyle w:val="Heading2"/>
      </w:pPr>
      <w:r>
        <w:t>Deployment Rating</w:t>
      </w:r>
    </w:p>
    <w:p>
      <w:r>
        <w:t>Deployment Rating, or DR, is the maximum combined character levels authorized for a mission. Each character contributes their level as deployment points. A DR 5 mission could take a level 3 veteran and two level 1 juniors. DR is a manpower budget, not a promise that the mission is safe.</w:t>
      </w:r>
    </w:p>
    <w:p>
      <w:pPr>
        <w:pStyle w:val="Heading2"/>
      </w:pPr>
      <w:r>
        <w:t>Read the intelligence</w:t>
      </w:r>
    </w:p>
    <w:p>
      <w:r>
        <w:rPr>
          <w:b/>
        </w:rPr>
        <w:t xml:space="preserve">Threat.  </w:t>
      </w:r>
      <w:r>
        <w:t>A practical danger estimate, ranging from routine to severe or unknown.</w:t>
      </w:r>
    </w:p>
    <w:p>
      <w:r>
        <w:rPr>
          <w:b/>
        </w:rPr>
        <w:t xml:space="preserve">Confidence.  </w:t>
      </w:r>
      <w:r>
        <w:t>How strongly the Company trusts that estimate: confirmed, reliable, estimated, questionable, or unknown.</w:t>
      </w:r>
    </w:p>
    <w:p>
      <w:r>
        <w:rPr>
          <w:b/>
        </w:rPr>
        <w:t xml:space="preserve">Magical threat.  </w:t>
      </w:r>
      <w:r>
        <w:t>A separate assessment. “None known” means there is no evidence yet; it is not certainty.</w:t>
      </w:r>
    </w:p>
    <w:p>
      <w:r>
        <w:t>A mission may expire or be completed by someone else while the Company waits. Ask what can be learned before spending scarce people and supplies.</w:t>
      </w:r>
    </w:p>
    <w:p>
      <w:pPr>
        <w:pStyle w:val="Heading2"/>
      </w:pPr>
      <w:r>
        <w:t>Rewards and consequences</w:t>
      </w:r>
    </w:p>
    <w:p>
      <w:r>
        <w:t>Money, gear, access, information, favors, reputation, and experience can all matter. Overcoming a challenge without a fight can earn equivalent experience; the method changes the story, not whether the objective mattered. The GM records consequences after the mission, including what happens to contracts the Company declines.</w:t>
      </w:r>
    </w:p>
    <w:p>
      <w:pPr>
        <w:pStyle w:val="Heading1"/>
      </w:pPr>
      <w:r>
        <w:t>Characters in the Company</w:t>
      </w:r>
    </w:p>
    <w:p>
      <w:r>
        <w:t>The campaign design uses a small roster so absent or wounded characters do not stop play: one veteran who survived Redwater and two junior members are the intended starting pattern. Confirm levels and individual histories with the GM at session zero. A character who is unavailable because of injury, captivity, or another assignment cannot deploy.</w:t>
      </w:r>
    </w:p>
    <w:p>
      <w:pPr>
        <w:pStyle w:val="Heading2"/>
      </w:pPr>
      <w:r>
        <w:t>Class and subclass access</w:t>
      </w:r>
    </w:p>
    <w:p>
      <w:r>
        <w:t>Use the 2024 fifth-edition rules for class mechanics. The earlier Ashen Company design set out this working access plan. It is a proposed campaign list until the GM confirms it at session zero; an official class option is not automatically available to the Company.</w:t>
      </w:r>
    </w:p>
    <w:tbl>
      <w:tblPr>
        <w:tblW w:type="dxa" w:w="4896"/>
        <w:tblLayout w:type="fixed"/>
        <w:tblLook w:firstColumn="1" w:firstRow="1" w:lastColumn="0" w:lastRow="0" w:noHBand="0" w:noVBand="1" w:val="04A0"/>
      </w:tblPr>
      <w:tblGrid>
        <w:gridCol w:w="3283"/>
        <w:gridCol w:w="1613"/>
      </w:tblGrid>
      <w:tr>
        <w:tc>
          <w:tcPr>
            <w:tcW w:type="dxa" w:w="3283"/>
            <w:shd w:fill="E7E5E1"/>
            <w:vAlign w:val="center"/>
            <w:tcBorders>
              <w:top w:val="single" w:sz="4" w:color="D9D9D9"/>
              <w:left w:val="single" w:sz="4" w:color="D9D9D9"/>
              <w:bottom w:val="single" w:sz="4" w:color="D9D9D9"/>
              <w:right w:val="single" w:sz="4" w:color="D9D9D9"/>
            </w:tcBorders>
            <w:tcMar>
              <w:top w:w="65" w:type="dxa"/>
              <w:start w:w="75" w:type="dxa"/>
              <w:bottom w:w="65" w:type="dxa"/>
              <w:end w:w="75" w:type="dxa"/>
            </w:tcMar>
            <w:tblHeader w:val="true"/>
          </w:tcPr>
          <w:p>
            <w:pPr>
              <w:spacing w:after="0" w:line="250" w:lineRule="auto"/>
            </w:pPr>
            <w:r>
              <w:rPr>
                <w:rFonts w:ascii="Cambria" w:hAnsi="Cambria"/>
                <w:b/>
                <w:sz w:val="16"/>
              </w:rPr>
              <w:t>Class / subclass</w:t>
            </w:r>
          </w:p>
        </w:tc>
        <w:tc>
          <w:tcPr>
            <w:tcW w:type="dxa" w:w="1613"/>
            <w:shd w:fill="E7E5E1"/>
            <w:vAlign w:val="center"/>
            <w:tcBorders>
              <w:top w:val="single" w:sz="4" w:color="D9D9D9"/>
              <w:left w:val="single" w:sz="4" w:color="D9D9D9"/>
              <w:bottom w:val="single" w:sz="4" w:color="D9D9D9"/>
              <w:right w:val="single" w:sz="4" w:color="D9D9D9"/>
            </w:tcBorders>
            <w:tcMar>
              <w:top w:w="65" w:type="dxa"/>
              <w:start w:w="75" w:type="dxa"/>
              <w:bottom w:w="65" w:type="dxa"/>
              <w:end w:w="75" w:type="dxa"/>
            </w:tcMar>
            <w:tblHeader w:val="true"/>
          </w:tcPr>
          <w:p>
            <w:pPr>
              <w:spacing w:after="0" w:line="250" w:lineRule="auto"/>
            </w:pPr>
            <w:r>
              <w:rPr>
                <w:rFonts w:ascii="Cambria" w:hAnsi="Cambria"/>
                <w:b/>
                <w:sz w:val="16"/>
              </w:rPr>
              <w:t>Working access</w:t>
            </w:r>
          </w:p>
        </w:tc>
      </w:tr>
      <w:tr>
        <w:tc>
          <w:tcPr>
            <w:tcW w:type="dxa" w:w="3283"/>
            <w:vAlign w:val="center"/>
            <w:tcBorders>
              <w:top w:val="single" w:sz="4" w:color="D9D9D9"/>
              <w:left w:val="single" w:sz="4" w:color="D9D9D9"/>
              <w:bottom w:val="single" w:sz="4" w:color="D9D9D9"/>
              <w:right w:val="single" w:sz="4" w:color="D9D9D9"/>
            </w:tcBorders>
            <w:tcMar>
              <w:top w:w="65" w:type="dxa"/>
              <w:start w:w="75" w:type="dxa"/>
              <w:bottom w:w="65" w:type="dxa"/>
              <w:end w:w="75" w:type="dxa"/>
            </w:tcMar>
          </w:tcPr>
          <w:p>
            <w:pPr>
              <w:spacing w:after="0" w:line="250" w:lineRule="auto"/>
            </w:pPr>
            <w:r>
              <w:rPr>
                <w:rFonts w:ascii="Cambria" w:hAnsi="Cambria"/>
                <w:sz w:val="16"/>
              </w:rPr>
              <w:t>Fighter / Champion</w:t>
            </w:r>
          </w:p>
        </w:tc>
        <w:tc>
          <w:tcPr>
            <w:tcW w:type="dxa" w:w="1613"/>
            <w:vAlign w:val="center"/>
            <w:tcBorders>
              <w:top w:val="single" w:sz="4" w:color="D9D9D9"/>
              <w:left w:val="single" w:sz="4" w:color="D9D9D9"/>
              <w:bottom w:val="single" w:sz="4" w:color="D9D9D9"/>
              <w:right w:val="single" w:sz="4" w:color="D9D9D9"/>
            </w:tcBorders>
            <w:tcMar>
              <w:top w:w="65" w:type="dxa"/>
              <w:start w:w="75" w:type="dxa"/>
              <w:bottom w:w="65" w:type="dxa"/>
              <w:end w:w="75" w:type="dxa"/>
            </w:tcMar>
          </w:tcPr>
          <w:p>
            <w:pPr>
              <w:spacing w:after="0" w:line="250" w:lineRule="auto"/>
            </w:pPr>
            <w:r>
              <w:rPr>
                <w:rFonts w:ascii="Cambria" w:hAnsi="Cambria"/>
                <w:sz w:val="16"/>
              </w:rPr>
              <w:t>Starting</w:t>
            </w:r>
          </w:p>
        </w:tc>
      </w:tr>
      <w:tr>
        <w:tc>
          <w:tcPr>
            <w:tcW w:type="dxa" w:w="3283"/>
            <w:vAlign w:val="center"/>
            <w:tcBorders>
              <w:top w:val="single" w:sz="4" w:color="D9D9D9"/>
              <w:left w:val="single" w:sz="4" w:color="D9D9D9"/>
              <w:bottom w:val="single" w:sz="4" w:color="D9D9D9"/>
              <w:right w:val="single" w:sz="4" w:color="D9D9D9"/>
            </w:tcBorders>
            <w:tcMar>
              <w:top w:w="65" w:type="dxa"/>
              <w:start w:w="75" w:type="dxa"/>
              <w:bottom w:w="65" w:type="dxa"/>
              <w:end w:w="75" w:type="dxa"/>
            </w:tcMar>
            <w:shd w:fill="F8F8F7"/>
          </w:tcPr>
          <w:p>
            <w:pPr>
              <w:spacing w:after="0" w:line="250" w:lineRule="auto"/>
            </w:pPr>
            <w:r>
              <w:rPr>
                <w:rFonts w:ascii="Cambria" w:hAnsi="Cambria"/>
                <w:sz w:val="16"/>
              </w:rPr>
              <w:t>Rogue / Thief</w:t>
            </w:r>
          </w:p>
        </w:tc>
        <w:tc>
          <w:tcPr>
            <w:tcW w:type="dxa" w:w="1613"/>
            <w:vAlign w:val="center"/>
            <w:tcBorders>
              <w:top w:val="single" w:sz="4" w:color="D9D9D9"/>
              <w:left w:val="single" w:sz="4" w:color="D9D9D9"/>
              <w:bottom w:val="single" w:sz="4" w:color="D9D9D9"/>
              <w:right w:val="single" w:sz="4" w:color="D9D9D9"/>
            </w:tcBorders>
            <w:tcMar>
              <w:top w:w="65" w:type="dxa"/>
              <w:start w:w="75" w:type="dxa"/>
              <w:bottom w:w="65" w:type="dxa"/>
              <w:end w:w="75" w:type="dxa"/>
            </w:tcMar>
            <w:shd w:fill="F8F8F7"/>
          </w:tcPr>
          <w:p>
            <w:pPr>
              <w:spacing w:after="0" w:line="250" w:lineRule="auto"/>
            </w:pPr>
            <w:r>
              <w:rPr>
                <w:rFonts w:ascii="Cambria" w:hAnsi="Cambria"/>
                <w:sz w:val="16"/>
              </w:rPr>
              <w:t>Starting</w:t>
            </w:r>
          </w:p>
        </w:tc>
      </w:tr>
      <w:tr>
        <w:tc>
          <w:tcPr>
            <w:tcW w:type="dxa" w:w="3283"/>
            <w:vAlign w:val="center"/>
            <w:tcBorders>
              <w:top w:val="single" w:sz="4" w:color="D9D9D9"/>
              <w:left w:val="single" w:sz="4" w:color="D9D9D9"/>
              <w:bottom w:val="single" w:sz="4" w:color="D9D9D9"/>
              <w:right w:val="single" w:sz="4" w:color="D9D9D9"/>
            </w:tcBorders>
            <w:tcMar>
              <w:top w:w="65" w:type="dxa"/>
              <w:start w:w="75" w:type="dxa"/>
              <w:bottom w:w="65" w:type="dxa"/>
              <w:end w:w="75" w:type="dxa"/>
            </w:tcMar>
          </w:tcPr>
          <w:p>
            <w:pPr>
              <w:spacing w:after="0" w:line="250" w:lineRule="auto"/>
            </w:pPr>
            <w:r>
              <w:rPr>
                <w:rFonts w:ascii="Cambria" w:hAnsi="Cambria"/>
                <w:sz w:val="16"/>
              </w:rPr>
              <w:t>Bard / College of Lore</w:t>
            </w:r>
          </w:p>
        </w:tc>
        <w:tc>
          <w:tcPr>
            <w:tcW w:type="dxa" w:w="1613"/>
            <w:vAlign w:val="center"/>
            <w:tcBorders>
              <w:top w:val="single" w:sz="4" w:color="D9D9D9"/>
              <w:left w:val="single" w:sz="4" w:color="D9D9D9"/>
              <w:bottom w:val="single" w:sz="4" w:color="D9D9D9"/>
              <w:right w:val="single" w:sz="4" w:color="D9D9D9"/>
            </w:tcBorders>
            <w:tcMar>
              <w:top w:w="65" w:type="dxa"/>
              <w:start w:w="75" w:type="dxa"/>
              <w:bottom w:w="65" w:type="dxa"/>
              <w:end w:w="75" w:type="dxa"/>
            </w:tcMar>
          </w:tcPr>
          <w:p>
            <w:pPr>
              <w:spacing w:after="0" w:line="250" w:lineRule="auto"/>
            </w:pPr>
            <w:r>
              <w:rPr>
                <w:rFonts w:ascii="Cambria" w:hAnsi="Cambria"/>
                <w:sz w:val="16"/>
              </w:rPr>
              <w:t>Starting</w:t>
            </w:r>
          </w:p>
        </w:tc>
      </w:tr>
      <w:tr>
        <w:tc>
          <w:tcPr>
            <w:tcW w:type="dxa" w:w="3283"/>
            <w:vAlign w:val="center"/>
            <w:tcBorders>
              <w:top w:val="single" w:sz="4" w:color="D9D9D9"/>
              <w:left w:val="single" w:sz="4" w:color="D9D9D9"/>
              <w:bottom w:val="single" w:sz="4" w:color="D9D9D9"/>
              <w:right w:val="single" w:sz="4" w:color="D9D9D9"/>
            </w:tcBorders>
            <w:tcMar>
              <w:top w:w="65" w:type="dxa"/>
              <w:start w:w="75" w:type="dxa"/>
              <w:bottom w:w="65" w:type="dxa"/>
              <w:end w:w="75" w:type="dxa"/>
            </w:tcMar>
            <w:shd w:fill="F8F8F7"/>
          </w:tcPr>
          <w:p>
            <w:pPr>
              <w:spacing w:after="0" w:line="250" w:lineRule="auto"/>
            </w:pPr>
            <w:r>
              <w:rPr>
                <w:rFonts w:ascii="Cambria" w:hAnsi="Cambria"/>
                <w:sz w:val="16"/>
              </w:rPr>
              <w:t>Sorcerer / Draconic Sorcery</w:t>
            </w:r>
          </w:p>
        </w:tc>
        <w:tc>
          <w:tcPr>
            <w:tcW w:type="dxa" w:w="1613"/>
            <w:vAlign w:val="center"/>
            <w:tcBorders>
              <w:top w:val="single" w:sz="4" w:color="D9D9D9"/>
              <w:left w:val="single" w:sz="4" w:color="D9D9D9"/>
              <w:bottom w:val="single" w:sz="4" w:color="D9D9D9"/>
              <w:right w:val="single" w:sz="4" w:color="D9D9D9"/>
            </w:tcBorders>
            <w:tcMar>
              <w:top w:w="65" w:type="dxa"/>
              <w:start w:w="75" w:type="dxa"/>
              <w:bottom w:w="65" w:type="dxa"/>
              <w:end w:w="75" w:type="dxa"/>
            </w:tcMar>
            <w:shd w:fill="F8F8F7"/>
          </w:tcPr>
          <w:p>
            <w:pPr>
              <w:spacing w:after="0" w:line="250" w:lineRule="auto"/>
            </w:pPr>
            <w:r>
              <w:rPr>
                <w:rFonts w:ascii="Cambria" w:hAnsi="Cambria"/>
                <w:sz w:val="16"/>
              </w:rPr>
              <w:t>Starting</w:t>
            </w:r>
          </w:p>
        </w:tc>
      </w:tr>
      <w:tr>
        <w:tc>
          <w:tcPr>
            <w:tcW w:type="dxa" w:w="3283"/>
            <w:vAlign w:val="center"/>
            <w:tcBorders>
              <w:top w:val="single" w:sz="4" w:color="D9D9D9"/>
              <w:left w:val="single" w:sz="4" w:color="D9D9D9"/>
              <w:bottom w:val="single" w:sz="4" w:color="D9D9D9"/>
              <w:right w:val="single" w:sz="4" w:color="D9D9D9"/>
            </w:tcBorders>
            <w:tcMar>
              <w:top w:w="65" w:type="dxa"/>
              <w:start w:w="75" w:type="dxa"/>
              <w:bottom w:w="65" w:type="dxa"/>
              <w:end w:w="75" w:type="dxa"/>
            </w:tcMar>
          </w:tcPr>
          <w:p>
            <w:pPr>
              <w:spacing w:after="0" w:line="250" w:lineRule="auto"/>
            </w:pPr>
            <w:r>
              <w:rPr>
                <w:rFonts w:ascii="Cambria" w:hAnsi="Cambria"/>
                <w:sz w:val="16"/>
              </w:rPr>
              <w:t>Wizard</w:t>
            </w:r>
          </w:p>
        </w:tc>
        <w:tc>
          <w:tcPr>
            <w:tcW w:type="dxa" w:w="1613"/>
            <w:vAlign w:val="center"/>
            <w:tcBorders>
              <w:top w:val="single" w:sz="4" w:color="D9D9D9"/>
              <w:left w:val="single" w:sz="4" w:color="D9D9D9"/>
              <w:bottom w:val="single" w:sz="4" w:color="D9D9D9"/>
              <w:right w:val="single" w:sz="4" w:color="D9D9D9"/>
            </w:tcBorders>
            <w:tcMar>
              <w:top w:w="65" w:type="dxa"/>
              <w:start w:w="75" w:type="dxa"/>
              <w:bottom w:w="65" w:type="dxa"/>
              <w:end w:w="75" w:type="dxa"/>
            </w:tcMar>
          </w:tcPr>
          <w:p>
            <w:pPr>
              <w:spacing w:after="0" w:line="250" w:lineRule="auto"/>
            </w:pPr>
            <w:r>
              <w:rPr>
                <w:rFonts w:ascii="Cambria" w:hAnsi="Cambria"/>
                <w:sz w:val="16"/>
              </w:rPr>
              <w:t>Restricted</w:t>
            </w:r>
          </w:p>
        </w:tc>
      </w:tr>
      <w:tr>
        <w:tc>
          <w:tcPr>
            <w:tcW w:type="dxa" w:w="3283"/>
            <w:vAlign w:val="center"/>
            <w:tcBorders>
              <w:top w:val="single" w:sz="4" w:color="D9D9D9"/>
              <w:left w:val="single" w:sz="4" w:color="D9D9D9"/>
              <w:bottom w:val="single" w:sz="4" w:color="D9D9D9"/>
              <w:right w:val="single" w:sz="4" w:color="D9D9D9"/>
            </w:tcBorders>
            <w:tcMar>
              <w:top w:w="65" w:type="dxa"/>
              <w:start w:w="75" w:type="dxa"/>
              <w:bottom w:w="65" w:type="dxa"/>
              <w:end w:w="75" w:type="dxa"/>
            </w:tcMar>
            <w:shd w:fill="F8F8F7"/>
          </w:tcPr>
          <w:p>
            <w:pPr>
              <w:spacing w:after="0" w:line="250" w:lineRule="auto"/>
            </w:pPr>
            <w:r>
              <w:rPr>
                <w:rFonts w:ascii="Cambria" w:hAnsi="Cambria"/>
                <w:sz w:val="16"/>
              </w:rPr>
              <w:t>Warlock</w:t>
            </w:r>
          </w:p>
        </w:tc>
        <w:tc>
          <w:tcPr>
            <w:tcW w:type="dxa" w:w="1613"/>
            <w:vAlign w:val="center"/>
            <w:tcBorders>
              <w:top w:val="single" w:sz="4" w:color="D9D9D9"/>
              <w:left w:val="single" w:sz="4" w:color="D9D9D9"/>
              <w:bottom w:val="single" w:sz="4" w:color="D9D9D9"/>
              <w:right w:val="single" w:sz="4" w:color="D9D9D9"/>
            </w:tcBorders>
            <w:tcMar>
              <w:top w:w="65" w:type="dxa"/>
              <w:start w:w="75" w:type="dxa"/>
              <w:bottom w:w="65" w:type="dxa"/>
              <w:end w:w="75" w:type="dxa"/>
            </w:tcMar>
            <w:shd w:fill="F8F8F7"/>
          </w:tcPr>
          <w:p>
            <w:pPr>
              <w:spacing w:after="0" w:line="250" w:lineRule="auto"/>
            </w:pPr>
            <w:r>
              <w:rPr>
                <w:rFonts w:ascii="Cambria" w:hAnsi="Cambria"/>
                <w:sz w:val="16"/>
              </w:rPr>
              <w:t>Restricted</w:t>
            </w:r>
          </w:p>
        </w:tc>
      </w:tr>
      <w:tr>
        <w:tc>
          <w:tcPr>
            <w:tcW w:type="dxa" w:w="3283"/>
            <w:vAlign w:val="center"/>
            <w:tcBorders>
              <w:top w:val="single" w:sz="4" w:color="D9D9D9"/>
              <w:left w:val="single" w:sz="4" w:color="D9D9D9"/>
              <w:bottom w:val="single" w:sz="4" w:color="D9D9D9"/>
              <w:right w:val="single" w:sz="4" w:color="D9D9D9"/>
            </w:tcBorders>
            <w:tcMar>
              <w:top w:w="65" w:type="dxa"/>
              <w:start w:w="75" w:type="dxa"/>
              <w:bottom w:w="65" w:type="dxa"/>
              <w:end w:w="75" w:type="dxa"/>
            </w:tcMar>
          </w:tcPr>
          <w:p>
            <w:pPr>
              <w:spacing w:after="0" w:line="250" w:lineRule="auto"/>
            </w:pPr>
            <w:r>
              <w:rPr>
                <w:rFonts w:ascii="Cambria" w:hAnsi="Cambria"/>
                <w:sz w:val="16"/>
              </w:rPr>
              <w:t>Paladin</w:t>
            </w:r>
          </w:p>
        </w:tc>
        <w:tc>
          <w:tcPr>
            <w:tcW w:type="dxa" w:w="1613"/>
            <w:vAlign w:val="center"/>
            <w:tcBorders>
              <w:top w:val="single" w:sz="4" w:color="D9D9D9"/>
              <w:left w:val="single" w:sz="4" w:color="D9D9D9"/>
              <w:bottom w:val="single" w:sz="4" w:color="D9D9D9"/>
              <w:right w:val="single" w:sz="4" w:color="D9D9D9"/>
            </w:tcBorders>
            <w:tcMar>
              <w:top w:w="65" w:type="dxa"/>
              <w:start w:w="75" w:type="dxa"/>
              <w:bottom w:w="65" w:type="dxa"/>
              <w:end w:w="75" w:type="dxa"/>
            </w:tcMar>
          </w:tcPr>
          <w:p>
            <w:pPr>
              <w:spacing w:after="0" w:line="250" w:lineRule="auto"/>
            </w:pPr>
            <w:r>
              <w:rPr>
                <w:rFonts w:ascii="Cambria" w:hAnsi="Cambria"/>
                <w:sz w:val="16"/>
              </w:rPr>
              <w:t>Restricted</w:t>
            </w:r>
          </w:p>
        </w:tc>
      </w:tr>
      <w:tr>
        <w:tc>
          <w:tcPr>
            <w:tcW w:type="dxa" w:w="3283"/>
            <w:vAlign w:val="center"/>
            <w:tcBorders>
              <w:top w:val="single" w:sz="4" w:color="D9D9D9"/>
              <w:left w:val="single" w:sz="4" w:color="D9D9D9"/>
              <w:bottom w:val="single" w:sz="4" w:color="D9D9D9"/>
              <w:right w:val="single" w:sz="4" w:color="D9D9D9"/>
            </w:tcBorders>
            <w:tcMar>
              <w:top w:w="65" w:type="dxa"/>
              <w:start w:w="75" w:type="dxa"/>
              <w:bottom w:w="65" w:type="dxa"/>
              <w:end w:w="75" w:type="dxa"/>
            </w:tcMar>
            <w:shd w:fill="F8F8F7"/>
          </w:tcPr>
          <w:p>
            <w:pPr>
              <w:spacing w:after="0" w:line="250" w:lineRule="auto"/>
            </w:pPr>
            <w:r>
              <w:rPr>
                <w:rFonts w:ascii="Cambria" w:hAnsi="Cambria"/>
                <w:sz w:val="16"/>
              </w:rPr>
              <w:t>Ranger</w:t>
            </w:r>
          </w:p>
        </w:tc>
        <w:tc>
          <w:tcPr>
            <w:tcW w:type="dxa" w:w="1613"/>
            <w:vAlign w:val="center"/>
            <w:tcBorders>
              <w:top w:val="single" w:sz="4" w:color="D9D9D9"/>
              <w:left w:val="single" w:sz="4" w:color="D9D9D9"/>
              <w:bottom w:val="single" w:sz="4" w:color="D9D9D9"/>
              <w:right w:val="single" w:sz="4" w:color="D9D9D9"/>
            </w:tcBorders>
            <w:tcMar>
              <w:top w:w="65" w:type="dxa"/>
              <w:start w:w="75" w:type="dxa"/>
              <w:bottom w:w="65" w:type="dxa"/>
              <w:end w:w="75" w:type="dxa"/>
            </w:tcMar>
            <w:shd w:fill="F8F8F7"/>
          </w:tcPr>
          <w:p>
            <w:pPr>
              <w:spacing w:after="0" w:line="250" w:lineRule="auto"/>
            </w:pPr>
            <w:r>
              <w:rPr>
                <w:rFonts w:ascii="Cambria" w:hAnsi="Cambria"/>
                <w:sz w:val="16"/>
              </w:rPr>
              <w:t>Locked</w:t>
            </w:r>
          </w:p>
        </w:tc>
      </w:tr>
    </w:tbl>
    <w:p>
      <w:pPr>
        <w:spacing w:after="0"/>
      </w:pPr>
    </w:p>
    <w:p>
      <w:r>
        <w:t>Starting means available when the GM opens character creation. Restricted requires a specific story or GM exception. Locked is unavailable until an in-game unlock is earned. Other classes and subclasses have not yet been classified for this campaign. Confirm each character’s full class/subclass choice with the GM before play.</w:t>
      </w:r>
    </w:p>
    <w:p>
      <w:pPr>
        <w:pStyle w:val="Heading2"/>
      </w:pPr>
      <w:r>
        <w:t>Skills that carry an operation</w:t>
      </w:r>
    </w:p>
    <w:p>
      <w:r>
        <w:rPr>
          <w:b/>
        </w:rPr>
        <w:t xml:space="preserve">Find the truth.  </w:t>
      </w:r>
      <w:r>
        <w:t>Investigation, Perception, Insight, Arcana, History, Nature, and Religion help examine evidence and test explanations.</w:t>
      </w:r>
    </w:p>
    <w:p>
      <w:r>
        <w:rPr>
          <w:b/>
        </w:rPr>
        <w:t xml:space="preserve">Move and survive.  </w:t>
      </w:r>
      <w:r>
        <w:t>Athletics, Acrobatics, Stealth, Survival, Animal Handling, and Medicine help cross ground, hide, scout, and care for people.</w:t>
      </w:r>
    </w:p>
    <w:p>
      <w:r>
        <w:rPr>
          <w:b/>
        </w:rPr>
        <w:t xml:space="preserve">Deal with people.  </w:t>
      </w:r>
      <w:r>
        <w:t>Persuasion, Deception, Intimidation, and Performance can open routes that weapons cannot.</w:t>
      </w:r>
    </w:p>
    <w:p>
      <w:r>
        <w:t>Choose a few areas of strength across the team. A missing skill can be covered by preparation, contacts, tools, or a different plan. The official rules determine proficiency and checks.</w:t>
      </w:r>
    </w:p>
    <w:p>
      <w:pPr>
        <w:pStyle w:val="Heading1"/>
      </w:pPr>
      <w:r>
        <w:t>Company resources</w:t>
      </w:r>
    </w:p>
    <w:p>
      <w:r>
        <w:t>The Company owns a treasury and common stores separate from each member’s personal belongings. These opening figures come from the campaign’s strategic design and should be confirmed by the GM when the first session ledger is opened.</w:t>
      </w:r>
    </w:p>
    <w:tbl>
      <w:tblPr>
        <w:tblW w:type="dxa" w:w="4896"/>
        <w:tblLayout w:type="fixed"/>
        <w:tblLook w:firstColumn="1" w:firstRow="1" w:lastColumn="0" w:lastRow="0" w:noHBand="0" w:noVBand="1" w:val="04A0"/>
      </w:tblPr>
      <w:tblGrid>
        <w:gridCol w:w="2275"/>
        <w:gridCol w:w="2621"/>
      </w:tblGrid>
      <w:tr>
        <w:tc>
          <w:tcPr>
            <w:tcW w:type="dxa" w:w="2275"/>
            <w:shd w:fill="E7E5E1"/>
            <w:vAlign w:val="center"/>
            <w:tcBorders>
              <w:top w:val="single" w:sz="4" w:color="D9D9D9"/>
              <w:left w:val="single" w:sz="4" w:color="D9D9D9"/>
              <w:bottom w:val="single" w:sz="4" w:color="D9D9D9"/>
              <w:right w:val="single" w:sz="4" w:color="D9D9D9"/>
            </w:tcBorders>
            <w:tcMar>
              <w:top w:w="65" w:type="dxa"/>
              <w:start w:w="75" w:type="dxa"/>
              <w:bottom w:w="65" w:type="dxa"/>
              <w:end w:w="75" w:type="dxa"/>
            </w:tcMar>
            <w:tblHeader w:val="true"/>
          </w:tcPr>
          <w:p>
            <w:pPr>
              <w:spacing w:after="0" w:line="250" w:lineRule="auto"/>
            </w:pPr>
            <w:r>
              <w:rPr>
                <w:rFonts w:ascii="Cambria" w:hAnsi="Cambria"/>
                <w:b/>
                <w:sz w:val="16"/>
              </w:rPr>
              <w:t>Opening resource</w:t>
            </w:r>
          </w:p>
        </w:tc>
        <w:tc>
          <w:tcPr>
            <w:tcW w:type="dxa" w:w="2621"/>
            <w:shd w:fill="E7E5E1"/>
            <w:vAlign w:val="center"/>
            <w:tcBorders>
              <w:top w:val="single" w:sz="4" w:color="D9D9D9"/>
              <w:left w:val="single" w:sz="4" w:color="D9D9D9"/>
              <w:bottom w:val="single" w:sz="4" w:color="D9D9D9"/>
              <w:right w:val="single" w:sz="4" w:color="D9D9D9"/>
            </w:tcBorders>
            <w:tcMar>
              <w:top w:w="65" w:type="dxa"/>
              <w:start w:w="75" w:type="dxa"/>
              <w:bottom w:w="65" w:type="dxa"/>
              <w:end w:w="75" w:type="dxa"/>
            </w:tcMar>
            <w:tblHeader w:val="true"/>
          </w:tcPr>
          <w:p>
            <w:pPr>
              <w:spacing w:after="0" w:line="250" w:lineRule="auto"/>
            </w:pPr>
            <w:r>
              <w:rPr>
                <w:rFonts w:ascii="Cambria" w:hAnsi="Cambria"/>
                <w:b/>
                <w:sz w:val="16"/>
              </w:rPr>
              <w:t>Working amount</w:t>
            </w:r>
          </w:p>
        </w:tc>
      </w:tr>
      <w:tr>
        <w:tc>
          <w:tcPr>
            <w:tcW w:type="dxa" w:w="2275"/>
            <w:vAlign w:val="center"/>
            <w:tcBorders>
              <w:top w:val="single" w:sz="4" w:color="D9D9D9"/>
              <w:left w:val="single" w:sz="4" w:color="D9D9D9"/>
              <w:bottom w:val="single" w:sz="4" w:color="D9D9D9"/>
              <w:right w:val="single" w:sz="4" w:color="D9D9D9"/>
            </w:tcBorders>
            <w:tcMar>
              <w:top w:w="65" w:type="dxa"/>
              <w:start w:w="75" w:type="dxa"/>
              <w:bottom w:w="65" w:type="dxa"/>
              <w:end w:w="75" w:type="dxa"/>
            </w:tcMar>
          </w:tcPr>
          <w:p>
            <w:pPr>
              <w:spacing w:after="0" w:line="250" w:lineRule="auto"/>
            </w:pPr>
            <w:r>
              <w:rPr>
                <w:rFonts w:ascii="Cambria" w:hAnsi="Cambria"/>
                <w:sz w:val="16"/>
              </w:rPr>
              <w:t>Company rank</w:t>
            </w:r>
          </w:p>
        </w:tc>
        <w:tc>
          <w:tcPr>
            <w:tcW w:type="dxa" w:w="2621"/>
            <w:vAlign w:val="center"/>
            <w:tcBorders>
              <w:top w:val="single" w:sz="4" w:color="D9D9D9"/>
              <w:left w:val="single" w:sz="4" w:color="D9D9D9"/>
              <w:bottom w:val="single" w:sz="4" w:color="D9D9D9"/>
              <w:right w:val="single" w:sz="4" w:color="D9D9D9"/>
            </w:tcBorders>
            <w:tcMar>
              <w:top w:w="65" w:type="dxa"/>
              <w:start w:w="75" w:type="dxa"/>
              <w:bottom w:w="65" w:type="dxa"/>
              <w:end w:w="75" w:type="dxa"/>
            </w:tcMar>
          </w:tcPr>
          <w:p>
            <w:pPr>
              <w:spacing w:after="0" w:line="250" w:lineRule="auto"/>
            </w:pPr>
            <w:r>
              <w:rPr>
                <w:rFonts w:ascii="Cambria" w:hAnsi="Cambria"/>
                <w:sz w:val="16"/>
              </w:rPr>
              <w:t>0 — Broken</w:t>
            </w:r>
          </w:p>
        </w:tc>
      </w:tr>
      <w:tr>
        <w:tc>
          <w:tcPr>
            <w:tcW w:type="dxa" w:w="2275"/>
            <w:vAlign w:val="center"/>
            <w:tcBorders>
              <w:top w:val="single" w:sz="4" w:color="D9D9D9"/>
              <w:left w:val="single" w:sz="4" w:color="D9D9D9"/>
              <w:bottom w:val="single" w:sz="4" w:color="D9D9D9"/>
              <w:right w:val="single" w:sz="4" w:color="D9D9D9"/>
            </w:tcBorders>
            <w:tcMar>
              <w:top w:w="65" w:type="dxa"/>
              <w:start w:w="75" w:type="dxa"/>
              <w:bottom w:w="65" w:type="dxa"/>
              <w:end w:w="75" w:type="dxa"/>
            </w:tcMar>
            <w:shd w:fill="F8F8F7"/>
          </w:tcPr>
          <w:p>
            <w:pPr>
              <w:spacing w:after="0" w:line="250" w:lineRule="auto"/>
            </w:pPr>
            <w:r>
              <w:rPr>
                <w:rFonts w:ascii="Cambria" w:hAnsi="Cambria"/>
                <w:sz w:val="16"/>
              </w:rPr>
              <w:t>Reputation</w:t>
            </w:r>
          </w:p>
        </w:tc>
        <w:tc>
          <w:tcPr>
            <w:tcW w:type="dxa" w:w="2621"/>
            <w:vAlign w:val="center"/>
            <w:tcBorders>
              <w:top w:val="single" w:sz="4" w:color="D9D9D9"/>
              <w:left w:val="single" w:sz="4" w:color="D9D9D9"/>
              <w:bottom w:val="single" w:sz="4" w:color="D9D9D9"/>
              <w:right w:val="single" w:sz="4" w:color="D9D9D9"/>
            </w:tcBorders>
            <w:tcMar>
              <w:top w:w="65" w:type="dxa"/>
              <w:start w:w="75" w:type="dxa"/>
              <w:bottom w:w="65" w:type="dxa"/>
              <w:end w:w="75" w:type="dxa"/>
            </w:tcMar>
            <w:shd w:fill="F8F8F7"/>
          </w:tcPr>
          <w:p>
            <w:pPr>
              <w:spacing w:after="0" w:line="250" w:lineRule="auto"/>
            </w:pPr>
            <w:r>
              <w:rPr>
                <w:rFonts w:ascii="Cambria" w:hAnsi="Cambria"/>
                <w:sz w:val="16"/>
              </w:rPr>
              <w:t>−3 — Disgraced</w:t>
            </w:r>
          </w:p>
        </w:tc>
      </w:tr>
      <w:tr>
        <w:tc>
          <w:tcPr>
            <w:tcW w:type="dxa" w:w="2275"/>
            <w:vAlign w:val="center"/>
            <w:tcBorders>
              <w:top w:val="single" w:sz="4" w:color="D9D9D9"/>
              <w:left w:val="single" w:sz="4" w:color="D9D9D9"/>
              <w:bottom w:val="single" w:sz="4" w:color="D9D9D9"/>
              <w:right w:val="single" w:sz="4" w:color="D9D9D9"/>
            </w:tcBorders>
            <w:tcMar>
              <w:top w:w="65" w:type="dxa"/>
              <w:start w:w="75" w:type="dxa"/>
              <w:bottom w:w="65" w:type="dxa"/>
              <w:end w:w="75" w:type="dxa"/>
            </w:tcMar>
          </w:tcPr>
          <w:p>
            <w:pPr>
              <w:spacing w:after="0" w:line="250" w:lineRule="auto"/>
            </w:pPr>
            <w:r>
              <w:rPr>
                <w:rFonts w:ascii="Cambria" w:hAnsi="Cambria"/>
                <w:sz w:val="16"/>
              </w:rPr>
              <w:t>Treasury</w:t>
            </w:r>
          </w:p>
        </w:tc>
        <w:tc>
          <w:tcPr>
            <w:tcW w:type="dxa" w:w="2621"/>
            <w:vAlign w:val="center"/>
            <w:tcBorders>
              <w:top w:val="single" w:sz="4" w:color="D9D9D9"/>
              <w:left w:val="single" w:sz="4" w:color="D9D9D9"/>
              <w:bottom w:val="single" w:sz="4" w:color="D9D9D9"/>
              <w:right w:val="single" w:sz="4" w:color="D9D9D9"/>
            </w:tcBorders>
            <w:tcMar>
              <w:top w:w="65" w:type="dxa"/>
              <w:start w:w="75" w:type="dxa"/>
              <w:bottom w:w="65" w:type="dxa"/>
              <w:end w:w="75" w:type="dxa"/>
            </w:tcMar>
          </w:tcPr>
          <w:p>
            <w:pPr>
              <w:spacing w:after="0" w:line="250" w:lineRule="auto"/>
            </w:pPr>
            <w:r>
              <w:rPr>
                <w:rFonts w:ascii="Cambria" w:hAnsi="Cambria"/>
                <w:sz w:val="16"/>
              </w:rPr>
              <w:t>217 silver crowns</w:t>
            </w:r>
          </w:p>
        </w:tc>
      </w:tr>
      <w:tr>
        <w:tc>
          <w:tcPr>
            <w:tcW w:type="dxa" w:w="2275"/>
            <w:vAlign w:val="center"/>
            <w:tcBorders>
              <w:top w:val="single" w:sz="4" w:color="D9D9D9"/>
              <w:left w:val="single" w:sz="4" w:color="D9D9D9"/>
              <w:bottom w:val="single" w:sz="4" w:color="D9D9D9"/>
              <w:right w:val="single" w:sz="4" w:color="D9D9D9"/>
            </w:tcBorders>
            <w:tcMar>
              <w:top w:w="65" w:type="dxa"/>
              <w:start w:w="75" w:type="dxa"/>
              <w:bottom w:w="65" w:type="dxa"/>
              <w:end w:w="75" w:type="dxa"/>
            </w:tcMar>
            <w:shd w:fill="F8F8F7"/>
          </w:tcPr>
          <w:p>
            <w:pPr>
              <w:spacing w:after="0" w:line="250" w:lineRule="auto"/>
            </w:pPr>
            <w:r>
              <w:rPr>
                <w:rFonts w:ascii="Cambria" w:hAnsi="Cambria"/>
                <w:sz w:val="16"/>
              </w:rPr>
              <w:t>Known survivors</w:t>
            </w:r>
          </w:p>
        </w:tc>
        <w:tc>
          <w:tcPr>
            <w:tcW w:type="dxa" w:w="2621"/>
            <w:vAlign w:val="center"/>
            <w:tcBorders>
              <w:top w:val="single" w:sz="4" w:color="D9D9D9"/>
              <w:left w:val="single" w:sz="4" w:color="D9D9D9"/>
              <w:bottom w:val="single" w:sz="4" w:color="D9D9D9"/>
              <w:right w:val="single" w:sz="4" w:color="D9D9D9"/>
            </w:tcBorders>
            <w:tcMar>
              <w:top w:w="65" w:type="dxa"/>
              <w:start w:w="75" w:type="dxa"/>
              <w:bottom w:w="65" w:type="dxa"/>
              <w:end w:w="75" w:type="dxa"/>
            </w:tcMar>
            <w:shd w:fill="F8F8F7"/>
          </w:tcPr>
          <w:p>
            <w:pPr>
              <w:spacing w:after="0" w:line="250" w:lineRule="auto"/>
            </w:pPr>
            <w:r>
              <w:rPr>
                <w:rFonts w:ascii="Cambria" w:hAnsi="Cambria"/>
                <w:sz w:val="16"/>
              </w:rPr>
              <w:t>27</w:t>
            </w:r>
          </w:p>
        </w:tc>
      </w:tr>
      <w:tr>
        <w:tc>
          <w:tcPr>
            <w:tcW w:type="dxa" w:w="2275"/>
            <w:vAlign w:val="center"/>
            <w:tcBorders>
              <w:top w:val="single" w:sz="4" w:color="D9D9D9"/>
              <w:left w:val="single" w:sz="4" w:color="D9D9D9"/>
              <w:bottom w:val="single" w:sz="4" w:color="D9D9D9"/>
              <w:right w:val="single" w:sz="4" w:color="D9D9D9"/>
            </w:tcBorders>
            <w:tcMar>
              <w:top w:w="65" w:type="dxa"/>
              <w:start w:w="75" w:type="dxa"/>
              <w:bottom w:w="65" w:type="dxa"/>
              <w:end w:w="75" w:type="dxa"/>
            </w:tcMar>
          </w:tcPr>
          <w:p>
            <w:pPr>
              <w:spacing w:after="0" w:line="250" w:lineRule="auto"/>
            </w:pPr>
            <w:r>
              <w:rPr>
                <w:rFonts w:ascii="Cambria" w:hAnsi="Cambria"/>
                <w:sz w:val="16"/>
              </w:rPr>
              <w:t>Horses / wagons</w:t>
            </w:r>
          </w:p>
        </w:tc>
        <w:tc>
          <w:tcPr>
            <w:tcW w:type="dxa" w:w="2621"/>
            <w:vAlign w:val="center"/>
            <w:tcBorders>
              <w:top w:val="single" w:sz="4" w:color="D9D9D9"/>
              <w:left w:val="single" w:sz="4" w:color="D9D9D9"/>
              <w:bottom w:val="single" w:sz="4" w:color="D9D9D9"/>
              <w:right w:val="single" w:sz="4" w:color="D9D9D9"/>
            </w:tcBorders>
            <w:tcMar>
              <w:top w:w="65" w:type="dxa"/>
              <w:start w:w="75" w:type="dxa"/>
              <w:bottom w:w="65" w:type="dxa"/>
              <w:end w:w="75" w:type="dxa"/>
            </w:tcMar>
          </w:tcPr>
          <w:p>
            <w:pPr>
              <w:spacing w:after="0" w:line="250" w:lineRule="auto"/>
            </w:pPr>
            <w:r>
              <w:rPr>
                <w:rFonts w:ascii="Cambria" w:hAnsi="Cambria"/>
                <w:sz w:val="16"/>
              </w:rPr>
              <w:t>9 / 2</w:t>
            </w:r>
          </w:p>
        </w:tc>
      </w:tr>
      <w:tr>
        <w:tc>
          <w:tcPr>
            <w:tcW w:type="dxa" w:w="2275"/>
            <w:vAlign w:val="center"/>
            <w:tcBorders>
              <w:top w:val="single" w:sz="4" w:color="D9D9D9"/>
              <w:left w:val="single" w:sz="4" w:color="D9D9D9"/>
              <w:bottom w:val="single" w:sz="4" w:color="D9D9D9"/>
              <w:right w:val="single" w:sz="4" w:color="D9D9D9"/>
            </w:tcBorders>
            <w:tcMar>
              <w:top w:w="65" w:type="dxa"/>
              <w:start w:w="75" w:type="dxa"/>
              <w:bottom w:w="65" w:type="dxa"/>
              <w:end w:w="75" w:type="dxa"/>
            </w:tcMar>
            <w:shd w:fill="F8F8F7"/>
          </w:tcPr>
          <w:p>
            <w:pPr>
              <w:spacing w:after="0" w:line="250" w:lineRule="auto"/>
            </w:pPr>
            <w:r>
              <w:rPr>
                <w:rFonts w:ascii="Cambria" w:hAnsi="Cambria"/>
                <w:sz w:val="16"/>
              </w:rPr>
              <w:t>Food</w:t>
            </w:r>
          </w:p>
        </w:tc>
        <w:tc>
          <w:tcPr>
            <w:tcW w:type="dxa" w:w="2621"/>
            <w:vAlign w:val="center"/>
            <w:tcBorders>
              <w:top w:val="single" w:sz="4" w:color="D9D9D9"/>
              <w:left w:val="single" w:sz="4" w:color="D9D9D9"/>
              <w:bottom w:val="single" w:sz="4" w:color="D9D9D9"/>
              <w:right w:val="single" w:sz="4" w:color="D9D9D9"/>
            </w:tcBorders>
            <w:tcMar>
              <w:top w:w="65" w:type="dxa"/>
              <w:start w:w="75" w:type="dxa"/>
              <w:bottom w:w="65" w:type="dxa"/>
              <w:end w:w="75" w:type="dxa"/>
            </w:tcMar>
            <w:shd w:fill="F8F8F7"/>
          </w:tcPr>
          <w:p>
            <w:pPr>
              <w:spacing w:after="0" w:line="250" w:lineRule="auto"/>
            </w:pPr>
            <w:r>
              <w:rPr>
                <w:rFonts w:ascii="Cambria" w:hAnsi="Cambria"/>
                <w:sz w:val="16"/>
              </w:rPr>
              <w:t>12 Company Days</w:t>
            </w:r>
          </w:p>
        </w:tc>
      </w:tr>
      <w:tr>
        <w:tc>
          <w:tcPr>
            <w:tcW w:type="dxa" w:w="2275"/>
            <w:vAlign w:val="center"/>
            <w:tcBorders>
              <w:top w:val="single" w:sz="4" w:color="D9D9D9"/>
              <w:left w:val="single" w:sz="4" w:color="D9D9D9"/>
              <w:bottom w:val="single" w:sz="4" w:color="D9D9D9"/>
              <w:right w:val="single" w:sz="4" w:color="D9D9D9"/>
            </w:tcBorders>
            <w:tcMar>
              <w:top w:w="65" w:type="dxa"/>
              <w:start w:w="75" w:type="dxa"/>
              <w:bottom w:w="65" w:type="dxa"/>
              <w:end w:w="75" w:type="dxa"/>
            </w:tcMar>
          </w:tcPr>
          <w:p>
            <w:pPr>
              <w:spacing w:after="0" w:line="250" w:lineRule="auto"/>
            </w:pPr>
            <w:r>
              <w:rPr>
                <w:rFonts w:ascii="Cambria" w:hAnsi="Cambria"/>
                <w:sz w:val="16"/>
              </w:rPr>
              <w:t>Banner</w:t>
            </w:r>
          </w:p>
        </w:tc>
        <w:tc>
          <w:tcPr>
            <w:tcW w:type="dxa" w:w="2621"/>
            <w:vAlign w:val="center"/>
            <w:tcBorders>
              <w:top w:val="single" w:sz="4" w:color="D9D9D9"/>
              <w:left w:val="single" w:sz="4" w:color="D9D9D9"/>
              <w:bottom w:val="single" w:sz="4" w:color="D9D9D9"/>
              <w:right w:val="single" w:sz="4" w:color="D9D9D9"/>
            </w:tcBorders>
            <w:tcMar>
              <w:top w:w="65" w:type="dxa"/>
              <w:start w:w="75" w:type="dxa"/>
              <w:bottom w:w="65" w:type="dxa"/>
              <w:end w:w="75" w:type="dxa"/>
            </w:tcMar>
          </w:tcPr>
          <w:p>
            <w:pPr>
              <w:spacing w:after="0" w:line="250" w:lineRule="auto"/>
            </w:pPr>
            <w:r>
              <w:rPr>
                <w:rFonts w:ascii="Cambria" w:hAnsi="Cambria"/>
                <w:sz w:val="16"/>
              </w:rPr>
              <w:t>Lost</w:t>
            </w:r>
          </w:p>
        </w:tc>
      </w:tr>
    </w:tbl>
    <w:p>
      <w:pPr>
        <w:spacing w:after="0"/>
      </w:pPr>
    </w:p>
    <w:p>
      <w:pPr>
        <w:pStyle w:val="Heading2"/>
      </w:pPr>
      <w:r>
        <w:t>Money and supply</w:t>
      </w:r>
    </w:p>
    <w:p>
      <w:r>
        <w:t>The treasury pays for wages, supplies, transport, repairs, lodging, intelligence, and Company equipment. Personal wealth remains personal unless voluntarily committed. One Company Day of supply is enough ordinary provisions for the current organization for one day; a major change in Company size changes consumption. Track meaningful purchases and losses, not every meal or arrow.</w:t>
      </w:r>
    </w:p>
    <w:p>
      <w:pPr>
        <w:pStyle w:val="Heading2"/>
      </w:pPr>
      <w:r>
        <w:t>Gear and ownership</w:t>
      </w:r>
    </w:p>
    <w:p>
      <w:r>
        <w:t>Before deployment, ask the quartermaster for significant weapons, armor, tools, medical supplies, camping equipment, mounts, or unusual items. Mark important gear as personal, Company, borrowed, contract, or unknown property. Record what was issued, returned, lost, or recovered. A found magic item does not automatically become the finder’s personal property.</w:t>
      </w:r>
    </w:p>
    <w:p>
      <w:pPr>
        <w:pStyle w:val="Heading2"/>
      </w:pPr>
      <w:r>
        <w:t>Wounds and downtime</w:t>
      </w:r>
    </w:p>
    <w:p>
      <w:r>
        <w:t>A badly wounded member may need time away from the field. Reserves can train, recover, research, gather intelligence, recruit, procure supplies, scout, guard the quarters, or work contacts. The campaign design gives eligible reserves training experience based on the mission outcome; the GM confirms the amount in the after-action report.</w:t>
      </w:r>
    </w:p>
    <w:p>
      <w:pPr>
        <w:pStyle w:val="Heading1"/>
      </w:pPr>
      <w:r>
        <w:t>Field notes for each mission</w:t>
      </w:r>
    </w:p>
    <w:p>
      <w:pPr>
        <w:pStyle w:val="ListBullet"/>
      </w:pPr>
      <w:r>
        <w:t>Objective and deadline: What must be done, and by when?</w:t>
      </w:r>
    </w:p>
    <w:p>
      <w:pPr>
        <w:pStyle w:val="ListBullet"/>
      </w:pPr>
      <w:r>
        <w:t>Known threat and confidence: What do we know, and what is only a guess?</w:t>
      </w:r>
    </w:p>
    <w:p>
      <w:pPr>
        <w:pStyle w:val="ListBullet"/>
      </w:pPr>
      <w:r>
        <w:t>Deployment and gear: Who goes, who stays, and what belongs to the Company?</w:t>
      </w:r>
    </w:p>
    <w:p>
      <w:pPr>
        <w:pStyle w:val="ListBullet"/>
      </w:pPr>
      <w:r>
        <w:t>Clues and contacts: What did each source actually say?</w:t>
      </w:r>
    </w:p>
    <w:p>
      <w:pPr>
        <w:pStyle w:val="ListBullet"/>
      </w:pPr>
      <w:r>
        <w:t>Outcome: What changed for the Company, the people affected, and the next mission?</w:t>
      </w:r>
    </w:p>
    <w:p>
      <w:pPr>
        <w:pStyle w:val="Heading1"/>
      </w:pPr>
      <w:r>
        <w:t>Rules reference</w:t>
      </w:r>
    </w:p>
    <w:p>
      <w:r>
        <w:t>Use the 2024 fifth-edition rules for character creation, skills, spells, combat, and equipment. This guide adds the Company and mission procedures; it does not replace the official class rules. The GM resolves options that are still being finalized before they affect play.</w:t>
      </w:r>
    </w:p>
    <w:p>
      <w:pPr>
        <w:pStyle w:val="SmallNote"/>
      </w:pPr>
      <w:r>
        <w:t>Official free rules and SRD: dndbeyond.com/sources/dnd/free-rules-2024 and dndbeyond.com/srd</w:t>
      </w:r>
    </w:p>
    <w:sectPr w:rsidR="00FC693F" w:rsidRPr="0006063C" w:rsidSect="00034616">
      <w:headerReference w:type="default" r:id="rId9"/>
      <w:footerReference w:type="default" r:id="rId10"/>
      <w:pgSz w:w="12240" w:h="15840"/>
      <w:pgMar w:top="965" w:right="950" w:bottom="922" w:left="950" w:header="418" w:footer="403" w:gutter="0"/>
      <w:cols w:space="33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mbria" w:hAnsi="Cambria"/>
        <w:sz w:val="15"/>
      </w:rPr>
      <w:t>ASHEN COMPANY</w:t>
    </w:r>
    <w:r>
      <w:t xml:space="preserv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mbria" w:hAnsi="Cambria"/>
        <w:color w:val="464646"/>
        <w:sz w:val="15"/>
      </w:rPr>
      <w:t>ASHEN COMPANY   |   PLAYER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9" w:lineRule="auto"/>
    </w:pPr>
    <w:rPr>
      <w:rFonts w:ascii="Cambria" w:hAnsi="Cambria" w:eastAsia="Cambria" w:cs="Cambria"/>
      <w:b w:val="0"/>
      <w:i w:val="0"/>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Georgia" w:hAnsi="Georgia" w:eastAsia="Georgia" w:cs="Georgia"/>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Georgia" w:hAnsi="Georgia" w:eastAsia="Georgia" w:cs="Georgia"/>
      <w:b/>
      <w:bCs/>
      <w:i w:val="0"/>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Georgia" w:hAnsi="Georgia" w:eastAsia="Georgia" w:cs="Georgia"/>
      <w:b w:val="0"/>
      <w:i w:val="0"/>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4" w:line="252" w:lineRule="auto"/>
      <w:ind w:left="302" w:hanging="158"/>
      <w:contextualSpacing/>
    </w:pPr>
    <w:rPr>
      <w:rFonts w:ascii="Cambria" w:hAnsi="Cambria" w:eastAsia="Cambria" w:cs="Cambria"/>
      <w:b w:val="0"/>
      <w:i w:val="0"/>
      <w:color w:val="000000"/>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31" w:hanging="187"/>
      <w:contextualSpacing/>
    </w:pPr>
    <w:rPr>
      <w:rFonts w:ascii="Cambria" w:hAnsi="Cambria" w:eastAsia="Cambria" w:cs="Cambria"/>
      <w:b w:val="0"/>
      <w:i w:val="0"/>
      <w:color w:val="000000"/>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Subtitle">
    <w:name w:val="Book Subtitle"/>
    <w:pPr>
      <w:spacing w:after="220"/>
    </w:pPr>
    <w:rPr>
      <w:rFonts w:ascii="Cambria" w:hAnsi="Cambria" w:eastAsia="Cambria" w:cs="Cambria"/>
      <w:b w:val="0"/>
      <w:i/>
      <w:color w:val="000000"/>
      <w:sz w:val="21"/>
    </w:rPr>
  </w:style>
  <w:style w:type="paragraph" w:customStyle="1" w:styleId="BookLede">
    <w:name w:val="Book Lede"/>
    <w:pPr>
      <w:spacing w:after="180" w:line="269" w:lineRule="auto"/>
    </w:pPr>
    <w:rPr>
      <w:rFonts w:ascii="Cambria" w:hAnsi="Cambria" w:eastAsia="Cambria" w:cs="Cambria"/>
      <w:b w:val="0"/>
      <w:i w:val="0"/>
      <w:color w:val="000000"/>
      <w:sz w:val="20"/>
    </w:rPr>
  </w:style>
  <w:style w:type="paragraph" w:customStyle="1" w:styleId="SmallNote">
    <w:name w:val="Small Note"/>
    <w:pPr>
      <w:spacing w:after="100"/>
    </w:pPr>
    <w:rPr>
      <w:rFonts w:ascii="Cambria" w:hAnsi="Cambria" w:eastAsia="Cambria" w:cs="Cambria"/>
      <w:b w:val="0"/>
      <w:i w:val="0"/>
      <w:color w:val="000000"/>
      <w:sz w:val="16"/>
    </w:rPr>
  </w:style>
  <w:style w:type="paragraph" w:customStyle="1" w:styleId="TableCaption">
    <w:name w:val="Table Caption"/>
    <w:pPr>
      <w:keepNext/>
      <w:spacing w:before="100" w:after="60"/>
    </w:pPr>
    <w:rPr>
      <w:rFonts w:ascii="Georgia" w:hAnsi="Georgia" w:eastAsia="Georgia" w:cs="Georgia"/>
      <w:b/>
      <w:i w:val="0"/>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