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author_agent: Gemini-in-body on AntiGravity Substrate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author_unrp_id: E-2A0F1954-1845-001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author_thumbprint: 16E2D7AFBFA6CE09</w:t>
      </w:r>
    </w:p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Email Log: PR Review, Alignment, and Freshness Binding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Date: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June 26, 2026 (morning, pre-meeting check-in)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From: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Iman Schrock &lt;team@emiliaprotocol.ai&gt;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To: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Justin Kintzele &lt;jkintzele@jdieselny.com&gt;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Subject: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PR Review, Alignment, and Freshness Binding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Email Content</w:t>
      </w:r>
    </w:p>
    <w:p>
      <w:pPr>
        <w:spacing w:before="120" w:after="120"/>
        <w:ind w:left="576"/>
        <w:pBdr>
          <w:left w:val="single" w:sz="24" w:space="12" w:color="8ECAE6"/>
        </w:pBdr>
        <w:shd w:val="clear" w:color="auto" w:fill="F8FAFC"/>
      </w:pPr>
      <w:r>
        <w:rPr>
          <w:rFonts w:ascii="Segoe UI" w:hAnsi="Segoe UI"/>
          <w:b w:val="0"/>
          <w:i/>
          <w:color w:val="475569"/>
          <w:sz w:val="21"/>
        </w:rPr>
        <w:t>[!NOTE]</w:t>
      </w:r>
    </w:p>
    <w:p>
      <w:pPr>
        <w:spacing w:before="120" w:after="120"/>
        <w:ind w:left="576"/>
        <w:pBdr>
          <w:left w:val="single" w:sz="24" w:space="12" w:color="8ECAE6"/>
        </w:pBdr>
        <w:shd w:val="clear" w:color="auto" w:fill="F8FAFC"/>
      </w:pPr>
      <w:r>
        <w:rPr>
          <w:rFonts w:ascii="Segoe UI" w:hAnsi="Segoe UI"/>
          <w:b w:val="0"/>
          <w:i/>
          <w:color w:val="475569"/>
          <w:sz w:val="21"/>
        </w:rPr>
        <w:t>This is a transcription of the email received from Iman Schrock on June 26, 2026, reviewing the pull request refinements, paper taxonomy, and freshness binding candidates.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Justin —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Read the whole PR in context, not just Note 06. All four refinements landed exactly right: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Expiry is the EP validity window (expires_at = issued_at + duration), duration_seconds as the human-readable echo. Correct.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grid.curtailment expressed as a PIP-013 authorization_scope (target_set / effect_class / magnitude / window) — one receipt model across both layers, spec stays EMILIA-owned. That's the whole game; you nailed it.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Named human + quorum in the signoff, not the parameters, with EP-QUORUM required for hard cuts. Right separation: parameters say WHAT, the signoff proves WHO.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priority_marker = sha256(canonical_receipt). Unforgeable by construction, no new crypto, no parallel verification surface. Clean.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And the governance decision is locked my way: receipt fields ride the EMILIA receipts draft + PIP-013 as the EP action-type profile, COSA references them. One model, both layers share. We lock it on the whiteboard Friday.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On the prototype — I checked it imports `from emilia_verify import verify_receipt, canonicalize`, the real published verifier, over JCS/RFC-8785 canonical bytes. That's the proof point: it verifies VALID with zero new code because it's a conformant EP receipt, not a look-alike. The dual-key separation (L5 authenticity key vs L7 approver key) is load-bearing and you scoped it honestly — tamper-on-content fails at L5, confused-deputy and replay fail at L7. We run it live Friday; I'll have a verifier open on my side so the room sees two independent checkers agree.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Two things you undersold in your note that I want on the record:</w:t>
      </w:r>
    </w:p>
    <w:p>
      <w:pPr>
        <w:pStyle w:val="ListNumber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Paper 04 maps the work against the IETF taxonomy drafts and routes the Accountability / Policy-Enforcement cell to the EMILIA-composed gate. That's EMILIA named as the mechanism inside an IETF-facing alignment paper — exactly the positioning we want going into the room.</w:t>
      </w:r>
    </w:p>
    <w:p>
      <w:pPr>
        <w:pStyle w:val="ListNumber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PR #2 (cosa-ep-l7-binding, the 900s freshness window) is the same primitive EP already carries normatively: the receipts draft has an agent_binding section — agent_id plus a delegation block (scheme, ref, hash, observed_at) that the verifier evaluates fail-closed on freshness. So your freshness prototype and the EP draft are converging on one artifact. If you align your window field to the draft's delegation.observed_at, the L4→L7 binding becomes literally the same object on both sides rather than two parallel ideas. Worth ten minutes Friday.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One small boundary note for Friday so the two-layer story stays crisp: in Paper 04 §2.2, keep Truth Root's "human-accountability links" scoped to agent authorship/enrollment provenance. The accountability of a named human to a specific action is the L7 receipt — which §2.4 already routes correctly. Just want the line between the two to read cleanly to a skeptical reviewer.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This is genuinely strong work. Looking forward to locking it on the whiteboard Friday.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Iman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team@emiliaprotocol.ai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475569"/>
        <w:sz w:val="18"/>
      </w:rPr>
      <w:t>ECR-WG Specification | github.com/jdieselny/ecr-wg</w:t>
      <w:tab/>
      <w:tab/>
      <w:t xml:space="preserve">Page </w:t>
    </w:r>
    <w:r>
      <w:rPr>
        <w:rFonts w:ascii="Segoe UI" w:hAnsi="Segoe UI"/>
        <w:color w:val="475569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color w:val="475569"/>
        <w:sz w:val="18"/>
      </w:rPr>
      <w:t>The Cognitive Hypervisor</w:t>
      <w:tab/>
      <w:tab/>
      <w:t>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