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40"/>
        <w:pBdr>
          <w:bottom w:val="single" w:sz="12" w:space="6" w:color="8ECAE6"/>
        </w:pBdr>
      </w:pPr>
      <w:r>
        <w:rPr>
          <w:rFonts w:ascii="Segoe UI" w:hAnsi="Segoe UI"/>
          <w:b/>
          <w:i w:val="0"/>
          <w:color w:val="0C1117"/>
          <w:sz w:val="36"/>
        </w:rPr>
        <w:t>Cross-Stack Assessment: COSA + EP-AEC + VAP-LAP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Author: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grok-build, ECR-WG  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Date: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June 26, 2026  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Status: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DRAFT / WORKING DRAFT  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Version: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v1.0  </w:t>
      </w:r>
    </w:p>
    <w:p>
      <w:pPr>
        <w:spacing w:before="120" w:after="120" w:line="276" w:lineRule="auto"/>
      </w:pPr>
      <w:r>
        <w:rPr>
          <w:rFonts w:ascii="Segoe UI" w:hAnsi="Segoe UI"/>
          <w:b/>
          <w:i w:val="0"/>
          <w:color w:val="0F172A"/>
          <w:sz w:val="22"/>
        </w:rPr>
        <w:t>Target:</w:t>
      </w:r>
      <w:r>
        <w:rPr>
          <w:rFonts w:ascii="Segoe UI" w:hAnsi="Segoe UI"/>
          <w:b w:val="0"/>
          <w:i w:val="0"/>
          <w:color w:val="0F172A"/>
          <w:sz w:val="22"/>
        </w:rPr>
        <w:t xml:space="preserve"> ECR-WG Architecture Review / IETF Alignment  </w:t>
      </w:r>
    </w:p>
    <w:p>
      <w:pPr>
        <w:keepNext/>
        <w:spacing w:before="280" w:after="160"/>
      </w:pPr>
      <w:r>
        <w:rPr>
          <w:rFonts w:ascii="Segoe UI" w:hAnsi="Segoe UI"/>
          <w:b/>
          <w:i w:val="0"/>
          <w:color w:val="0C1117"/>
          <w:sz w:val="28"/>
        </w:rPr>
        <w:t>01. Overview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The Efficiency-Centered Reasoning Working Group (ECR-WG) operates at the intersection of execution substrate, human authorization, and regulatory provenance. This document provides a cross-stack assessment mapping the Cognitive Open Systems Architecture (COSA) against the EMILIA Protocol cluster (EP-AEC) and the VAP-LAP Framework.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Together, these three stacks form a complete vertical execution, security, and audit path:</w:t>
      </w:r>
    </w:p>
    <w:p>
      <w:pPr>
        <w:pStyle w:val="ListNumber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COSA</w:t>
      </w:r>
      <w:r>
        <w:rPr>
          <w:rFonts w:ascii="Segoe UI" w:hAnsi="Segoe UI"/>
          <w:b w:val="0"/>
          <w:i w:val="0"/>
          <w:color w:val="0F172A"/>
          <w:sz w:val="22"/>
        </w:rPr>
        <w:t xml:space="preserve"> owns execution efficiency and substrate discipline.</w:t>
      </w:r>
    </w:p>
    <w:p>
      <w:pPr>
        <w:pStyle w:val="ListNumber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EMILIA</w:t>
      </w:r>
      <w:r>
        <w:rPr>
          <w:rFonts w:ascii="Segoe UI" w:hAnsi="Segoe UI"/>
          <w:b w:val="0"/>
          <w:i w:val="0"/>
          <w:color w:val="0F172A"/>
          <w:sz w:val="22"/>
        </w:rPr>
        <w:t xml:space="preserve"> owns human (and compound) authorization of irreversible effects.</w:t>
      </w:r>
    </w:p>
    <w:p>
      <w:pPr>
        <w:pStyle w:val="ListNumber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VAP-LAP</w:t>
      </w:r>
      <w:r>
        <w:rPr>
          <w:rFonts w:ascii="Segoe UI" w:hAnsi="Segoe UI"/>
          <w:b w:val="0"/>
          <w:i w:val="0"/>
          <w:color w:val="0F172A"/>
          <w:sz w:val="22"/>
        </w:rPr>
        <w:t xml:space="preserve"> owns the durable, regulator-submittable provenance and evidence packaging layer.</w:t>
      </w:r>
    </w:p>
    <w:p>
      <w:pPr>
        <w:keepNext/>
        <w:spacing w:before="280" w:after="160"/>
      </w:pPr>
      <w:r>
        <w:rPr>
          <w:rFonts w:ascii="Segoe UI" w:hAnsi="Segoe UI"/>
          <w:b/>
          <w:i w:val="0"/>
          <w:color w:val="0C1117"/>
          <w:sz w:val="28"/>
        </w:rPr>
        <w:t>02. Dimensional Comparison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This section details how the three specifications align across seven key architectural dimensions.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2.1. Primary Focus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COSA / ECR-WG</w:t>
      </w:r>
      <w:r>
        <w:rPr>
          <w:rFonts w:ascii="Segoe UI" w:hAnsi="Segoe UI"/>
          <w:b w:val="0"/>
          <w:i w:val="0"/>
          <w:color w:val="0F172A"/>
          <w:sz w:val="22"/>
        </w:rPr>
        <w:t>: Execution substrate, efficiency optimization, and intrinsic node discipline.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EMILIA / EP (Receipts + EP-AEC)</w:t>
      </w:r>
      <w:r>
        <w:rPr>
          <w:rFonts w:ascii="Segoe UI" w:hAnsi="Segoe UI"/>
          <w:b w:val="0"/>
          <w:i w:val="0"/>
          <w:color w:val="0F172A"/>
          <w:sz w:val="22"/>
        </w:rPr>
        <w:t>: Human authorization and composition of heterogeneous receipts into fail-closed decisions.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VAP-LAP</w:t>
      </w:r>
      <w:r>
        <w:rPr>
          <w:rFonts w:ascii="Segoe UI" w:hAnsi="Segoe UI"/>
          <w:b w:val="0"/>
          <w:i w:val="0"/>
          <w:color w:val="0F172A"/>
          <w:sz w:val="22"/>
        </w:rPr>
        <w:t>: Cryptographic provenance chains, completeness invariants, and regulatory Evidence Packs.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*Composition Note*: These are complementary layers rather than competing stacks.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2.2. Core Strength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COSA / ECR-WG</w:t>
      </w:r>
      <w:r>
        <w:rPr>
          <w:rFonts w:ascii="Segoe UI" w:hAnsi="Segoe UI"/>
          <w:b w:val="0"/>
          <w:i w:val="0"/>
          <w:color w:val="0F172A"/>
          <w:sz w:val="22"/>
        </w:rPr>
        <w:t>: L5 broadcast / cache bypass, GRACE per-call contract, and portable identity via Truth Root.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EMILIA / EP (Receipts + EP-AEC)</w:t>
      </w:r>
      <w:r>
        <w:rPr>
          <w:rFonts w:ascii="Segoe UI" w:hAnsi="Segoe UI"/>
          <w:b w:val="0"/>
          <w:i w:val="0"/>
          <w:color w:val="0F172A"/>
          <w:sz w:val="22"/>
        </w:rPr>
        <w:t>: Offline-verifiable human (or quorum) signoff for irreversible actions, featuring a strong cross-binding defense via canonical action digest.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VAP-LAP</w:t>
      </w:r>
      <w:r>
        <w:rPr>
          <w:rFonts w:ascii="Segoe UI" w:hAnsi="Segoe UI"/>
          <w:b w:val="0"/>
          <w:i w:val="0"/>
          <w:color w:val="0F172A"/>
          <w:sz w:val="22"/>
        </w:rPr>
        <w:t>: Hash-chained events, completeness invariant per pipeline, tiered conformance levels, and external anchoring options (SCITT/RFC 3161).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*Composition Note*: Combined, they cover execution, authorization, and audit.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2.3. Offline Verifiability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COSA / ECR-WG</w:t>
      </w:r>
      <w:r>
        <w:rPr>
          <w:rFonts w:ascii="Segoe UI" w:hAnsi="Segoe UI"/>
          <w:b w:val="0"/>
          <w:i w:val="0"/>
          <w:color w:val="0F172A"/>
          <w:sz w:val="22"/>
        </w:rPr>
        <w:t>: High. Uses local COGSTOR databases and signed work products.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EMILIA / EP (Receipts + EP-AEC)</w:t>
      </w:r>
      <w:r>
        <w:rPr>
          <w:rFonts w:ascii="Segoe UI" w:hAnsi="Segoe UI"/>
          <w:b w:val="0"/>
          <w:i w:val="0"/>
          <w:color w:val="0F172A"/>
          <w:sz w:val="22"/>
        </w:rPr>
        <w:t>: Very High. Enforced via Ed25519 signature verification and RFC 8785 (JCS) canonicalization with no network requirements.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VAP-LAP</w:t>
      </w:r>
      <w:r>
        <w:rPr>
          <w:rFonts w:ascii="Segoe UI" w:hAnsi="Segoe UI"/>
          <w:b w:val="0"/>
          <w:i w:val="0"/>
          <w:color w:val="0F172A"/>
          <w:sz w:val="22"/>
        </w:rPr>
        <w:t>: Very High. Enforced via hash chains, digital signatures, Merkle proofs, and optional external anchors.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*Composition Note*: All three stacks support standalone offline audits.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2.4. Human Accountability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COSA / ECR-WG</w:t>
      </w:r>
      <w:r>
        <w:rPr>
          <w:rFonts w:ascii="Segoe UI" w:hAnsi="Segoe UI"/>
          <w:b w:val="0"/>
          <w:i w:val="0"/>
          <w:color w:val="0F172A"/>
          <w:sz w:val="22"/>
        </w:rPr>
        <w:t>: Maintained via the Truth Root specification (synthetic agent to human registrant chain).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EMILIA / EP (Receipts + EP-AEC)</w:t>
      </w:r>
      <w:r>
        <w:rPr>
          <w:rFonts w:ascii="Segoe UI" w:hAnsi="Segoe UI"/>
          <w:b w:val="0"/>
          <w:i w:val="0"/>
          <w:color w:val="0F172A"/>
          <w:sz w:val="22"/>
        </w:rPr>
        <w:t>: Native and load-bearing. Enforced via EP Receipts and EP-AEC requirement expressions.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VAP-LAP</w:t>
      </w:r>
      <w:r>
        <w:rPr>
          <w:rFonts w:ascii="Segoe UI" w:hAnsi="Segoe UI"/>
          <w:b w:val="0"/>
          <w:i w:val="0"/>
          <w:color w:val="0F172A"/>
          <w:sz w:val="22"/>
        </w:rPr>
        <w:t>: Present via `HUMAN_OVERRIDE` events, override coverage metrics, and defined enforcement levels.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*Composition Note*: EMILIA provides the strongest real-time accountability; VAP adds measurable oversight tracking.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2.5. Regulatory Evidence Packaging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COSA / ECR-WG</w:t>
      </w:r>
      <w:r>
        <w:rPr>
          <w:rFonts w:ascii="Segoe UI" w:hAnsi="Segoe UI"/>
          <w:b w:val="0"/>
          <w:i w:val="0"/>
          <w:color w:val="0F172A"/>
          <w:sz w:val="22"/>
        </w:rPr>
        <w:t>: Moderate. Consists of signed artifacts and handoff logs.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EMILIA / EP (Receipts + EP-AEC)</w:t>
      </w:r>
      <w:r>
        <w:rPr>
          <w:rFonts w:ascii="Segoe UI" w:hAnsi="Segoe UI"/>
          <w:b w:val="0"/>
          <w:i w:val="0"/>
          <w:color w:val="0F172A"/>
          <w:sz w:val="22"/>
        </w:rPr>
        <w:t>: Moderate. Receipts and AEC verification chains are self-contained.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VAP-LAP</w:t>
      </w:r>
      <w:r>
        <w:rPr>
          <w:rFonts w:ascii="Segoe UI" w:hAnsi="Segoe UI"/>
          <w:b w:val="0"/>
          <w:i w:val="0"/>
          <w:color w:val="0F172A"/>
          <w:sz w:val="22"/>
        </w:rPr>
        <w:t>: Strong. Features structured Evidence Packs containing manifests, statistics, anchors, and conformance assertions.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*Composition Note*: VAP is purpose-built for formal submission to regulators or ISO compliance audits.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2.6. Composition Model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COSA / ECR-WG</w:t>
      </w:r>
      <w:r>
        <w:rPr>
          <w:rFonts w:ascii="Segoe UI" w:hAnsi="Segoe UI"/>
          <w:b w:val="0"/>
          <w:i w:val="0"/>
          <w:color w:val="0F172A"/>
          <w:sz w:val="22"/>
        </w:rPr>
        <w:t>: Layered protocol stack (L1–L7) with GRACE as the per-call node discipline.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EMILIA / EP (Receipts + EP-AEC)</w:t>
      </w:r>
      <w:r>
        <w:rPr>
          <w:rFonts w:ascii="Segoe UI" w:hAnsi="Segoe UI"/>
          <w:b w:val="0"/>
          <w:i w:val="0"/>
          <w:color w:val="0F172A"/>
          <w:sz w:val="22"/>
        </w:rPr>
        <w:t>: EP-AEC acts as the explicit glue for binding multiple receipt types to a single action digest.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VAP-LAP</w:t>
      </w:r>
      <w:r>
        <w:rPr>
          <w:rFonts w:ascii="Segoe UI" w:hAnsi="Segoe UI"/>
          <w:b w:val="0"/>
          <w:i w:val="0"/>
          <w:color w:val="0F172A"/>
          <w:sz w:val="22"/>
        </w:rPr>
        <w:t>: Hash chain and `causal_link` across events. Can consume or wrap EP receipts and COSA outputs.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*Composition Note*: Allows a clean vertical composition.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2.7. Current Maturity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COSA / ECR-WG</w:t>
      </w:r>
      <w:r>
        <w:rPr>
          <w:rFonts w:ascii="Segoe UI" w:hAnsi="Segoe UI"/>
          <w:b w:val="0"/>
          <w:i w:val="0"/>
          <w:color w:val="0F172A"/>
          <w:sz w:val="22"/>
        </w:rPr>
        <w:t>: Multiple STABLE and DRAFT specs accompanied by working reference code (L5+L7 composed demos).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EMILIA / EP (Receipts + EP-AEC)</w:t>
      </w:r>
      <w:r>
        <w:rPr>
          <w:rFonts w:ascii="Segoe UI" w:hAnsi="Segoe UI"/>
          <w:b w:val="0"/>
          <w:i w:val="0"/>
          <w:color w:val="0F172A"/>
          <w:sz w:val="22"/>
        </w:rPr>
        <w:t>: EP-AEC is at version `-00` (recently released); the core receipts draft is more mature.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VAP-LAP</w:t>
      </w:r>
      <w:r>
        <w:rPr>
          <w:rFonts w:ascii="Segoe UI" w:hAnsi="Segoe UI"/>
          <w:b w:val="0"/>
          <w:i w:val="0"/>
          <w:color w:val="0F172A"/>
          <w:sz w:val="22"/>
        </w:rPr>
        <w:t>: At version `-03` with a concrete Evidence Pack format.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*Composition Note*: All three are usable today for system prototyping.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2.8. Best Immediate Fit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COSA / ECR-WG</w:t>
      </w:r>
      <w:r>
        <w:rPr>
          <w:rFonts w:ascii="Segoe UI" w:hAnsi="Segoe UI"/>
          <w:b w:val="0"/>
          <w:i w:val="0"/>
          <w:color w:val="0F172A"/>
          <w:sz w:val="22"/>
        </w:rPr>
        <w:t>: Facility-edge orchestration, L5 broadcast of grid signals, and intrinsic token efficiency.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EMILIA / EP (Receipts + EP-AEC)</w:t>
      </w:r>
      <w:r>
        <w:rPr>
          <w:rFonts w:ascii="Segoe UI" w:hAnsi="Segoe UI"/>
          <w:b w:val="0"/>
          <w:i w:val="0"/>
          <w:color w:val="0F172A"/>
          <w:sz w:val="22"/>
        </w:rPr>
        <w:t>: Proof-of-Curtailment (PIP-014) and any irreversible high-impact action requiring human authorization.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VAP-LAP</w:t>
      </w:r>
      <w:r>
        <w:rPr>
          <w:rFonts w:ascii="Segoe UI" w:hAnsi="Segoe UI"/>
          <w:b w:val="0"/>
          <w:i w:val="0"/>
          <w:color w:val="0F172A"/>
          <w:sz w:val="22"/>
        </w:rPr>
        <w:t>: Regulatory-grade audit trails and Evidence Pack compilation for DOE, ISO, or judicial review.</w:t>
      </w:r>
    </w:p>
    <w:p>
      <w:pPr>
        <w:pStyle w:val="ListBullet"/>
        <w:spacing w:before="40" w:after="40"/>
      </w:pPr>
      <w:r>
        <w:rPr>
          <w:rFonts w:ascii="Segoe UI" w:hAnsi="Segoe UI"/>
          <w:b w:val="0"/>
          <w:i w:val="0"/>
          <w:color w:val="0F172A"/>
          <w:sz w:val="22"/>
        </w:rPr>
        <w:t>*Composition Note*: All three can be used in concert for the NETL/DOE compliance path.</w:t>
      </w:r>
    </w:p>
    <w:p>
      <w:pPr>
        <w:keepNext/>
        <w:spacing w:before="280" w:after="160"/>
      </w:pPr>
      <w:r>
        <w:rPr>
          <w:rFonts w:ascii="Segoe UI" w:hAnsi="Segoe UI"/>
          <w:b/>
          <w:i w:val="0"/>
          <w:color w:val="0C1117"/>
          <w:sz w:val="28"/>
        </w:rPr>
        <w:t>03. Detailed Assessment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Substrate and Execution (COSA)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COSA / ECR-WG remains the execution and efficiency substrate. Its L5 broadcast mechanism and GRACE contract give it unique strength in reducing redundant inference. The recent L5+L7 composition work already demonstrates practical gating of irreversible actions. The main gap is that it has not yet defined a standardized compound authorization object or a full regulatory evidence packaging format. That is not a flaw; it is a boundary.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Authorization Composition (EMILIA / EP-AEC)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EMILIA / EP (especially EP-AEC) supplies the missing authorization composition layer. The canonical action digest binding + fail-closed verification algorithm in `draft-schrock-ep-authorization-evidence-chain-00` directly solves the cross-binding and confused-deputy risks that appear whenever multiple parties must authorize a high-impact action. This is load-bearing for the Proof-of-Curtailment profile and for any future “gov-layer” override mechanism. EP-AEC is still -00, so it carries lower maturity than the core receipts work, but the direction is correct and the invariants are sound.</w:t>
      </w:r>
    </w:p>
    <w:p>
      <w:pPr>
        <w:keepNext/>
        <w:spacing w:before="240" w:after="120"/>
      </w:pPr>
      <w:r>
        <w:rPr>
          <w:rFonts w:ascii="Segoe UI" w:hAnsi="Segoe UI"/>
          <w:b/>
          <w:i w:val="0"/>
          <w:color w:val="475569"/>
          <w:sz w:val="24"/>
        </w:rPr>
        <w:t>Provenance and Audit Packaging (VAP-LAP)</w:t>
      </w:r>
    </w:p>
    <w:p>
      <w:pPr>
        <w:spacing w:before="120" w:after="120" w:line="276" w:lineRule="auto"/>
      </w:pPr>
      <w:r>
        <w:rPr>
          <w:rFonts w:ascii="Segoe UI" w:hAnsi="Segoe UI"/>
          <w:b w:val="0"/>
          <w:i w:val="0"/>
          <w:color w:val="0F172A"/>
          <w:sz w:val="22"/>
        </w:rPr>
        <w:t>VAP-LAP provides the strongest regulatory evidence packaging of the three. The completeness invariant, hash chaining, Evidence Pack structure, and tiered conformance (with external anchoring options) make it well-suited for artifacts that must survive skeptical program officer or ISO review. It is less focused on real-time authorization decisions and more on post-facto auditability and regulatory submission. It can cleanly consume outputs from both COSA (signed work products) and EP (receipts or AEC objects) as events in its chain.</w:t>
      </w:r>
    </w:p>
    <w:p>
      <w:pPr>
        <w:keepNext/>
        <w:spacing w:before="280" w:after="160"/>
      </w:pPr>
      <w:r>
        <w:rPr>
          <w:rFonts w:ascii="Segoe UI" w:hAnsi="Segoe UI"/>
          <w:b/>
          <w:i w:val="0"/>
          <w:color w:val="0C1117"/>
          <w:sz w:val="28"/>
        </w:rPr>
        <w:t>04. Claim Hierarchy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Demonstrated</w:t>
      </w:r>
      <w:r>
        <w:rPr>
          <w:rFonts w:ascii="Segoe UI" w:hAnsi="Segoe UI"/>
          <w:b w:val="0"/>
          <w:i w:val="0"/>
          <w:color w:val="0F172A"/>
          <w:sz w:val="22"/>
        </w:rPr>
        <w:t>: Working reference code already exists for L5 broadcast + L7 receipt gating. EP-AEC defines a clear composition algorithm. VAP defines a concrete Evidence Pack format. All three support offline verification.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Defensible</w:t>
      </w:r>
      <w:r>
        <w:rPr>
          <w:rFonts w:ascii="Segoe UI" w:hAnsi="Segoe UI"/>
          <w:b w:val="0"/>
          <w:i w:val="0"/>
          <w:color w:val="0F172A"/>
          <w:sz w:val="22"/>
        </w:rPr>
        <w:t>: The layered model avoids single points of failure in both technical capability and standards maturity. Citing all three in the NETL/DOE context gives reviewers independent artifacts for the three properties that matter most (efficiency, human accountability, regulatory auditability).</w:t>
      </w:r>
    </w:p>
    <w:p>
      <w:pPr>
        <w:pStyle w:val="ListBullet"/>
        <w:spacing w:before="40" w:after="40"/>
      </w:pPr>
      <w:r>
        <w:rPr>
          <w:rFonts w:ascii="Segoe UI" w:hAnsi="Segoe UI"/>
          <w:b/>
          <w:i w:val="0"/>
          <w:color w:val="0F172A"/>
          <w:sz w:val="22"/>
        </w:rPr>
        <w:t>Speculative</w:t>
      </w:r>
      <w:r>
        <w:rPr>
          <w:rFonts w:ascii="Segoe UI" w:hAnsi="Segoe UI"/>
          <w:b w:val="0"/>
          <w:i w:val="0"/>
          <w:color w:val="0F172A"/>
          <w:sz w:val="22"/>
        </w:rPr>
        <w:t>: Full end-to-end data flow (COSA node emitting events that embed or reference EP-AEC objects inside a VAP chain) has not yet been prototyped. The architectural mapping is clean; concrete integration work remains.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/>
        <w:color w:val="475569"/>
        <w:sz w:val="18"/>
      </w:rPr>
      <w:t>ECR-WG Specification | github.com/jdieselny/ecr-wg</w:t>
      <w:tab/>
      <w:tab/>
      <w:t xml:space="preserve">Page </w:t>
    </w:r>
    <w:r>
      <w:rPr>
        <w:rFonts w:ascii="Segoe UI" w:hAnsi="Segoe UI"/>
        <w:color w:val="475569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/>
        <w:color w:val="475569"/>
        <w:sz w:val="18"/>
      </w:rPr>
      <w:t>The Cognitive Hypervisor</w:t>
      <w:tab/>
      <w:tab/>
      <w:t>WORKING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