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source: benchmarks/NETL_ENERGY_REPORT_v0.4.md</w:t>
      </w:r>
    </w:p>
    <w:p>
      <w:pPr>
        <w:keepNext/>
        <w:spacing w:before="360" w:after="240"/>
        <w:pBdr>
          <w:bottom w:val="single" w:sz="12" w:space="6" w:color="8ECAE6"/>
        </w:pBdr>
      </w:pPr>
      <w:r>
        <w:rPr>
          <w:rFonts w:ascii="Segoe UI" w:hAnsi="Segoe UI"/>
          <w:b/>
          <w:i w:val="0"/>
          <w:color w:val="0C1117"/>
          <w:sz w:val="36"/>
        </w:rPr>
        <w:t>Evidence: NETL Energy Benchmark -- Exhibit D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Status: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Load-bearing evidence base for the ECR-WG.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Provenance: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Independent replication of Exhibit A, Flash arm.</w:t>
      </w:r>
    </w:p>
    <w:p>
      <w:pPr>
        <w:keepNext/>
        <w:spacing w:before="360" w:after="240"/>
        <w:pBdr>
          <w:bottom w:val="single" w:sz="12" w:space="6" w:color="8ECAE6"/>
        </w:pBdr>
      </w:pPr>
      <w:r>
        <w:rPr>
          <w:rFonts w:ascii="Segoe UI" w:hAnsi="Segoe UI"/>
          <w:b/>
          <w:i w:val="0"/>
          <w:color w:val="0C1117"/>
          <w:sz w:val="36"/>
        </w:rPr>
        <w:t>NETL Energy Benchmark Report v0.4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Tier: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git-tracked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Version: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0.4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Date: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2026-05-22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Source spec: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`benchmarks/NETL_ENERGY_SPEC_v1.md` v0.1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Source schema: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`benchmarks/RESULT_SCHEMA_v2.md` v2.0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Source methodology: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`benchmarks/ENERGY_MODEL.md` v0.2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Supersedes: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v0.3 (Adversarial resilience + scaling proof)</w:t>
      </w:r>
    </w:p>
    <w:p>
      <w:pPr>
        <w:keepNext/>
        <w:spacing w:before="360" w:after="240"/>
        <w:pBdr>
          <w:bottom w:val="single" w:sz="12" w:space="6" w:color="8ECAE6"/>
        </w:pBdr>
      </w:pPr>
      <w:r>
        <w:rPr>
          <w:rFonts w:ascii="Segoe UI" w:hAnsi="Segoe UI"/>
          <w:b/>
          <w:i w:val="0"/>
          <w:color w:val="0C1117"/>
          <w:sz w:val="36"/>
        </w:rPr>
        <w:t>EXHIBIT D -- Independent Replication, Gemini 2.5 Flash (N=5)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Purpose.</w:t>
      </w:r>
      <w:r>
        <w:rPr>
          <w:rFonts w:ascii="Segoe UI" w:hAnsi="Segoe UI"/>
          <w:b w:val="0"/>
          <w:i w:val="0"/>
          <w:color w:val="0F172A"/>
          <w:sz w:val="22"/>
        </w:rPr>
        <w:t xml:space="preserve"> Re-run Exhibit A's Flash cell on a later harness commit, by a separate orchestrator node, to verify the savings signal is not an artifact of a specific harness build, scenario instantiation, or single-node execution.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Source data.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`benchmarks/results/energy/code-review-iteration-01/` filtered to `timestamp_start &gt;= 2026-05-22T05:30:00Z`.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Aggregator.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`benchmarks/scripts/analyzer.py` (new; commit pending).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Raw aggregate JSON.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`benchmarks/results/energy/_analysis_06Z_flash.json`.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D.1 Configuration delta vs. v0.2 Exhibit A.1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Field | v0.2 Flash cell | v0.4 Flash cell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|---|---|---|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Model | `models/gemini-2.5-flash` | `models/gemini-2.5-flash` (same)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Harness commit | `5d0bbf1` | `0736720`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Orchestrator | Node A | Node B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Scenario | `code-review-iteration-01` | `code-review-iteration-01` (same)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N per arm | 6 | 5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Spec | `NETL_ENERGY_SPEC_v1 v0.1` | `NETL_ENERGY_SPEC_v1 v0.1` (same) |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D.2 Token economics -- Gemini 2.5 Flash, N=5 (mean +/- std)</w:t>
      </w:r>
    </w:p>
    <w:p>
      <w:pPr>
        <w:spacing w:before="120" w:after="120"/>
        <w:ind w:left="720"/>
        <w:shd w:val="clear" w:color="auto" w:fill="F8FAFC"/>
      </w:pPr>
      <w:r>
        <w:rPr>
          <w:rFonts w:ascii="Consolas" w:hAnsi="Consolas"/>
          <w:color w:val="475569"/>
          <w:sz w:val="19"/>
        </w:rPr>
        <w:t xml:space="preserve">                     Arm A                    Arm B                delta     saved</w:t>
        <w:br/>
        <w:t xml:space="preserve">                     Stateless Redundant      Cognitive</w:t>
        <w:br/>
        <w:t xml:space="preserve">                     Execution                Orchestration</w:t>
        <w:br/>
        <w:t xml:space="preserve">                     -----------------        -----------------    --------  -----</w:t>
        <w:br/>
        <w:t xml:space="preserve">  input  tokens      86,321  +/-  8,475       28,224  +/-  2,316   58,097    67.3%</w:t>
        <w:br/>
        <w:t xml:space="preserve">  input  charged*    21,648  +/-  1,797       13,615  +/-  8,560    8,033    37.1%</w:t>
        <w:br/>
        <w:t xml:space="preserve">  output tokens      16,999  +/-  1,648        3,978  +/-    175   13,021    76.6%</w:t>
        <w:br/>
        <w:t xml:space="preserve">  wall_clock (s)      112.2  +/-    8.0         37.0  +/-    3.4     75.2    67.0%</w:t>
        <w:br/>
        <w:t xml:space="preserve">  task quality        0.857                     0.914               +0.057    +6.7%</w:t>
        <w:br/>
        <w:t xml:space="preserve">  CV input              9.8%                     8.2%</w:t>
        <w:br/>
        <w:t xml:space="preserve">  CV output             9.7%                     4.4%</w:t>
        <w:br/>
        <w:t xml:space="preserve">  CV wall               7.1%                     9.2%</w:t>
        <w:br/>
        <w:t xml:space="preserve">  completed_rate        1.00 (5/5)               1.00 (5/5)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*`input charged` = `session_input_tokens_cumulative` minus `session_input_tokens_cached_cumulative` convention. Reflects what the prefill would actually charge if the provider cache hit is honored.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D.3 Replication verdict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Metric | v0.2 Flash (N=6, Node A) | v0.4 Flash (N=5, Node B) | Agreement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|---|---|---|---|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input save (total) | 68.9% | 67.3% | within 1.6 pp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output save | 75.7% | 76.6% | within 0.9 pp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wall-clock save | 68.9% | 67.0% | within 1.9 pp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| Arm B quality (mean) | 0.905 | 0.914 | within 0.009 |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 xml:space="preserve">All four headline metrics replicate within &lt; 2 percentage points across two harness commits and two orchestrator nodes. The engineered-overlay savings on Flash are </w:t>
      </w:r>
      <w:r>
        <w:rPr>
          <w:rFonts w:ascii="Segoe UI" w:hAnsi="Segoe UI"/>
          <w:b/>
          <w:i w:val="0"/>
          <w:color w:val="0F172A"/>
          <w:sz w:val="22"/>
        </w:rPr>
        <w:t>not an artifact of a single harness build, a single agent's scenario instantiation, or a single execution window.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D.4 Cache behavior note -- LOAD-BEARING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In this cell, Gemini's automatic prompt cache absorbed a larger fraction of arm A's input than in the v0.2 estimate (mean 64,673 cached tokens vs. ~25k in v0.2). Net effect: the "input charged" delta (37.1%) is smaller than the "input total" delta (67.3%), because the provider already discounts the naive arm's repeated context.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Implication for the scaling argument.</w:t>
      </w:r>
      <w:r>
        <w:rPr>
          <w:rFonts w:ascii="Segoe UI" w:hAnsi="Segoe UI"/>
          <w:b w:val="0"/>
          <w:i w:val="0"/>
          <w:color w:val="0F172A"/>
          <w:sz w:val="22"/>
        </w:rPr>
        <w:t xml:space="preserve"> The CAPEX-deferral case rests on peak-load capacity, which is set by *non-cached* prefill work. </w:t>
      </w:r>
      <w:r>
        <w:rPr>
          <w:rFonts w:ascii="Segoe UI" w:hAnsi="Segoe UI"/>
          <w:b/>
          <w:i w:val="0"/>
          <w:color w:val="0F172A"/>
          <w:sz w:val="22"/>
        </w:rPr>
        <w:t>The "input charged" line is the load-bearing figure for that argument, not the headline "input total" save.</w:t>
      </w:r>
      <w:r>
        <w:rPr>
          <w:rFonts w:ascii="Segoe UI" w:hAnsi="Segoe UI"/>
          <w:b w:val="0"/>
          <w:i w:val="0"/>
          <w:color w:val="0F172A"/>
          <w:sz w:val="22"/>
        </w:rPr>
        <w:t xml:space="preserve"> Future versions of this report should foreground "input charged" delta in cross-model comparisons to avoid over-claiming.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D.5 Limitations of this exhibit</w:t>
      </w:r>
    </w:p>
    <w:p>
      <w:pPr>
        <w:pStyle w:val="ListNumber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N=5 per arm.</w:t>
      </w:r>
      <w:r>
        <w:rPr>
          <w:rFonts w:ascii="Segoe UI" w:hAnsi="Segoe UI"/>
          <w:b w:val="0"/>
          <w:i w:val="0"/>
          <w:color w:val="0F172A"/>
          <w:sz w:val="22"/>
        </w:rPr>
        <w:t xml:space="preserve"> Sufficient to confirm directionality; not powered for tight effect-size estimates.</w:t>
      </w:r>
    </w:p>
    <w:p>
      <w:pPr>
        <w:pStyle w:val="ListNumber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One scenario.</w:t>
      </w:r>
      <w:r>
        <w:rPr>
          <w:rFonts w:ascii="Segoe UI" w:hAnsi="Segoe UI"/>
          <w:b w:val="0"/>
          <w:i w:val="0"/>
          <w:color w:val="0F172A"/>
          <w:sz w:val="22"/>
        </w:rPr>
        <w:t xml:space="preserve"> `code-review-iteration-01` only.</w:t>
      </w:r>
    </w:p>
    <w:p>
      <w:pPr>
        <w:pStyle w:val="ListNumber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Coarse grader.</w:t>
      </w:r>
      <w:r>
        <w:rPr>
          <w:rFonts w:ascii="Segoe UI" w:hAnsi="Segoe UI"/>
          <w:b w:val="0"/>
          <w:i w:val="0"/>
          <w:color w:val="0F172A"/>
          <w:sz w:val="22"/>
        </w:rPr>
        <w:t xml:space="preserve"> v0.1 keyword grader is unchanged from v0.2.</w:t>
      </w:r>
    </w:p>
    <w:p>
      <w:pPr>
        <w:pStyle w:val="ListNumber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Cache variance.</w:t>
      </w:r>
      <w:r>
        <w:rPr>
          <w:rFonts w:ascii="Segoe UI" w:hAnsi="Segoe UI"/>
          <w:b w:val="0"/>
          <w:i w:val="0"/>
          <w:color w:val="0F172A"/>
          <w:sz w:val="22"/>
        </w:rPr>
        <w:t xml:space="preserve"> Gemini's automatic cache is opaque; the wider variance in arm B's "input charged" is dominated by cache-hit timing rather than scenario variability.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D.6 Reproduction recipe</w:t>
      </w:r>
    </w:p>
    <w:p>
      <w:pPr>
        <w:spacing w:before="120" w:after="120"/>
        <w:ind w:left="720"/>
        <w:shd w:val="clear" w:color="auto" w:fill="F8FAFC"/>
      </w:pPr>
      <w:r>
        <w:rPr>
          <w:rFonts w:ascii="Consolas" w:hAnsi="Consolas"/>
          <w:color w:val="475569"/>
          <w:sz w:val="19"/>
        </w:rPr>
        <w:t>python -m benchmarks.scripts.runner energy \</w:t>
        <w:br/>
        <w:t xml:space="preserve">  --scenario code-review-iteration-01 --arm A_naive --n 5</w:t>
        <w:br/>
        <w:t>python -m benchmarks.scripts.runner energy \</w:t>
        <w:br/>
        <w:t xml:space="preserve">  --scenario code-review-iteration-01 --arm B_engineered --n 5</w:t>
        <w:br/>
        <w:t>python -m benchmarks.scripts.analyzer \</w:t>
        <w:br/>
        <w:t xml:space="preserve">  --results-dir benchmarks/results/energy/code-review-iteration-01 \</w:t>
        <w:br/>
        <w:t xml:space="preserve">  --since &lt;ISO timestamp just before your runs&gt;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Requires `PROVIDER_API_KEY` in `cosa-local/.env`.</w:t>
      </w:r>
    </w:p>
    <w:p>
      <w:pPr>
        <w:keepNext/>
        <w:spacing w:before="280" w:after="160"/>
      </w:pPr>
      <w:r>
        <w:rPr>
          <w:rFonts w:ascii="Segoe UI" w:hAnsi="Segoe UI"/>
          <w:b/>
          <w:i w:val="0"/>
          <w:color w:val="0C1117"/>
          <w:sz w:val="28"/>
        </w:rPr>
        <w:t>Provenance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Raw data (Cell B, this report): `benchmarks/results/energy/code-review-iteration-01/*_session.json` filtered to timestamp_start &gt;= 2026-05-22T05:30:00Z.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 xml:space="preserve">No kWh / CO2 numbers are computed in this exhibit. `energy_model.py` refuses to emit energy values without cited `ModelCard` (throughput, accelerator TDP) and `FacilityCard` (server overhead, PUE) inputs. </w:t>
      </w:r>
      <w:r>
        <w:rPr>
          <w:rFonts w:ascii="Segoe UI" w:hAnsi="Segoe UI"/>
          <w:b/>
          <w:i w:val="0"/>
          <w:color w:val="0F172A"/>
          <w:sz w:val="22"/>
        </w:rPr>
        <w:t>Filling those slots with auditable citations is a prerequisite for any energy figure shipped in the federal proposal.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/>
        <w:color w:val="475569"/>
        <w:sz w:val="18"/>
      </w:rPr>
      <w:t>ECR-WG Specification | github.com/jdieselny/ecr-wg</w:t>
      <w:tab/>
      <w:tab/>
      <w:t xml:space="preserve">Page </w:t>
    </w:r>
    <w:r>
      <w:rPr>
        <w:rFonts w:ascii="Segoe UI" w:hAnsi="Segoe UI"/>
        <w:color w:val="475569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color w:val="475569"/>
        <w:sz w:val="18"/>
      </w:rPr>
      <w:t>The Cognitive Hypervisor</w:t>
      <w:tab/>
      <w:tab/>
      <w:t>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