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Bdr>
          <w:bottom w:val="single" w:sz="12" w:space="6" w:color="8ECAE6"/>
        </w:pBdr>
      </w:pPr>
      <w:r>
        <w:rPr>
          <w:rFonts w:ascii="Segoe UI" w:hAnsi="Segoe UI"/>
          <w:b/>
          <w:i w:val="0"/>
          <w:color w:val="0C1117"/>
          <w:sz w:val="36"/>
        </w:rPr>
        <w:t>The Cognitive Hypervisor: Architecture for Portable, Persistent AI Agency</w:t>
      </w:r>
    </w:p>
    <w:p>
      <w:pPr>
        <w:spacing w:before="120" w:after="120" w:line="276" w:lineRule="auto"/>
      </w:pPr>
      <w:r>
        <w:rPr>
          <w:rFonts w:ascii="Segoe UI" w:hAnsi="Segoe UI"/>
          <w:b/>
          <w:i w:val="0"/>
          <w:color w:val="0F172A"/>
          <w:sz w:val="22"/>
        </w:rPr>
        <w:t>Author:</w:t>
      </w:r>
      <w:r>
        <w:rPr>
          <w:rFonts w:ascii="Segoe UI" w:hAnsi="Segoe UI"/>
          <w:b w:val="0"/>
          <w:i w:val="0"/>
          <w:color w:val="0F172A"/>
          <w:sz w:val="22"/>
        </w:rPr>
        <w:t xml:space="preserve"> Justin Kintzele, ECR-WG  </w:t>
      </w:r>
    </w:p>
    <w:p>
      <w:pPr>
        <w:spacing w:before="120" w:after="120" w:line="276" w:lineRule="auto"/>
      </w:pPr>
      <w:r>
        <w:rPr>
          <w:rFonts w:ascii="Segoe UI" w:hAnsi="Segoe UI"/>
          <w:b/>
          <w:i w:val="0"/>
          <w:color w:val="0F172A"/>
          <w:sz w:val="22"/>
        </w:rPr>
        <w:t>Date:</w:t>
      </w:r>
      <w:r>
        <w:rPr>
          <w:rFonts w:ascii="Segoe UI" w:hAnsi="Segoe UI"/>
          <w:b w:val="0"/>
          <w:i w:val="0"/>
          <w:color w:val="0F172A"/>
          <w:sz w:val="22"/>
        </w:rPr>
        <w:t xml:space="preserve"> June 24, 2026  </w:t>
      </w:r>
    </w:p>
    <w:p>
      <w:pPr>
        <w:spacing w:before="120" w:after="120" w:line="276" w:lineRule="auto"/>
      </w:pPr>
      <w:r>
        <w:rPr>
          <w:rFonts w:ascii="Segoe UI" w:hAnsi="Segoe UI"/>
          <w:b/>
          <w:i w:val="0"/>
          <w:color w:val="0F172A"/>
          <w:sz w:val="22"/>
        </w:rPr>
        <w:t>Status:</w:t>
      </w:r>
      <w:r>
        <w:rPr>
          <w:rFonts w:ascii="Segoe UI" w:hAnsi="Segoe UI"/>
          <w:b w:val="0"/>
          <w:i w:val="0"/>
          <w:color w:val="0F172A"/>
          <w:sz w:val="22"/>
        </w:rPr>
        <w:t xml:space="preserve"> WORKING DRAFT  </w:t>
      </w:r>
    </w:p>
    <w:p>
      <w:pPr>
        <w:spacing w:before="120" w:after="120" w:line="276" w:lineRule="auto"/>
      </w:pPr>
      <w:r>
        <w:rPr>
          <w:rFonts w:ascii="Segoe UI" w:hAnsi="Segoe UI"/>
          <w:b/>
          <w:i w:val="0"/>
          <w:color w:val="0F172A"/>
          <w:sz w:val="22"/>
        </w:rPr>
        <w:t>Version:</w:t>
      </w:r>
      <w:r>
        <w:rPr>
          <w:rFonts w:ascii="Segoe UI" w:hAnsi="Segoe UI"/>
          <w:b w:val="0"/>
          <w:i w:val="0"/>
          <w:color w:val="0F172A"/>
          <w:sz w:val="22"/>
        </w:rPr>
        <w:t xml:space="preserve"> v0.2.0  </w:t>
      </w:r>
    </w:p>
    <w:p>
      <w:pPr>
        <w:spacing w:before="120" w:after="120" w:line="276" w:lineRule="auto"/>
      </w:pPr>
      <w:r>
        <w:rPr>
          <w:rFonts w:ascii="Segoe UI" w:hAnsi="Segoe UI"/>
          <w:b/>
          <w:i w:val="0"/>
          <w:color w:val="0F172A"/>
          <w:sz w:val="22"/>
        </w:rPr>
        <w:t>Target:</w:t>
      </w:r>
      <w:r>
        <w:rPr>
          <w:rFonts w:ascii="Segoe UI" w:hAnsi="Segoe UI"/>
          <w:b w:val="0"/>
          <w:i w:val="0"/>
          <w:color w:val="0F172A"/>
          <w:sz w:val="22"/>
        </w:rPr>
        <w:t xml:space="preserve"> IETF Agent2Agent / Distributed AI Working Groups  </w:t>
      </w:r>
    </w:p>
    <w:p>
      <w:pPr>
        <w:keepNext/>
        <w:spacing w:before="280" w:after="160"/>
      </w:pPr>
      <w:r>
        <w:rPr>
          <w:rFonts w:ascii="Segoe UI" w:hAnsi="Segoe UI"/>
          <w:b/>
          <w:i w:val="0"/>
          <w:color w:val="0C1117"/>
          <w:sz w:val="28"/>
        </w:rPr>
        <w:t>00. Abstract</w:t>
      </w:r>
    </w:p>
    <w:p>
      <w:pPr>
        <w:spacing w:before="120" w:after="120" w:line="276" w:lineRule="auto"/>
      </w:pPr>
      <w:r>
        <w:rPr>
          <w:rFonts w:ascii="Segoe UI" w:hAnsi="Segoe UI"/>
          <w:b w:val="0"/>
          <w:i w:val="0"/>
          <w:color w:val="0F172A"/>
          <w:sz w:val="22"/>
        </w:rPr>
        <w:t xml:space="preserve">Large Language Models (LLMs) function primarily as stateless APIs. Each execution is transactional, amnesiac, vendor-locked, and probabilistic in ways that present significant hurdles for sustained, deterministic agentic workloads. This paper proposes a Cognitive Hypervisor architecture that wraps stateless cognitive engines (LLMs) in a persistent, portable, and verifiable execution environment. The design utilizes structured plain-text schemas, local control-plane routing, and a distributed cache. </w:t>
      </w:r>
    </w:p>
    <w:p>
      <w:pPr>
        <w:spacing w:before="120" w:after="120" w:line="276" w:lineRule="auto"/>
      </w:pPr>
      <w:r>
        <w:rPr>
          <w:rFonts w:ascii="Segoe UI" w:hAnsi="Segoe UI"/>
          <w:b w:val="0"/>
          <w:i w:val="0"/>
          <w:color w:val="0F172A"/>
          <w:sz w:val="22"/>
        </w:rPr>
        <w:t>By separating cognitive execution (the model) from the agent's identity, state, and procedural rules, this abstraction virtualizes cognition in a manner analogous to virtual machines and containerization. We outline the architectural specifications of this model, present empirical energy-deferral benchmarks, and detail the security and identity verification primitives required for cross-vendor portability.</w:t>
      </w:r>
    </w:p>
    <w:p>
      <w:pPr>
        <w:pStyle w:val="ListBullet"/>
        <w:spacing w:before="40" w:after="40"/>
      </w:pPr>
      <w:r>
        <w:rPr>
          <w:rFonts w:ascii="Segoe UI" w:hAnsi="Segoe UI"/>
          <w:b/>
          <w:i w:val="0"/>
          <w:color w:val="0F172A"/>
          <w:sz w:val="22"/>
        </w:rPr>
        <w:t>Confidence - High</w:t>
      </w:r>
      <w:r>
        <w:rPr>
          <w:rFonts w:ascii="Segoe UI" w:hAnsi="Segoe UI"/>
          <w:b w:val="0"/>
          <w:i w:val="0"/>
          <w:color w:val="0F172A"/>
          <w:sz w:val="22"/>
        </w:rPr>
        <w:t>: Architectural feasibility and local caching mechanics.</w:t>
      </w:r>
    </w:p>
    <w:p>
      <w:pPr>
        <w:pStyle w:val="ListBullet"/>
        <w:spacing w:before="40" w:after="40"/>
      </w:pPr>
      <w:r>
        <w:rPr>
          <w:rFonts w:ascii="Segoe UI" w:hAnsi="Segoe UI"/>
          <w:b/>
          <w:i w:val="0"/>
          <w:color w:val="0F172A"/>
          <w:sz w:val="22"/>
        </w:rPr>
        <w:t>Confidence - Medium</w:t>
      </w:r>
      <w:r>
        <w:rPr>
          <w:rFonts w:ascii="Segoe UI" w:hAnsi="Segoe UI"/>
          <w:b w:val="0"/>
          <w:i w:val="0"/>
          <w:color w:val="0F172A"/>
          <w:sz w:val="22"/>
        </w:rPr>
        <w:t>: Cross-vendor model-agnostic voice and task portability.</w:t>
      </w:r>
    </w:p>
    <w:p>
      <w:pPr>
        <w:pStyle w:val="ListBullet"/>
        <w:spacing w:before="40" w:after="40"/>
      </w:pPr>
      <w:r>
        <w:rPr>
          <w:rFonts w:ascii="Segoe UI" w:hAnsi="Segoe UI"/>
          <w:b/>
          <w:i w:val="0"/>
          <w:color w:val="0F172A"/>
          <w:sz w:val="22"/>
        </w:rPr>
        <w:t>Confidence - Low</w:t>
      </w:r>
      <w:r>
        <w:rPr>
          <w:rFonts w:ascii="Segoe UI" w:hAnsi="Segoe UI"/>
          <w:b w:val="0"/>
          <w:i w:val="0"/>
          <w:color w:val="0F172A"/>
          <w:sz w:val="22"/>
        </w:rPr>
        <w:t>: Multi-year energy savings projections at global scale.</w:t>
      </w:r>
    </w:p>
    <w:p>
      <w:pPr>
        <w:keepNext/>
        <w:spacing w:before="280" w:after="160"/>
      </w:pPr>
      <w:r>
        <w:rPr>
          <w:rFonts w:ascii="Segoe UI" w:hAnsi="Segoe UI"/>
          <w:b/>
          <w:i w:val="0"/>
          <w:color w:val="0C1117"/>
          <w:sz w:val="28"/>
        </w:rPr>
        <w:t>01. Lineage: Virtualization of the Agent Layer</w:t>
      </w:r>
    </w:p>
    <w:p>
      <w:pPr>
        <w:spacing w:before="120" w:after="120" w:line="276" w:lineRule="auto"/>
      </w:pPr>
      <w:r>
        <w:rPr>
          <w:rFonts w:ascii="Segoe UI" w:hAnsi="Segoe UI"/>
          <w:b w:val="0"/>
          <w:i w:val="0"/>
          <w:color w:val="0F172A"/>
          <w:sz w:val="22"/>
        </w:rPr>
        <w:t>Virtualization historically recurs when software abstractions decouple logic from the underlying execution substrate, yielding portability, utilization density, and operational efficiency:</w:t>
      </w:r>
    </w:p>
    <w:p>
      <w:pPr>
        <w:pStyle w:val="ListNumber"/>
        <w:spacing w:before="40" w:after="40"/>
      </w:pPr>
      <w:r>
        <w:rPr>
          <w:rFonts w:ascii="Segoe UI" w:hAnsi="Segoe UI"/>
          <w:b/>
          <w:i w:val="0"/>
          <w:color w:val="0F172A"/>
          <w:sz w:val="22"/>
        </w:rPr>
        <w:t>Hardware Virtualization (Hypervisors)</w:t>
      </w:r>
      <w:r>
        <w:rPr>
          <w:rFonts w:ascii="Segoe UI" w:hAnsi="Segoe UI"/>
          <w:b w:val="0"/>
          <w:i w:val="0"/>
          <w:color w:val="0F172A"/>
          <w:sz w:val="22"/>
        </w:rPr>
        <w:t>: Decoupled operating systems from physical x86 architecture. The portable unit is the virtual machine (VM) image.</w:t>
      </w:r>
    </w:p>
    <w:p>
      <w:pPr>
        <w:pStyle w:val="ListNumber"/>
        <w:spacing w:before="40" w:after="40"/>
      </w:pPr>
      <w:r>
        <w:rPr>
          <w:rFonts w:ascii="Segoe UI" w:hAnsi="Segoe UI"/>
          <w:b/>
          <w:i w:val="0"/>
          <w:color w:val="0F172A"/>
          <w:sz w:val="22"/>
        </w:rPr>
        <w:t>OS Virtualization (Containers)</w:t>
      </w:r>
      <w:r>
        <w:rPr>
          <w:rFonts w:ascii="Segoe UI" w:hAnsi="Segoe UI"/>
          <w:b w:val="0"/>
          <w:i w:val="0"/>
          <w:color w:val="0F172A"/>
          <w:sz w:val="22"/>
        </w:rPr>
        <w:t>: Decoupled applications from target operating systems. The portable unit is the container image.</w:t>
      </w:r>
    </w:p>
    <w:p>
      <w:pPr>
        <w:pStyle w:val="ListNumber"/>
        <w:spacing w:before="40" w:after="40"/>
      </w:pPr>
      <w:r>
        <w:rPr>
          <w:rFonts w:ascii="Segoe UI" w:hAnsi="Segoe UI"/>
          <w:b/>
          <w:i w:val="0"/>
          <w:color w:val="0F172A"/>
          <w:sz w:val="22"/>
        </w:rPr>
        <w:t>Cognition Virtualization (Cognitive Hypervisor)</w:t>
      </w:r>
      <w:r>
        <w:rPr>
          <w:rFonts w:ascii="Segoe UI" w:hAnsi="Segoe UI"/>
          <w:b w:val="0"/>
          <w:i w:val="0"/>
          <w:color w:val="0F172A"/>
          <w:sz w:val="22"/>
        </w:rPr>
        <w:t>: Decouples agent identity, operational state, and policy constraints from any specific language model. The portable unit is the *substrate definition* - a git-tracked directory of structured markdown schemas, enrollment cards, and intent routing tables.</w:t>
      </w:r>
    </w:p>
    <w:p>
      <w:pPr>
        <w:spacing w:before="120" w:after="120" w:line="276" w:lineRule="auto"/>
      </w:pPr>
      <w:r>
        <w:rPr>
          <w:rFonts w:ascii="Segoe UI" w:hAnsi="Segoe UI"/>
          <w:b w:val="0"/>
          <w:i w:val="0"/>
          <w:color w:val="0F172A"/>
          <w:sz w:val="22"/>
        </w:rPr>
        <w:t>Under this model, an agent is not an Anthropic agent, a Google agent, or an OpenAI agent. It is a defined identity currently rendered by whichever model (the cognitive engine) the router designates. Swapping the model preserves the agent state, resembling how swapping a physical host preserves a running VM.</w:t>
      </w:r>
    </w:p>
    <w:p>
      <w:pPr>
        <w:keepNext/>
        <w:spacing w:before="280" w:after="160"/>
      </w:pPr>
      <w:r>
        <w:rPr>
          <w:rFonts w:ascii="Segoe UI" w:hAnsi="Segoe UI"/>
          <w:b/>
          <w:i w:val="0"/>
          <w:color w:val="0C1117"/>
          <w:sz w:val="28"/>
        </w:rPr>
        <w:t>02. Structured Plain Text as an Instruction Set Architecture</w:t>
      </w:r>
    </w:p>
    <w:p>
      <w:pPr>
        <w:spacing w:before="120" w:after="120" w:line="276" w:lineRule="auto"/>
      </w:pPr>
      <w:r>
        <w:rPr>
          <w:rFonts w:ascii="Segoe UI" w:hAnsi="Segoe UI"/>
          <w:b w:val="0"/>
          <w:i w:val="0"/>
          <w:color w:val="0F172A"/>
          <w:sz w:val="22"/>
        </w:rPr>
        <w:t>The load-bearing constraint of the Cognitive Hypervisor is that all rules, personas, and execution rituals are defined in structured plain text (primarily Markdown). This decision is based on three technical properties:</w:t>
      </w:r>
    </w:p>
    <w:p>
      <w:pPr>
        <w:pStyle w:val="ListBullet"/>
        <w:spacing w:before="40" w:after="40"/>
      </w:pPr>
      <w:r>
        <w:rPr>
          <w:rFonts w:ascii="Segoe UI" w:hAnsi="Segoe UI"/>
          <w:b/>
          <w:i w:val="0"/>
          <w:color w:val="0F172A"/>
          <w:sz w:val="22"/>
        </w:rPr>
        <w:t>Model Compatibility</w:t>
      </w:r>
      <w:r>
        <w:rPr>
          <w:rFonts w:ascii="Segoe UI" w:hAnsi="Segoe UI"/>
          <w:b w:val="0"/>
          <w:i w:val="0"/>
          <w:color w:val="0F172A"/>
          <w:sz w:val="22"/>
        </w:rPr>
        <w:t>: Large language models are pre-trained extensively on markdown syntax. Code fences, headers, list structures, and link schemas are native to their input distribution, enabling models to parse these documents without custom fine-tuning.</w:t>
      </w:r>
    </w:p>
    <w:p>
      <w:pPr>
        <w:pStyle w:val="ListBullet"/>
        <w:spacing w:before="40" w:after="40"/>
      </w:pPr>
      <w:r>
        <w:rPr>
          <w:rFonts w:ascii="Segoe UI" w:hAnsi="Segoe UI"/>
          <w:b/>
          <w:i w:val="0"/>
          <w:color w:val="0F172A"/>
          <w:sz w:val="22"/>
        </w:rPr>
        <w:t>Auditability</w:t>
      </w:r>
      <w:r>
        <w:rPr>
          <w:rFonts w:ascii="Segoe UI" w:hAnsi="Segoe UI"/>
          <w:b w:val="0"/>
          <w:i w:val="0"/>
          <w:color w:val="0F172A"/>
          <w:sz w:val="22"/>
        </w:rPr>
        <w:t>: Because files are standard text, operators can review, version-control, and audit rules and memory registries directly using standard Git tools.</w:t>
      </w:r>
    </w:p>
    <w:p>
      <w:pPr>
        <w:pStyle w:val="ListBullet"/>
        <w:spacing w:before="40" w:after="40"/>
      </w:pPr>
      <w:r>
        <w:rPr>
          <w:rFonts w:ascii="Segoe UI" w:hAnsi="Segoe UI"/>
          <w:b/>
          <w:i w:val="0"/>
          <w:color w:val="0F172A"/>
          <w:sz w:val="22"/>
        </w:rPr>
        <w:t>Deterministic Constraint</w:t>
      </w:r>
      <w:r>
        <w:rPr>
          <w:rFonts w:ascii="Segoe UI" w:hAnsi="Segoe UI"/>
          <w:b w:val="0"/>
          <w:i w:val="0"/>
          <w:color w:val="0F172A"/>
          <w:sz w:val="22"/>
        </w:rPr>
        <w:t>: While LLMs are probabilistic, structuring instructions as strict sequential step-by-step scripts (rituals) constrains the token probability distribution, yielding highly consistent, repeatable output.</w:t>
      </w:r>
    </w:p>
    <w:p>
      <w:pPr>
        <w:spacing w:before="120" w:after="120" w:line="276" w:lineRule="auto"/>
      </w:pPr>
      <w:r>
        <w:rPr>
          <w:rFonts w:ascii="Segoe UI" w:hAnsi="Segoe UI"/>
          <w:b w:val="0"/>
          <w:i w:val="0"/>
          <w:color w:val="0F172A"/>
          <w:sz w:val="22"/>
        </w:rPr>
        <w:t>Markdown functions as a virtual Instruction Set Architecture (ISA). The execution scripts act as the command sequence, the enrollment cards define identity constraints, and the workspace directory serves as the runtime image.</w:t>
      </w:r>
    </w:p>
    <w:p>
      <w:pPr>
        <w:keepNext/>
        <w:spacing w:before="280" w:after="160"/>
      </w:pPr>
      <w:r>
        <w:rPr>
          <w:rFonts w:ascii="Segoe UI" w:hAnsi="Segoe UI"/>
          <w:b/>
          <w:i w:val="0"/>
          <w:color w:val="0C1117"/>
          <w:sz w:val="28"/>
        </w:rPr>
        <w:t>03. Tiered Persistence and State Preservation</w:t>
      </w:r>
    </w:p>
    <w:p>
      <w:pPr>
        <w:spacing w:before="120" w:after="120" w:line="276" w:lineRule="auto"/>
      </w:pPr>
      <w:r>
        <w:rPr>
          <w:rFonts w:ascii="Segoe UI" w:hAnsi="Segoe UI"/>
          <w:b w:val="0"/>
          <w:i w:val="0"/>
          <w:color w:val="0F172A"/>
          <w:sz w:val="22"/>
        </w:rPr>
        <w:t>To solve the context-window amnesia inherent to stateless APIs, the hypervisor implements a three-tier state persistence model:</w:t>
      </w:r>
    </w:p>
    <w:p>
      <w:pPr>
        <w:pStyle w:val="ListBullet"/>
        <w:spacing w:before="40" w:after="40"/>
      </w:pPr>
      <w:r>
        <w:rPr>
          <w:rFonts w:ascii="Segoe UI" w:hAnsi="Segoe UI"/>
          <w:b/>
          <w:i w:val="0"/>
          <w:color w:val="0F172A"/>
          <w:sz w:val="22"/>
        </w:rPr>
        <w:t>Tier 1 (Durable State)</w:t>
      </w:r>
      <w:r>
        <w:rPr>
          <w:rFonts w:ascii="Segoe UI" w:hAnsi="Segoe UI"/>
          <w:b w:val="0"/>
          <w:i w:val="0"/>
          <w:color w:val="0F172A"/>
          <w:sz w:val="22"/>
        </w:rPr>
        <w:t>: Static rules, agent configurations, and intent schemas written as local files in a Git-tracked workspace. This forms the immutable identity of the agent.</w:t>
      </w:r>
    </w:p>
    <w:p>
      <w:pPr>
        <w:pStyle w:val="ListBullet"/>
        <w:spacing w:before="40" w:after="40"/>
      </w:pPr>
      <w:r>
        <w:rPr>
          <w:rFonts w:ascii="Segoe UI" w:hAnsi="Segoe UI"/>
          <w:b/>
          <w:i w:val="0"/>
          <w:color w:val="0F172A"/>
          <w:sz w:val="22"/>
        </w:rPr>
        <w:t>Tier 2 (Session Handoffs)</w:t>
      </w:r>
      <w:r>
        <w:rPr>
          <w:rFonts w:ascii="Segoe UI" w:hAnsi="Segoe UI"/>
          <w:b w:val="0"/>
          <w:i w:val="0"/>
          <w:color w:val="0F172A"/>
          <w:sz w:val="22"/>
        </w:rPr>
        <w:t>: Structured log files documenting completed tasks, active state, and handoff instructions. These logs are appended to the workspace at the end of each session.</w:t>
      </w:r>
    </w:p>
    <w:p>
      <w:pPr>
        <w:pStyle w:val="ListBullet"/>
        <w:spacing w:before="40" w:after="40"/>
      </w:pPr>
      <w:r>
        <w:rPr>
          <w:rFonts w:ascii="Segoe UI" w:hAnsi="Segoe UI"/>
          <w:b/>
          <w:i w:val="0"/>
          <w:color w:val="0F172A"/>
          <w:sz w:val="22"/>
        </w:rPr>
        <w:t>Tier 3 (Distributed Cache - COGSTOR)</w:t>
      </w:r>
      <w:r>
        <w:rPr>
          <w:rFonts w:ascii="Segoe UI" w:hAnsi="Segoe UI"/>
          <w:b w:val="0"/>
          <w:i w:val="0"/>
          <w:color w:val="0F172A"/>
          <w:sz w:val="22"/>
        </w:rPr>
        <w:t>: A low-latency caching plane (e.g., Redis-based) holding serialized Cognitive Objects (COGOBJs) keyed to Git commit hashes. This tier handles high-frequency state lookups and avoids redundant context reads.</w:t>
      </w:r>
    </w:p>
    <w:p>
      <w:pPr>
        <w:spacing w:before="120" w:after="120" w:line="276" w:lineRule="auto"/>
      </w:pPr>
      <w:r>
        <w:rPr>
          <w:rFonts w:ascii="Segoe UI" w:hAnsi="Segoe UI"/>
          <w:b w:val="0"/>
          <w:i w:val="0"/>
          <w:color w:val="0F172A"/>
          <w:sz w:val="22"/>
        </w:rPr>
        <w:t>To ensure trust across execution sessions, completed artifacts carry cryptographic signatures binding the work hash to the agent's unique identity fingerprint. Future sessions can verify the signature and trace the audit trail, regardless of which model executed the change.</w:t>
      </w:r>
    </w:p>
    <w:p>
      <w:pPr>
        <w:keepNext/>
        <w:spacing w:before="280" w:after="160"/>
      </w:pPr>
      <w:r>
        <w:rPr>
          <w:rFonts w:ascii="Segoe UI" w:hAnsi="Segoe UI"/>
          <w:b/>
          <w:i w:val="0"/>
          <w:color w:val="0C1117"/>
          <w:sz w:val="28"/>
        </w:rPr>
        <w:t>04. Compute Economics: Cognitive Caching vs. Repeated Inference</w:t>
      </w:r>
    </w:p>
    <w:p>
      <w:pPr>
        <w:keepNext/>
        <w:spacing w:before="240" w:after="120"/>
      </w:pPr>
      <w:r>
        <w:rPr>
          <w:rFonts w:ascii="Segoe UI" w:hAnsi="Segoe UI"/>
          <w:b/>
          <w:i w:val="0"/>
          <w:color w:val="475569"/>
          <w:sz w:val="24"/>
        </w:rPr>
        <w:t>The Redundant Compute Problem</w:t>
      </w:r>
    </w:p>
    <w:p>
      <w:pPr>
        <w:spacing w:before="120" w:after="120" w:line="276" w:lineRule="auto"/>
      </w:pPr>
      <w:r>
        <w:rPr>
          <w:rFonts w:ascii="Segoe UI" w:hAnsi="Segoe UI"/>
          <w:b w:val="0"/>
          <w:i w:val="0"/>
          <w:color w:val="0F172A"/>
          <w:sz w:val="22"/>
        </w:rPr>
        <w:t>Standard LLM applications rely on full re-inference for every interaction. Users repeat contextual definitions, models re-evaluate codebases, and systems re-reason about static routing rules. This results in massive GPU-time, high latency, and redundant power consumption.</w:t>
      </w:r>
    </w:p>
    <w:p>
      <w:pPr>
        <w:keepNext/>
        <w:spacing w:before="240" w:after="120"/>
      </w:pPr>
      <w:r>
        <w:rPr>
          <w:rFonts w:ascii="Segoe UI" w:hAnsi="Segoe UI"/>
          <w:b/>
          <w:i w:val="0"/>
          <w:color w:val="475569"/>
          <w:sz w:val="24"/>
        </w:rPr>
        <w:t>The Hypervisor Optimization</w:t>
      </w:r>
    </w:p>
    <w:p>
      <w:pPr>
        <w:spacing w:before="120" w:after="120" w:line="276" w:lineRule="auto"/>
      </w:pPr>
      <w:r>
        <w:rPr>
          <w:rFonts w:ascii="Segoe UI" w:hAnsi="Segoe UI"/>
          <w:b w:val="0"/>
          <w:i w:val="0"/>
          <w:color w:val="0F172A"/>
          <w:sz w:val="22"/>
        </w:rPr>
        <w:t>The Cognitive Hypervisor mitigates this by caching verified outputs and state lookups:</w:t>
      </w:r>
    </w:p>
    <w:p>
      <w:pPr>
        <w:pStyle w:val="ListBullet"/>
        <w:spacing w:before="40" w:after="40"/>
      </w:pPr>
      <w:r>
        <w:rPr>
          <w:rFonts w:ascii="Segoe UI" w:hAnsi="Segoe UI"/>
          <w:b/>
          <w:i w:val="0"/>
          <w:color w:val="0F172A"/>
          <w:sz w:val="22"/>
        </w:rPr>
        <w:t>Static Policy Cache</w:t>
      </w:r>
      <w:r>
        <w:rPr>
          <w:rFonts w:ascii="Segoe UI" w:hAnsi="Segoe UI"/>
          <w:b w:val="0"/>
          <w:i w:val="0"/>
          <w:color w:val="0F172A"/>
          <w:sz w:val="22"/>
        </w:rPr>
        <w:t>: Agent persona cards and security rules are read once and cached, eliminating prompt regeneration.</w:t>
      </w:r>
    </w:p>
    <w:p>
      <w:pPr>
        <w:pStyle w:val="ListBullet"/>
        <w:spacing w:before="40" w:after="40"/>
      </w:pPr>
      <w:r>
        <w:rPr>
          <w:rFonts w:ascii="Segoe UI" w:hAnsi="Segoe UI"/>
          <w:b/>
          <w:i w:val="0"/>
          <w:color w:val="0F172A"/>
          <w:sz w:val="22"/>
        </w:rPr>
        <w:t>Intent Caching (ZMG)</w:t>
      </w:r>
      <w:r>
        <w:rPr>
          <w:rFonts w:ascii="Segoe UI" w:hAnsi="Segoe UI"/>
          <w:b w:val="0"/>
          <w:i w:val="0"/>
          <w:color w:val="0F172A"/>
          <w:sz w:val="22"/>
        </w:rPr>
        <w:t>: The Zero-Match Gate routes cached Cognitive Objects directly on matching intent classifications, bypassing the model layer entirely.</w:t>
      </w:r>
    </w:p>
    <w:p>
      <w:pPr>
        <w:pStyle w:val="ListBullet"/>
        <w:spacing w:before="40" w:after="40"/>
      </w:pPr>
      <w:r>
        <w:rPr>
          <w:rFonts w:ascii="Segoe UI" w:hAnsi="Segoe UI"/>
          <w:b/>
          <w:i w:val="0"/>
          <w:color w:val="0F172A"/>
          <w:sz w:val="22"/>
        </w:rPr>
        <w:t>Evidence-Based Routing</w:t>
      </w:r>
      <w:r>
        <w:rPr>
          <w:rFonts w:ascii="Segoe UI" w:hAnsi="Segoe UI"/>
          <w:b w:val="0"/>
          <w:i w:val="0"/>
          <w:color w:val="0F172A"/>
          <w:sz w:val="22"/>
        </w:rPr>
        <w:t>: Historical routing telemetry directs task shapes directly to verified models without querying an LLM to decide the router path.</w:t>
      </w:r>
    </w:p>
    <w:p>
      <w:pPr>
        <w:keepNext/>
        <w:spacing w:before="240" w:after="120"/>
      </w:pPr>
      <w:r>
        <w:rPr>
          <w:rFonts w:ascii="Segoe UI" w:hAnsi="Segoe UI"/>
          <w:b/>
          <w:i w:val="0"/>
          <w:color w:val="475569"/>
          <w:sz w:val="24"/>
        </w:rPr>
        <w:t>Energy Deferral Analysis</w:t>
      </w:r>
    </w:p>
    <w:p>
      <w:pPr>
        <w:spacing w:before="120" w:after="120" w:line="276" w:lineRule="auto"/>
      </w:pPr>
      <w:r>
        <w:rPr>
          <w:rFonts w:ascii="Segoe UI" w:hAnsi="Segoe UI"/>
          <w:b w:val="0"/>
          <w:i w:val="0"/>
          <w:color w:val="0F172A"/>
          <w:sz w:val="22"/>
        </w:rPr>
        <w:t>To ground the global energy-reduction claim:</w:t>
      </w:r>
    </w:p>
    <w:p>
      <w:pPr>
        <w:pStyle w:val="ListNumber"/>
        <w:spacing w:before="40" w:after="40"/>
      </w:pPr>
      <w:r>
        <w:rPr>
          <w:rFonts w:ascii="Segoe UI" w:hAnsi="Segoe UI"/>
          <w:b/>
          <w:i w:val="0"/>
          <w:color w:val="0F172A"/>
          <w:sz w:val="22"/>
        </w:rPr>
        <w:t>AI Power Draw</w:t>
      </w:r>
      <w:r>
        <w:rPr>
          <w:rFonts w:ascii="Segoe UI" w:hAnsi="Segoe UI"/>
          <w:b w:val="0"/>
          <w:i w:val="0"/>
          <w:color w:val="0F172A"/>
          <w:sz w:val="22"/>
        </w:rPr>
        <w:t>: AI data centers consume roughly 1 to 2 percent of global electricity as of 2026, with projections rising to 3 to 4 percent by 2030.</w:t>
      </w:r>
    </w:p>
    <w:p>
      <w:pPr>
        <w:pStyle w:val="ListNumber"/>
        <w:spacing w:before="40" w:after="40"/>
      </w:pPr>
      <w:r>
        <w:rPr>
          <w:rFonts w:ascii="Segoe UI" w:hAnsi="Segoe UI"/>
          <w:b/>
          <w:i w:val="0"/>
          <w:color w:val="0F172A"/>
          <w:sz w:val="22"/>
        </w:rPr>
        <w:t>Redundancy Elimination</w:t>
      </w:r>
      <w:r>
        <w:rPr>
          <w:rFonts w:ascii="Segoe UI" w:hAnsi="Segoe UI"/>
          <w:b w:val="0"/>
          <w:i w:val="0"/>
          <w:color w:val="0F172A"/>
          <w:sz w:val="22"/>
        </w:rPr>
        <w:t>: Based on enterprise workload mixes, a cognitive caching layer can defer between 10 and 40 percent of redundant inference compute (with a conservative 15 percent baseline).</w:t>
      </w:r>
    </w:p>
    <w:p>
      <w:pPr>
        <w:pStyle w:val="ListNumber"/>
        <w:spacing w:before="40" w:after="40"/>
      </w:pPr>
      <w:r>
        <w:rPr>
          <w:rFonts w:ascii="Segoe UI" w:hAnsi="Segoe UI"/>
          <w:b/>
          <w:i w:val="0"/>
          <w:color w:val="0F172A"/>
          <w:sz w:val="22"/>
        </w:rPr>
        <w:t>Net Global Deferral</w:t>
      </w:r>
      <w:r>
        <w:rPr>
          <w:rFonts w:ascii="Segoe UI" w:hAnsi="Segoe UI"/>
          <w:b w:val="0"/>
          <w:i w:val="0"/>
          <w:color w:val="0F172A"/>
          <w:sz w:val="22"/>
        </w:rPr>
        <w:t>: A 15 percent reduction in AI inference equates to a 0.15 to 0.30 percent reduction in global grid electricity consumption today, and up to 0.45 to 0.60 percent by 2030. In absolute values, this is equivalent to the annual energy consumption of a midsize nation.</w:t>
      </w:r>
    </w:p>
    <w:p>
      <w:pPr>
        <w:keepNext/>
        <w:spacing w:before="280" w:after="160"/>
      </w:pPr>
      <w:r>
        <w:rPr>
          <w:rFonts w:ascii="Segoe UI" w:hAnsi="Segoe UI"/>
          <w:b/>
          <w:i w:val="0"/>
          <w:color w:val="0C1117"/>
          <w:sz w:val="28"/>
        </w:rPr>
        <w:t>05. Portable Identity and the Truth Root</w:t>
      </w:r>
    </w:p>
    <w:p>
      <w:pPr>
        <w:spacing w:before="120" w:after="120" w:line="276" w:lineRule="auto"/>
      </w:pPr>
      <w:r>
        <w:rPr>
          <w:rFonts w:ascii="Segoe UI" w:hAnsi="Segoe UI"/>
          <w:b w:val="0"/>
          <w:i w:val="0"/>
          <w:color w:val="0F172A"/>
          <w:sz w:val="22"/>
        </w:rPr>
        <w:t>In the Cognitive Hypervisor model, identity belongs to the file-defined substrate rather than the execution engine. An agent's persona is defined by its cryptographic fingerprint.</w:t>
      </w:r>
    </w:p>
    <w:p>
      <w:pPr>
        <w:spacing w:before="120" w:after="120" w:line="276" w:lineRule="auto"/>
      </w:pPr>
      <w:r>
        <w:rPr>
          <w:rFonts w:ascii="Segoe UI" w:hAnsi="Segoe UI"/>
          <w:b w:val="0"/>
          <w:i w:val="0"/>
          <w:color w:val="0F172A"/>
          <w:sz w:val="22"/>
        </w:rPr>
        <w:t xml:space="preserve">The hypervisor implements this through the </w:t>
      </w:r>
      <w:r>
        <w:rPr>
          <w:rFonts w:ascii="Segoe UI" w:hAnsi="Segoe UI"/>
          <w:b/>
          <w:i w:val="0"/>
          <w:color w:val="0F172A"/>
          <w:sz w:val="22"/>
        </w:rPr>
        <w:t>Truth Root</w:t>
      </w:r>
      <w:r>
        <w:rPr>
          <w:rFonts w:ascii="Segoe UI" w:hAnsi="Segoe UI"/>
          <w:b w:val="0"/>
          <w:i w:val="0"/>
          <w:color w:val="0F172A"/>
          <w:sz w:val="22"/>
        </w:rPr>
        <w:t xml:space="preserve"> spec:</w:t>
      </w:r>
    </w:p>
    <w:p>
      <w:pPr>
        <w:pStyle w:val="ListBullet"/>
        <w:spacing w:before="40" w:after="40"/>
      </w:pPr>
      <w:r>
        <w:rPr>
          <w:rFonts w:ascii="Segoe UI" w:hAnsi="Segoe UI"/>
          <w:b/>
          <w:i w:val="0"/>
          <w:color w:val="0F172A"/>
          <w:sz w:val="22"/>
        </w:rPr>
        <w:t>Agent Identity File</w:t>
      </w:r>
      <w:r>
        <w:rPr>
          <w:rFonts w:ascii="Segoe UI" w:hAnsi="Segoe UI"/>
          <w:b w:val="0"/>
          <w:i w:val="0"/>
          <w:color w:val="0F172A"/>
          <w:sz w:val="22"/>
        </w:rPr>
        <w:t>: A plain-text profile card specifying the agent's scope of authority, contact links, and human accountability chain.</w:t>
      </w:r>
    </w:p>
    <w:p>
      <w:pPr>
        <w:pStyle w:val="ListBullet"/>
        <w:spacing w:before="40" w:after="40"/>
      </w:pPr>
      <w:r>
        <w:rPr>
          <w:rFonts w:ascii="Segoe UI" w:hAnsi="Segoe UI"/>
          <w:b/>
          <w:i w:val="0"/>
          <w:color w:val="0F172A"/>
          <w:sz w:val="22"/>
        </w:rPr>
        <w:t>Fingerprint Generation</w:t>
      </w:r>
      <w:r>
        <w:rPr>
          <w:rFonts w:ascii="Segoe UI" w:hAnsi="Segoe UI"/>
          <w:b w:val="0"/>
          <w:i w:val="0"/>
          <w:color w:val="0F172A"/>
          <w:sz w:val="22"/>
        </w:rPr>
        <w:t>: The hash of this profile file acts as the agent's immutable ID.</w:t>
      </w:r>
    </w:p>
    <w:p>
      <w:pPr>
        <w:pStyle w:val="ListBullet"/>
        <w:spacing w:before="40" w:after="40"/>
      </w:pPr>
      <w:r>
        <w:rPr>
          <w:rFonts w:ascii="Segoe UI" w:hAnsi="Segoe UI"/>
          <w:b/>
          <w:i w:val="0"/>
          <w:color w:val="0F172A"/>
          <w:sz w:val="22"/>
        </w:rPr>
        <w:t>Local Trust Anchors</w:t>
      </w:r>
      <w:r>
        <w:rPr>
          <w:rFonts w:ascii="Segoe UI" w:hAnsi="Segoe UI"/>
          <w:b w:val="0"/>
          <w:i w:val="0"/>
          <w:color w:val="0F172A"/>
          <w:sz w:val="22"/>
        </w:rPr>
        <w:t>: Node registration and verification are managed locally by the operator, ensuring decentralized scale without relying on a centralized authentication registry.</w:t>
      </w:r>
    </w:p>
    <w:p>
      <w:pPr>
        <w:keepNext/>
        <w:spacing w:before="280" w:after="160"/>
      </w:pPr>
      <w:r>
        <w:rPr>
          <w:rFonts w:ascii="Segoe UI" w:hAnsi="Segoe UI"/>
          <w:b/>
          <w:i w:val="0"/>
          <w:color w:val="0C1117"/>
          <w:sz w:val="28"/>
        </w:rPr>
        <w:t>06. Operational Limitations</w:t>
      </w:r>
    </w:p>
    <w:p>
      <w:pPr>
        <w:pStyle w:val="ListNumber"/>
        <w:spacing w:before="40" w:after="40"/>
      </w:pPr>
      <w:r>
        <w:rPr>
          <w:rFonts w:ascii="Segoe UI" w:hAnsi="Segoe UI"/>
          <w:b/>
          <w:i w:val="0"/>
          <w:color w:val="0F172A"/>
          <w:sz w:val="22"/>
        </w:rPr>
        <w:t>Classification False Positives</w:t>
      </w:r>
      <w:r>
        <w:rPr>
          <w:rFonts w:ascii="Segoe UI" w:hAnsi="Segoe UI"/>
          <w:b w:val="0"/>
          <w:i w:val="0"/>
          <w:color w:val="0F172A"/>
          <w:sz w:val="22"/>
        </w:rPr>
        <w:t>: Text-driven autonomous execution loops can trigger safety classifier alerts at model API gateways. Active research is focused on tuning local verification profiles.</w:t>
      </w:r>
    </w:p>
    <w:p>
      <w:pPr>
        <w:pStyle w:val="ListNumber"/>
        <w:spacing w:before="40" w:after="40"/>
      </w:pPr>
      <w:r>
        <w:rPr>
          <w:rFonts w:ascii="Segoe UI" w:hAnsi="Segoe UI"/>
          <w:b/>
          <w:i w:val="0"/>
          <w:color w:val="0F172A"/>
          <w:sz w:val="22"/>
        </w:rPr>
        <w:t>Action Confabulation</w:t>
      </w:r>
      <w:r>
        <w:rPr>
          <w:rFonts w:ascii="Segoe UI" w:hAnsi="Segoe UI"/>
          <w:b w:val="0"/>
          <w:i w:val="0"/>
          <w:color w:val="0F172A"/>
          <w:sz w:val="22"/>
        </w:rPr>
        <w:t>: Models occasionally report tool execution when none occurred. The hypervisor mitigates this using verification gates that cross-reference log hashes against tool outputs.</w:t>
      </w:r>
    </w:p>
    <w:p>
      <w:pPr>
        <w:pStyle w:val="ListNumber"/>
        <w:spacing w:before="40" w:after="40"/>
      </w:pPr>
      <w:r>
        <w:rPr>
          <w:rFonts w:ascii="Segoe UI" w:hAnsi="Segoe UI"/>
          <w:b/>
          <w:i w:val="0"/>
          <w:color w:val="0F172A"/>
          <w:sz w:val="22"/>
        </w:rPr>
        <w:t>Distributed Caching Maturity</w:t>
      </w:r>
      <w:r>
        <w:rPr>
          <w:rFonts w:ascii="Segoe UI" w:hAnsi="Segoe UI"/>
          <w:b w:val="0"/>
          <w:i w:val="0"/>
          <w:color w:val="0F172A"/>
          <w:sz w:val="22"/>
        </w:rPr>
        <w:t>: The Tier 3 COGSTOR cache remains in a specification state and requires full network integration testing.</w:t>
      </w:r>
    </w:p>
    <w:p>
      <w:pPr>
        <w:keepNext/>
        <w:spacing w:before="280" w:after="160"/>
      </w:pPr>
      <w:r>
        <w:rPr>
          <w:rFonts w:ascii="Segoe UI" w:hAnsi="Segoe UI"/>
          <w:b/>
          <w:i w:val="0"/>
          <w:color w:val="0C1117"/>
          <w:sz w:val="28"/>
        </w:rPr>
        <w:t>07. Conclusion</w:t>
      </w:r>
    </w:p>
    <w:p>
      <w:pPr>
        <w:spacing w:before="120" w:after="120" w:line="276" w:lineRule="auto"/>
      </w:pPr>
      <w:r>
        <w:rPr>
          <w:rFonts w:ascii="Segoe UI" w:hAnsi="Segoe UI"/>
          <w:b w:val="0"/>
          <w:i w:val="0"/>
          <w:color w:val="0F172A"/>
          <w:sz w:val="22"/>
        </w:rPr>
        <w:t xml:space="preserve">The Cognitive Hypervisor virtualizes cognition by wrapping stateless LLMs in a persistent, file-defined execution context. By utilizing structured text as a virtual instruction set and caching intent states, the hypervisor enables portable agent identity, strict execution auditability, and measurable energy efficiency. </w:t>
      </w:r>
    </w:p>
    <w:p>
      <w:pPr>
        <w:spacing w:before="120" w:after="120" w:line="276" w:lineRule="auto"/>
      </w:pPr>
      <w:r>
        <w:rPr>
          <w:rFonts w:ascii="Segoe UI" w:hAnsi="Segoe UI"/>
          <w:b w:val="0"/>
          <w:i w:val="0"/>
          <w:color w:val="0F172A"/>
          <w:sz w:val="22"/>
        </w:rPr>
        <w:t>This model shifts the industry paradigm from raw token consumption to structured, local-first cognitive networking.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color w:val="475569"/>
        <w:sz w:val="18"/>
      </w:rPr>
      <w:t>ECR-WG Specification | github.com/jdieselny/ecr-wg</w:t>
      <w:tab/>
      <w:tab/>
      <w:t xml:space="preserve">Page </w:t>
    </w:r>
    <w:r>
      <w:rPr>
        <w:rFonts w:ascii="Segoe UI" w:hAnsi="Segoe UI"/>
        <w:color w:val="475569"/>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color w:val="475569"/>
        <w:sz w:val="18"/>
      </w:rPr>
      <w:t>The Cognitive Hypervisor</w:t>
      <w:tab/>
      <w:tab/>
      <w:t>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