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5D89B4" w14:textId="77777777" w:rsidR="00182D80" w:rsidRPr="006D3CA1" w:rsidRDefault="00182D80" w:rsidP="00182D80">
      <w:pPr>
        <w:pStyle w:val="FirstParagraph"/>
        <w:rPr>
          <w:rFonts w:ascii="Arial" w:hAnsi="Arial" w:cs="Arial"/>
          <w:sz w:val="22"/>
          <w:szCs w:val="22"/>
        </w:rPr>
      </w:pPr>
      <w:r w:rsidRPr="006D3CA1">
        <w:rPr>
          <w:rFonts w:ascii="Arial" w:hAnsi="Arial" w:cs="Arial"/>
          <w:b/>
          <w:bCs/>
          <w:sz w:val="22"/>
          <w:szCs w:val="22"/>
        </w:rPr>
        <w:t>The risk was already there: infectious disease importation at the 2026 FIFA World Cup</w:t>
      </w:r>
    </w:p>
    <w:p w14:paraId="00FBC6CC" w14:textId="77777777" w:rsidR="00182D80" w:rsidRPr="0007255D" w:rsidRDefault="00182D80" w:rsidP="00182D80">
      <w:pPr>
        <w:pStyle w:val="FirstParagraph"/>
        <w:rPr>
          <w:rFonts w:ascii="Arial" w:hAnsi="Arial" w:cs="Arial"/>
          <w:b/>
          <w:bCs/>
          <w:sz w:val="22"/>
          <w:szCs w:val="22"/>
        </w:rPr>
      </w:pPr>
      <w:r w:rsidRPr="0007255D">
        <w:rPr>
          <w:rFonts w:ascii="Arial" w:hAnsi="Arial" w:cs="Arial"/>
          <w:b/>
          <w:bCs/>
          <w:sz w:val="22"/>
          <w:szCs w:val="22"/>
        </w:rPr>
        <w:t>Abstract</w:t>
      </w:r>
    </w:p>
    <w:p w14:paraId="560635C2" w14:textId="77777777" w:rsidR="00182D80" w:rsidRPr="0007255D" w:rsidRDefault="00182D80" w:rsidP="00182D80">
      <w:pPr>
        <w:pStyle w:val="FirstParagraph"/>
        <w:rPr>
          <w:rFonts w:ascii="Arial" w:hAnsi="Arial" w:cs="Arial"/>
          <w:sz w:val="22"/>
          <w:szCs w:val="22"/>
        </w:rPr>
      </w:pPr>
      <w:r w:rsidRPr="0007255D">
        <w:rPr>
          <w:rFonts w:ascii="Arial" w:hAnsi="Arial" w:cs="Arial"/>
          <w:b/>
          <w:bCs/>
          <w:sz w:val="22"/>
          <w:szCs w:val="22"/>
        </w:rPr>
        <w:t>Objectives:</w:t>
      </w:r>
      <w:r w:rsidRPr="0007255D">
        <w:rPr>
          <w:rFonts w:ascii="Arial" w:hAnsi="Arial" w:cs="Arial"/>
          <w:sz w:val="22"/>
          <w:szCs w:val="22"/>
        </w:rPr>
        <w:t xml:space="preserve"> The 2026 FIFA World Cup will draw an estimated 3.5 million visitors from 48 nations to 11 US host cities. We estimated city-level importation risk for five infectious diseases with propagated uncertainty.</w:t>
      </w:r>
    </w:p>
    <w:p w14:paraId="47492F6A" w14:textId="77777777" w:rsidR="00182D80" w:rsidRPr="0007255D" w:rsidRDefault="00182D80" w:rsidP="00182D80">
      <w:pPr>
        <w:pStyle w:val="BodyText"/>
        <w:rPr>
          <w:rFonts w:ascii="Arial" w:hAnsi="Arial" w:cs="Arial"/>
          <w:sz w:val="22"/>
          <w:szCs w:val="22"/>
        </w:rPr>
      </w:pPr>
      <w:r w:rsidRPr="0007255D">
        <w:rPr>
          <w:rFonts w:ascii="Arial" w:hAnsi="Arial" w:cs="Arial"/>
          <w:b/>
          <w:bCs/>
          <w:sz w:val="22"/>
          <w:szCs w:val="22"/>
        </w:rPr>
        <w:t>Methods:</w:t>
      </w:r>
      <w:r w:rsidRPr="0007255D">
        <w:rPr>
          <w:rFonts w:ascii="Arial" w:hAnsi="Arial" w:cs="Arial"/>
          <w:sz w:val="22"/>
          <w:szCs w:val="22"/>
        </w:rPr>
        <w:t xml:space="preserve"> Three nested Poisson models were fitted: a pre-tournament baseline (M1), a World Cup-adjusted model (M2), and a schedule-driven model (M3) allocating fans by match venue. Parameter uncertainty was propagated via 5,000 Monte Carlo draws. A diaspora extension using US Census data estimated co-national network entry probabilities at 11 host cities and 15 non-venue cities.</w:t>
      </w:r>
    </w:p>
    <w:p w14:paraId="5DACD5F0" w14:textId="77777777" w:rsidR="00182D80" w:rsidRPr="0007255D" w:rsidRDefault="00182D80" w:rsidP="00182D80">
      <w:pPr>
        <w:pStyle w:val="BodyText"/>
        <w:rPr>
          <w:rFonts w:ascii="Arial" w:hAnsi="Arial" w:cs="Arial"/>
          <w:sz w:val="22"/>
          <w:szCs w:val="22"/>
        </w:rPr>
      </w:pPr>
      <w:r w:rsidRPr="0007255D">
        <w:rPr>
          <w:rFonts w:ascii="Arial" w:hAnsi="Arial" w:cs="Arial"/>
          <w:b/>
          <w:bCs/>
          <w:sz w:val="22"/>
          <w:szCs w:val="22"/>
        </w:rPr>
        <w:t>Results:</w:t>
      </w:r>
      <w:r w:rsidRPr="0007255D">
        <w:rPr>
          <w:rFonts w:ascii="Arial" w:hAnsi="Arial" w:cs="Arial"/>
          <w:sz w:val="22"/>
          <w:szCs w:val="22"/>
        </w:rPr>
        <w:t xml:space="preserve"> Under M3, importation probability exceeded 0.99 for dengue at Miami, New York, and Houston (median </w:t>
      </w:r>
      <m:oMath>
        <m:r>
          <m:rPr>
            <m:sty m:val="p"/>
          </m:rPr>
          <w:rPr>
            <w:rFonts w:ascii="Cambria Math" w:hAnsi="Cambria Math" w:cs="Arial"/>
            <w:sz w:val="22"/>
            <w:szCs w:val="22"/>
          </w:rPr>
          <m:t>Λ=</m:t>
        </m:r>
        <m:r>
          <w:rPr>
            <w:rFonts w:ascii="Cambria Math" w:hAnsi="Cambria Math" w:cs="Arial"/>
            <w:sz w:val="22"/>
            <w:szCs w:val="22"/>
          </w:rPr>
          <m:t>45.0</m:t>
        </m:r>
      </m:oMath>
      <w:r w:rsidRPr="0007255D">
        <w:rPr>
          <w:rFonts w:ascii="Arial" w:hAnsi="Arial" w:cs="Arial"/>
          <w:sz w:val="22"/>
          <w:szCs w:val="22"/>
        </w:rPr>
        <w:t>, 95% CI 16.0–92.3) and for malaria at Atlanta and New York. Baseline travel accounted for 86–93% of importations; the World Cup added only 7–14% above this pre-existing risk. Dengue diaspora-network entry probability was highest at Dallas (0.43), Houston (0.39), and Los Angeles (0.35); non-host cities exceeded most venue hubs.</w:t>
      </w:r>
    </w:p>
    <w:p w14:paraId="4A984F9F" w14:textId="77777777" w:rsidR="00182D80" w:rsidRPr="0007255D" w:rsidRDefault="00182D80" w:rsidP="00182D80">
      <w:pPr>
        <w:pStyle w:val="BodyText"/>
        <w:rPr>
          <w:rFonts w:ascii="Arial" w:hAnsi="Arial" w:cs="Arial"/>
          <w:sz w:val="22"/>
          <w:szCs w:val="22"/>
        </w:rPr>
      </w:pPr>
      <w:r w:rsidRPr="0007255D">
        <w:rPr>
          <w:rFonts w:ascii="Arial" w:hAnsi="Arial" w:cs="Arial"/>
          <w:b/>
          <w:bCs/>
          <w:sz w:val="22"/>
          <w:szCs w:val="22"/>
        </w:rPr>
        <w:t>Conclusions:</w:t>
      </w:r>
      <w:r w:rsidRPr="0007255D">
        <w:rPr>
          <w:rFonts w:ascii="Arial" w:hAnsi="Arial" w:cs="Arial"/>
          <w:sz w:val="22"/>
          <w:szCs w:val="22"/>
        </w:rPr>
        <w:t xml:space="preserve"> Dengue is the dominant importation risk (Miami, New York, and Houston); malaria dominates at Atlanta and New York. City-level surveillance with targeted diaspora community outreach in host and non-host cities is warranted. The schedule-driven Poisson framework is directly transferable to future mega-events.</w:t>
      </w:r>
    </w:p>
    <w:p w14:paraId="50337521" w14:textId="77777777" w:rsidR="00182D80" w:rsidRPr="0007255D" w:rsidRDefault="00182D80" w:rsidP="00182D80">
      <w:pPr>
        <w:pStyle w:val="BodyText"/>
        <w:rPr>
          <w:rFonts w:ascii="Arial" w:hAnsi="Arial" w:cs="Arial"/>
          <w:sz w:val="22"/>
          <w:szCs w:val="22"/>
        </w:rPr>
      </w:pPr>
      <w:r w:rsidRPr="0007255D">
        <w:rPr>
          <w:rFonts w:ascii="Arial" w:hAnsi="Arial" w:cs="Arial"/>
          <w:b/>
          <w:bCs/>
          <w:sz w:val="22"/>
          <w:szCs w:val="22"/>
        </w:rPr>
        <w:t>Keywords:</w:t>
      </w:r>
      <w:r w:rsidRPr="0007255D">
        <w:rPr>
          <w:rFonts w:ascii="Arial" w:hAnsi="Arial" w:cs="Arial"/>
          <w:sz w:val="22"/>
          <w:szCs w:val="22"/>
        </w:rPr>
        <w:t xml:space="preserve"> importation risk; FIFA World Cup 2026; dengue; Poisson model; Monte Carlo uncertainty; diaspora networks</w:t>
      </w:r>
    </w:p>
    <w:p w14:paraId="6121622E" w14:textId="77777777" w:rsidR="00182D80" w:rsidRPr="0007255D" w:rsidRDefault="00182D80" w:rsidP="00182D80">
      <w:pPr>
        <w:pStyle w:val="BodyText"/>
        <w:rPr>
          <w:rFonts w:ascii="Arial" w:hAnsi="Arial" w:cs="Arial"/>
          <w:sz w:val="22"/>
          <w:szCs w:val="22"/>
        </w:rPr>
      </w:pPr>
    </w:p>
    <w:p w14:paraId="58C06DD4" w14:textId="77777777" w:rsidR="00182D80" w:rsidRPr="0007255D" w:rsidRDefault="00182D80" w:rsidP="00182D80">
      <w:pPr>
        <w:spacing w:after="160" w:line="278" w:lineRule="auto"/>
        <w:rPr>
          <w:rFonts w:ascii="Arial" w:hAnsi="Arial" w:cs="Arial"/>
          <w:b/>
          <w:bCs/>
          <w:sz w:val="22"/>
          <w:szCs w:val="22"/>
        </w:rPr>
      </w:pPr>
      <w:r w:rsidRPr="0007255D">
        <w:rPr>
          <w:rFonts w:ascii="Arial" w:hAnsi="Arial" w:cs="Arial"/>
          <w:b/>
          <w:bCs/>
          <w:sz w:val="22"/>
          <w:szCs w:val="22"/>
        </w:rPr>
        <w:br w:type="page"/>
      </w:r>
      <w:r w:rsidRPr="0007255D">
        <w:rPr>
          <w:rFonts w:ascii="Arial" w:hAnsi="Arial" w:cs="Arial"/>
          <w:b/>
          <w:bCs/>
          <w:sz w:val="22"/>
          <w:szCs w:val="22"/>
        </w:rPr>
        <w:lastRenderedPageBreak/>
        <w:t>Introduction</w:t>
      </w:r>
    </w:p>
    <w:p w14:paraId="6942462A"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Mass gathering events concentrate infectious disease importation risk by drawing large, diverse international populations into a small number of cities over a short period. The 2026 FIFA World Cup (June 11 – July 19, 2026) is the first edition with 48 participating nations, played across 16 venues in the United States, Canada, and Mexico. The 11 US host cities — Atlanta, Boston, Dallas, Houston, Kansas City, Los Angeles, Miami, New York, Philadelphia, San Francisco, and Seattle — are expected to receive approximately 3.5 million international visitors during the tournament period (1), representing the largest single sporting event in US history. The geographic distribution of all 16 WC2026 stadiums across the three host nations is shown in Supplementary Figure S4.</w:t>
      </w:r>
    </w:p>
    <w:p w14:paraId="2E8AA588" w14:textId="77777777" w:rsidR="00182D80" w:rsidRPr="0007255D" w:rsidRDefault="00182D80" w:rsidP="00182D80">
      <w:pPr>
        <w:pStyle w:val="BodyText"/>
        <w:rPr>
          <w:rFonts w:ascii="Arial" w:hAnsi="Arial" w:cs="Arial"/>
          <w:sz w:val="22"/>
          <w:szCs w:val="22"/>
        </w:rPr>
      </w:pPr>
      <w:r w:rsidRPr="0007255D">
        <w:rPr>
          <w:rFonts w:ascii="Arial" w:hAnsi="Arial" w:cs="Arial"/>
          <w:sz w:val="22"/>
          <w:szCs w:val="22"/>
        </w:rPr>
        <w:t xml:space="preserve">Importation risk analyses preceding past FIFA World Cups have taken different approaches depending on the host country’s disease ecology. Ahead of the 2014 tournament in Brazil, van </w:t>
      </w:r>
      <w:proofErr w:type="spellStart"/>
      <w:r w:rsidRPr="0007255D">
        <w:rPr>
          <w:rFonts w:ascii="Arial" w:hAnsi="Arial" w:cs="Arial"/>
          <w:sz w:val="22"/>
          <w:szCs w:val="22"/>
        </w:rPr>
        <w:t>Panhuis</w:t>
      </w:r>
      <w:proofErr w:type="spellEnd"/>
      <w:r w:rsidRPr="0007255D">
        <w:rPr>
          <w:rFonts w:ascii="Arial" w:hAnsi="Arial" w:cs="Arial"/>
          <w:sz w:val="22"/>
          <w:szCs w:val="22"/>
        </w:rPr>
        <w:t xml:space="preserve"> et al. quantified dengue risk for international visitors using travel volumes and local incidence data (2). For Russia 2018, concerns centered on respiratory and vaccine-preventable infections in a temperate host, rather than vector-borne diseases (3). Qatar 2022 prompted assessments of multiple importation pathways — including dengue, COVID-19, and emerging pathogens — in a densely populated host nation receiving visitors from endemic regions (4). However, those analyses typically relied on regional-level travel aggregates, reported point estimates without uncertainty quantification, and did not account for the role of co-national diaspora communities as secondary amplification networks after importation. A concurrent multi-pathogen assessment for WC2026 by Lessler et al. (5), using the GLEAM-</w:t>
      </w:r>
      <w:proofErr w:type="spellStart"/>
      <w:r w:rsidRPr="0007255D">
        <w:rPr>
          <w:rFonts w:ascii="Arial" w:hAnsi="Arial" w:cs="Arial"/>
          <w:sz w:val="22"/>
          <w:szCs w:val="22"/>
        </w:rPr>
        <w:t>EPIRisk</w:t>
      </w:r>
      <w:proofErr w:type="spellEnd"/>
      <w:r w:rsidRPr="0007255D">
        <w:rPr>
          <w:rFonts w:ascii="Arial" w:hAnsi="Arial" w:cs="Arial"/>
          <w:sz w:val="22"/>
          <w:szCs w:val="22"/>
        </w:rPr>
        <w:t xml:space="preserve"> mobility framework, screened 77 pathogens across importation risk, outbreak potential, and economic impact, identifying dengue, malaria, and seasonal respiratory viruses among the priority pathogens of elevated concern. The present study is complementary to that breadth-first screening: rather than covering the full pathogen space, we provide city-specific quantitative importation estimates with propagated parameter uncertainty and an explicit diaspora seeding pathway for the five highest-risk diseases. The current analysis focuses on the group-stage period (June 2026) rather than the full tournament window extending into July, as travel volumes and disease incidence inputs are calibrated to June.</w:t>
      </w:r>
    </w:p>
    <w:p w14:paraId="17FD17F1" w14:textId="77777777" w:rsidR="00182D80" w:rsidRPr="0007255D" w:rsidRDefault="00182D80" w:rsidP="00182D80">
      <w:pPr>
        <w:pStyle w:val="BodyText"/>
        <w:rPr>
          <w:rFonts w:ascii="Arial" w:hAnsi="Arial" w:cs="Arial"/>
          <w:sz w:val="22"/>
          <w:szCs w:val="22"/>
        </w:rPr>
      </w:pPr>
      <w:r w:rsidRPr="0007255D">
        <w:rPr>
          <w:rFonts w:ascii="Arial" w:hAnsi="Arial" w:cs="Arial"/>
          <w:sz w:val="22"/>
          <w:szCs w:val="22"/>
        </w:rPr>
        <w:t>Three methodological gaps motivate this study. First, country-level air travel routing data from the Bureau of Transportation Statistics T-100 program enable city-specific risk stratification at all 11 US venues, including cities with historically limited international surveillance coverage (Atlanta, Kansas City, Seattle). Second, literature ranges for under-reporting correction factors and travel-while-infected probabilities span several-fold; propagating that uncertainty into estimates is essential for honest risk communication. Third, co-national diaspora communities — whose shared language, cultural spaces, and World Cup watch gatherings make them disproportionately likely to interact with infected travelers from the same country — represent a transmission pathway invisible to standard Poisson arrival models.</w:t>
      </w:r>
    </w:p>
    <w:p w14:paraId="638C419B" w14:textId="77777777" w:rsidR="00182D80" w:rsidRPr="0007255D" w:rsidRDefault="00182D80" w:rsidP="00182D80">
      <w:pPr>
        <w:pStyle w:val="BodyText"/>
        <w:rPr>
          <w:rFonts w:ascii="Arial" w:hAnsi="Arial" w:cs="Arial"/>
          <w:sz w:val="22"/>
          <w:szCs w:val="22"/>
        </w:rPr>
      </w:pPr>
      <w:r w:rsidRPr="0007255D">
        <w:rPr>
          <w:rFonts w:ascii="Arial" w:hAnsi="Arial" w:cs="Arial"/>
          <w:sz w:val="22"/>
          <w:szCs w:val="22"/>
        </w:rPr>
        <w:t>We address these gaps with a three-tier nested Poisson importation model with 5,000-draw Monte Carlo uncertainty for five diseases (dengue, malaria, measles, pertussis, influenza), coupled to a diaspora concentration index derived from US Census Bureau American Community Survey data (6,7). The approach is fully reproducible using only publicly available data sources, and is designed to be extensible to additional diseases, geographies, and future mass gathering events. Its computational simplicity — requiring only routine air-travel statistics, published surveillance incidence, and standard statistical software — means it can serve as a rapidly deployable first-pass risk assessment that public health agencies can adapt without specialized mobility-simulation infrastructure, complementing more comprehensive frameworks where resources permit.</w:t>
      </w:r>
    </w:p>
    <w:p w14:paraId="16BDB4F9" w14:textId="77777777" w:rsidR="00182D80" w:rsidRPr="0007255D" w:rsidRDefault="00182D80" w:rsidP="00182D80">
      <w:pPr>
        <w:pStyle w:val="BodyText"/>
        <w:rPr>
          <w:rFonts w:ascii="Arial" w:hAnsi="Arial" w:cs="Arial"/>
          <w:b/>
          <w:bCs/>
          <w:sz w:val="22"/>
          <w:szCs w:val="22"/>
        </w:rPr>
      </w:pPr>
      <w:r w:rsidRPr="0007255D">
        <w:rPr>
          <w:rFonts w:ascii="Arial" w:hAnsi="Arial" w:cs="Arial"/>
          <w:b/>
          <w:bCs/>
          <w:sz w:val="22"/>
          <w:szCs w:val="22"/>
        </w:rPr>
        <w:lastRenderedPageBreak/>
        <w:t>Methods</w:t>
      </w:r>
    </w:p>
    <w:p w14:paraId="06D469E2"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We quantified importation risk for five infectious diseases (dengue, malaria, measles, pertussis, and influenza) at each of the 11 US FIFA World Cup 2026 host cities during June 2026, using three nested Poisson models that share identical disease data so that differences in results reflect travel volume assumptions only.</w:t>
      </w:r>
      <w:bookmarkStart w:id="0" w:name="three-nested-model-tiers"/>
    </w:p>
    <w:p w14:paraId="1DEECA23" w14:textId="77777777" w:rsidR="00182D80" w:rsidRPr="0007255D" w:rsidRDefault="00182D80" w:rsidP="00182D80">
      <w:pPr>
        <w:pStyle w:val="FirstParagraph"/>
        <w:rPr>
          <w:rFonts w:ascii="Arial" w:hAnsi="Arial" w:cs="Arial"/>
          <w:b/>
          <w:bCs/>
          <w:sz w:val="22"/>
          <w:szCs w:val="22"/>
        </w:rPr>
      </w:pPr>
      <w:r w:rsidRPr="0007255D">
        <w:rPr>
          <w:rFonts w:ascii="Arial" w:hAnsi="Arial" w:cs="Arial"/>
          <w:b/>
          <w:bCs/>
          <w:sz w:val="22"/>
          <w:szCs w:val="22"/>
        </w:rPr>
        <w:t>Travel data</w:t>
      </w:r>
    </w:p>
    <w:p w14:paraId="6CCD5BAE"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Country-of-residence (COR) monthly arrivals were obtained from the US Customs and Border Protection I-94 </w:t>
      </w:r>
      <w:proofErr w:type="spellStart"/>
      <w:r w:rsidRPr="0007255D">
        <w:rPr>
          <w:rFonts w:ascii="Arial" w:hAnsi="Arial" w:cs="Arial"/>
          <w:sz w:val="22"/>
          <w:szCs w:val="22"/>
        </w:rPr>
        <w:t>programme</w:t>
      </w:r>
      <w:proofErr w:type="spellEnd"/>
      <w:r w:rsidRPr="0007255D">
        <w:rPr>
          <w:rFonts w:ascii="Arial" w:hAnsi="Arial" w:cs="Arial"/>
          <w:sz w:val="22"/>
          <w:szCs w:val="22"/>
        </w:rPr>
        <w:t xml:space="preserve"> (8). City-level routing fractions were derived from BTS T-100 International Segment (Form 41 Traffic) nonstop passenger records for June 2023–2025 (9), computed as the share of each country’s US-bound passengers that landed at each venue city, averaged over three years for stability. National Travel and Tourism Office (NTTO) projections provided country-specific 2026 growth factors for the 12 largest US inbound source markets (1).</w:t>
      </w:r>
    </w:p>
    <w:p w14:paraId="1D43208B" w14:textId="77777777" w:rsidR="00182D80" w:rsidRPr="0007255D" w:rsidRDefault="00182D80" w:rsidP="00182D80">
      <w:pPr>
        <w:pStyle w:val="FirstParagraph"/>
        <w:rPr>
          <w:rFonts w:ascii="Arial" w:hAnsi="Arial" w:cs="Arial"/>
          <w:b/>
          <w:bCs/>
          <w:sz w:val="22"/>
          <w:szCs w:val="22"/>
        </w:rPr>
      </w:pPr>
      <w:r w:rsidRPr="0007255D">
        <w:rPr>
          <w:rFonts w:ascii="Arial" w:hAnsi="Arial" w:cs="Arial"/>
          <w:b/>
          <w:bCs/>
          <w:sz w:val="22"/>
          <w:szCs w:val="22"/>
        </w:rPr>
        <w:t>Three nested model tiers</w:t>
      </w:r>
    </w:p>
    <w:p w14:paraId="3344316A" w14:textId="77777777" w:rsidR="00182D80" w:rsidRPr="0007255D" w:rsidRDefault="00182D80" w:rsidP="00182D80">
      <w:pPr>
        <w:pStyle w:val="FirstParagraph"/>
        <w:rPr>
          <w:rFonts w:ascii="Arial" w:hAnsi="Arial" w:cs="Arial"/>
          <w:sz w:val="22"/>
          <w:szCs w:val="22"/>
        </w:rPr>
      </w:pPr>
      <w:r w:rsidRPr="0007255D">
        <w:rPr>
          <w:rFonts w:ascii="Arial" w:hAnsi="Arial" w:cs="Arial"/>
          <w:b/>
          <w:bCs/>
          <w:sz w:val="22"/>
          <w:szCs w:val="22"/>
        </w:rPr>
        <w:t>Baseline (M1)</w:t>
      </w:r>
      <w:r w:rsidRPr="0007255D">
        <w:rPr>
          <w:rFonts w:ascii="Arial" w:hAnsi="Arial" w:cs="Arial"/>
          <w:sz w:val="22"/>
          <w:szCs w:val="22"/>
        </w:rPr>
        <w:t xml:space="preserve"> used COR June 2024 arrivals routed by T-100 fractions with no World Cup growth adjustment, representing a pre-tournament counterfactual.</w:t>
      </w:r>
    </w:p>
    <w:p w14:paraId="5A287CD5" w14:textId="77777777" w:rsidR="00182D80" w:rsidRPr="0007255D" w:rsidRDefault="00182D80" w:rsidP="00182D80">
      <w:pPr>
        <w:pStyle w:val="BodyText"/>
        <w:rPr>
          <w:rFonts w:ascii="Arial" w:hAnsi="Arial" w:cs="Arial"/>
          <w:sz w:val="22"/>
          <w:szCs w:val="22"/>
        </w:rPr>
      </w:pPr>
      <w:r w:rsidRPr="0007255D">
        <w:rPr>
          <w:rFonts w:ascii="Arial" w:hAnsi="Arial" w:cs="Arial"/>
          <w:b/>
          <w:bCs/>
          <w:sz w:val="22"/>
          <w:szCs w:val="22"/>
        </w:rPr>
        <w:t>WC-adjusted (M2)</w:t>
      </w:r>
      <w:r w:rsidRPr="0007255D">
        <w:rPr>
          <w:rFonts w:ascii="Arial" w:hAnsi="Arial" w:cs="Arial"/>
          <w:sz w:val="22"/>
          <w:szCs w:val="22"/>
        </w:rPr>
        <w:t xml:space="preserve"> applied country-specific growth factors (NTTO projection for top 12 markets; a global World Cup factor of 1.174 for other qualified nations; an empirical background trend factor for non-qualified countries) to project June 2026 arrivals, distributed across cities by T-100 fractions.</w:t>
      </w:r>
    </w:p>
    <w:p w14:paraId="5E49E29A" w14:textId="77777777" w:rsidR="00182D80" w:rsidRPr="0007255D" w:rsidRDefault="00182D80" w:rsidP="00182D80">
      <w:pPr>
        <w:pStyle w:val="BodyText"/>
        <w:rPr>
          <w:rFonts w:ascii="Arial" w:hAnsi="Arial" w:cs="Arial"/>
          <w:sz w:val="22"/>
          <w:szCs w:val="22"/>
        </w:rPr>
      </w:pPr>
      <w:r w:rsidRPr="0007255D">
        <w:rPr>
          <w:rFonts w:ascii="Arial" w:hAnsi="Arial" w:cs="Arial"/>
          <w:b/>
          <w:bCs/>
          <w:sz w:val="22"/>
          <w:szCs w:val="22"/>
        </w:rPr>
        <w:t>Schedule-driven (M3)</w:t>
      </w:r>
      <w:r w:rsidRPr="0007255D">
        <w:rPr>
          <w:rFonts w:ascii="Arial" w:hAnsi="Arial" w:cs="Arial"/>
          <w:sz w:val="22"/>
          <w:szCs w:val="22"/>
        </w:rPr>
        <w:t xml:space="preserve"> decomposed travel into a World Cup fan stream — the marginal increment above background trend, routed proportionally to each team’s actual match venues — and a background stream routed by T-100 fractions. This tier correctly redirects fan travel to Canadian and Mexican venues when teams play there, producing a more realistic US city risk distribution.</w:t>
      </w:r>
    </w:p>
    <w:p w14:paraId="53870503" w14:textId="77777777" w:rsidR="00182D80" w:rsidRPr="0007255D" w:rsidRDefault="00182D80" w:rsidP="00182D80">
      <w:pPr>
        <w:pStyle w:val="BodyText"/>
        <w:rPr>
          <w:rFonts w:ascii="Arial" w:hAnsi="Arial" w:cs="Arial"/>
          <w:sz w:val="22"/>
          <w:szCs w:val="22"/>
        </w:rPr>
      </w:pPr>
      <w:r w:rsidRPr="0007255D">
        <w:rPr>
          <w:rFonts w:ascii="Arial" w:hAnsi="Arial" w:cs="Arial"/>
          <w:sz w:val="22"/>
          <w:szCs w:val="22"/>
        </w:rPr>
        <w:t>Full mathematical derivations of the projected number of arrivals (</w:t>
      </w:r>
      <m:oMath>
        <m:sSub>
          <m:sSubPr>
            <m:ctrlPr>
              <w:rPr>
                <w:rFonts w:ascii="Cambria Math" w:hAnsi="Cambria Math" w:cs="Arial"/>
                <w:sz w:val="22"/>
                <w:szCs w:val="22"/>
              </w:rPr>
            </m:ctrlPr>
          </m:sSub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for each model tier, including all intermediate calculations and the formal definition of the routing fractions, are provided in Appendix A of the Supplementary Material.</w:t>
      </w:r>
      <w:bookmarkEnd w:id="0"/>
    </w:p>
    <w:p w14:paraId="7DD82079" w14:textId="77777777" w:rsidR="00182D80" w:rsidRPr="0007255D" w:rsidRDefault="00182D80" w:rsidP="00182D80">
      <w:pPr>
        <w:pStyle w:val="BodyText"/>
        <w:rPr>
          <w:rFonts w:ascii="Arial" w:hAnsi="Arial" w:cs="Arial"/>
          <w:b/>
          <w:bCs/>
          <w:sz w:val="22"/>
          <w:szCs w:val="22"/>
        </w:rPr>
      </w:pPr>
      <w:r w:rsidRPr="0007255D">
        <w:rPr>
          <w:rFonts w:ascii="Arial" w:hAnsi="Arial" w:cs="Arial"/>
          <w:b/>
          <w:bCs/>
          <w:sz w:val="22"/>
          <w:szCs w:val="22"/>
        </w:rPr>
        <w:t>Disease data and Poisson framework</w:t>
      </w:r>
    </w:p>
    <w:p w14:paraId="6762C0BC"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For each source country </w:t>
      </w:r>
      <m:oMath>
        <m:r>
          <w:rPr>
            <w:rFonts w:ascii="Cambria Math" w:hAnsi="Cambria Math" w:cs="Arial"/>
            <w:sz w:val="22"/>
            <w:szCs w:val="22"/>
          </w:rPr>
          <m:t>c</m:t>
        </m:r>
      </m:oMath>
      <w:r w:rsidRPr="0007255D">
        <w:rPr>
          <w:rFonts w:ascii="Arial" w:hAnsi="Arial" w:cs="Arial"/>
          <w:sz w:val="22"/>
          <w:szCs w:val="22"/>
        </w:rPr>
        <w:t xml:space="preserve">, venue city </w:t>
      </w:r>
      <m:oMath>
        <m:r>
          <w:rPr>
            <w:rFonts w:ascii="Cambria Math" w:hAnsi="Cambria Math" w:cs="Arial"/>
            <w:sz w:val="22"/>
            <w:szCs w:val="22"/>
          </w:rPr>
          <m:t>v</m:t>
        </m:r>
      </m:oMath>
      <w:r w:rsidRPr="0007255D">
        <w:rPr>
          <w:rFonts w:ascii="Arial" w:hAnsi="Arial" w:cs="Arial"/>
          <w:sz w:val="22"/>
          <w:szCs w:val="22"/>
        </w:rPr>
        <w:t xml:space="preserve">, and disease </w:t>
      </w:r>
      <m:oMath>
        <m:r>
          <w:rPr>
            <w:rFonts w:ascii="Cambria Math" w:hAnsi="Cambria Math" w:cs="Arial"/>
            <w:sz w:val="22"/>
            <w:szCs w:val="22"/>
          </w:rPr>
          <m:t>d</m:t>
        </m:r>
      </m:oMath>
      <w:r w:rsidRPr="0007255D">
        <w:rPr>
          <w:rFonts w:ascii="Arial" w:hAnsi="Arial" w:cs="Arial"/>
          <w:sz w:val="22"/>
          <w:szCs w:val="22"/>
        </w:rPr>
        <w:t>, the expected number of infected arrivals is:</w:t>
      </w:r>
    </w:p>
    <w:p w14:paraId="5288D306" w14:textId="77777777" w:rsidR="00182D80" w:rsidRPr="0007255D" w:rsidRDefault="00000000" w:rsidP="00182D8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d</m:t>
                  </m:r>
                </m:sub>
              </m:sSub>
            </m:num>
            <m:den>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c</m:t>
                  </m:r>
                </m:sub>
              </m:sSub>
            </m:den>
          </m:f>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m:oMathPara>
    </w:p>
    <w:p w14:paraId="66146824"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where </w:t>
      </w:r>
      <m:oMath>
        <m:sSub>
          <m:sSubPr>
            <m:ctrlPr>
              <w:rPr>
                <w:rFonts w:ascii="Cambria Math" w:hAnsi="Cambria Math" w:cs="Arial"/>
                <w:sz w:val="22"/>
                <w:szCs w:val="22"/>
              </w:rPr>
            </m:ctrlPr>
          </m:sSub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xml:space="preserve"> is projected number of arrivals,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is the source-country under-reporting correction (corrects for undetected cases in surveillance), </w:t>
      </w:r>
      <m:oMath>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c</m:t>
            </m:r>
          </m:sub>
        </m:sSub>
      </m:oMath>
      <w:r w:rsidRPr="0007255D">
        <w:rPr>
          <w:rFonts w:ascii="Arial" w:hAnsi="Arial" w:cs="Arial"/>
          <w:sz w:val="22"/>
          <w:szCs w:val="22"/>
        </w:rPr>
        <w:t xml:space="preserve"> is the reported per-capita incidence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c</m:t>
            </m:r>
          </m:sub>
        </m:sSub>
      </m:oMath>
      <w:r w:rsidRPr="0007255D">
        <w:rPr>
          <w:rFonts w:ascii="Arial" w:hAnsi="Arial" w:cs="Arial"/>
          <w:sz w:val="22"/>
          <w:szCs w:val="22"/>
        </w:rPr>
        <w:t xml:space="preserve"> are 2026 national population estimates (10)), and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is the probability that an infected individual presents with mild or no symptoms and therefore remains travel-capable (severely symptomatic individuals are assumed to opt out of international travel). City-level intensity and importation probability follow as </w:t>
      </w:r>
      <m:oMath>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nary>
          <m:naryPr>
            <m:chr m:val="∑"/>
            <m:limLoc m:val="undOvr"/>
            <m:supHide m:val="1"/>
            <m:ctrlPr>
              <w:rPr>
                <w:rFonts w:ascii="Cambria Math" w:hAnsi="Cambria Math" w:cs="Arial"/>
                <w:sz w:val="22"/>
                <w:szCs w:val="22"/>
              </w:rPr>
            </m:ctrlPr>
          </m:naryPr>
          <m:sub>
            <m:r>
              <w:rPr>
                <w:rFonts w:ascii="Cambria Math" w:hAnsi="Cambria Math" w:cs="Arial"/>
                <w:sz w:val="22"/>
                <w:szCs w:val="22"/>
              </w:rPr>
              <m:t>c</m:t>
            </m:r>
          </m:sub>
          <m:sup/>
          <m:e>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e>
        </m:nary>
      </m:oMath>
      <w:r w:rsidRPr="0007255D">
        <w:rPr>
          <w:rFonts w:ascii="Arial" w:hAnsi="Arial" w:cs="Arial"/>
          <w:sz w:val="22"/>
          <w:szCs w:val="22"/>
        </w:rPr>
        <w:t xml:space="preserve"> and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e</m:t>
            </m:r>
          </m:e>
          <m:sup>
            <m:r>
              <m:rPr>
                <m:sty m:val="p"/>
              </m:rP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sup>
        </m:sSup>
      </m:oMath>
      <w:r w:rsidRPr="0007255D">
        <w:rPr>
          <w:rFonts w:ascii="Arial" w:hAnsi="Arial" w:cs="Arial"/>
          <w:sz w:val="22"/>
          <w:szCs w:val="22"/>
        </w:rPr>
        <w:t xml:space="preserve">, where </w:t>
      </w:r>
      <m:oMath>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∼Poisson(</m:t>
        </m:r>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oMath>
      <w:r w:rsidRPr="0007255D">
        <w:rPr>
          <w:rFonts w:ascii="Arial" w:hAnsi="Arial" w:cs="Arial"/>
          <w:sz w:val="22"/>
          <w:szCs w:val="22"/>
        </w:rPr>
        <w:t xml:space="preserve"> is the number of imported cases at city </w:t>
      </w:r>
      <m:oMath>
        <m:r>
          <w:rPr>
            <w:rFonts w:ascii="Cambria Math" w:hAnsi="Cambria Math" w:cs="Arial"/>
            <w:sz w:val="22"/>
            <w:szCs w:val="22"/>
          </w:rPr>
          <m:t>v</m:t>
        </m:r>
      </m:oMath>
      <w:r w:rsidRPr="0007255D">
        <w:rPr>
          <w:rFonts w:ascii="Arial" w:hAnsi="Arial" w:cs="Arial"/>
          <w:sz w:val="22"/>
          <w:szCs w:val="22"/>
        </w:rPr>
        <w:t xml:space="preserve"> for disease </w:t>
      </w:r>
      <m:oMath>
        <m:r>
          <w:rPr>
            <w:rFonts w:ascii="Cambria Math" w:hAnsi="Cambria Math" w:cs="Arial"/>
            <w:sz w:val="22"/>
            <w:szCs w:val="22"/>
          </w:rPr>
          <m:t>d</m:t>
        </m:r>
      </m:oMath>
      <w:r w:rsidRPr="0007255D">
        <w:rPr>
          <w:rFonts w:ascii="Arial" w:hAnsi="Arial" w:cs="Arial"/>
          <w:sz w:val="22"/>
          <w:szCs w:val="22"/>
        </w:rPr>
        <w:t xml:space="preserve">; for brevity we write this as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w:t>
      </w:r>
    </w:p>
    <w:p w14:paraId="37EC1A8D"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Disease-specific incidence was sourced from: WHO Global Dengue Surveillance dataset (monthly; June 2024–2025 average) (11); WHO World Malaria Report 2024 (annual incidence </w:t>
      </w:r>
      <w:r w:rsidRPr="0007255D">
        <w:rPr>
          <w:rFonts w:ascii="Arial" w:hAnsi="Arial" w:cs="Arial"/>
          <w:sz w:val="22"/>
          <w:szCs w:val="22"/>
        </w:rPr>
        <w:lastRenderedPageBreak/>
        <w:t xml:space="preserve">per 1,000 population) (12); WHO Immunization Data (annual incidence per million for measles and pertussis) (13); WHO </w:t>
      </w:r>
      <w:proofErr w:type="spellStart"/>
      <w:r w:rsidRPr="0007255D">
        <w:rPr>
          <w:rFonts w:ascii="Arial" w:hAnsi="Arial" w:cs="Arial"/>
          <w:sz w:val="22"/>
          <w:szCs w:val="22"/>
        </w:rPr>
        <w:t>FluNet</w:t>
      </w:r>
      <w:proofErr w:type="spellEnd"/>
      <w:r w:rsidRPr="0007255D">
        <w:rPr>
          <w:rFonts w:ascii="Arial" w:hAnsi="Arial" w:cs="Arial"/>
          <w:sz w:val="22"/>
          <w:szCs w:val="22"/>
        </w:rPr>
        <w:t xml:space="preserve"> GISRS (weekly positive specimens, ISO weeks 22–26, 2023–2025 average). Literature-derived disease parameters are </w:t>
      </w:r>
      <w:proofErr w:type="spellStart"/>
      <w:r w:rsidRPr="0007255D">
        <w:rPr>
          <w:rFonts w:ascii="Arial" w:hAnsi="Arial" w:cs="Arial"/>
          <w:sz w:val="22"/>
          <w:szCs w:val="22"/>
        </w:rPr>
        <w:t>summarised</w:t>
      </w:r>
      <w:proofErr w:type="spellEnd"/>
      <w:r w:rsidRPr="0007255D">
        <w:rPr>
          <w:rFonts w:ascii="Arial" w:hAnsi="Arial" w:cs="Arial"/>
          <w:sz w:val="22"/>
          <w:szCs w:val="22"/>
        </w:rPr>
        <w:t xml:space="preserve"> in Table 1.</w:t>
      </w:r>
    </w:p>
    <w:p w14:paraId="77C35528" w14:textId="77777777" w:rsidR="00182D80" w:rsidRPr="0007255D" w:rsidRDefault="00182D80" w:rsidP="00182D80">
      <w:pPr>
        <w:pStyle w:val="TableCaption"/>
        <w:rPr>
          <w:rFonts w:ascii="Arial" w:hAnsi="Arial" w:cs="Arial"/>
          <w:i w:val="0"/>
          <w:iCs/>
          <w:sz w:val="18"/>
          <w:szCs w:val="18"/>
        </w:rPr>
      </w:pPr>
      <w:r w:rsidRPr="0007255D">
        <w:rPr>
          <w:rFonts w:ascii="Arial" w:hAnsi="Arial" w:cs="Arial"/>
          <w:b/>
          <w:bCs/>
          <w:i w:val="0"/>
          <w:iCs/>
          <w:sz w:val="18"/>
          <w:szCs w:val="18"/>
        </w:rPr>
        <w:t>Table 1.</w:t>
      </w:r>
      <w:r w:rsidRPr="0007255D">
        <w:rPr>
          <w:rFonts w:ascii="Arial" w:hAnsi="Arial" w:cs="Arial"/>
          <w:i w:val="0"/>
          <w:iCs/>
          <w:sz w:val="18"/>
          <w:szCs w:val="18"/>
        </w:rPr>
        <w:t xml:space="preserve"> Disease parameters and Monte Carlo uncertainty bounds used in all three model tiers. For each of 5,000 iterations, </w:t>
      </w:r>
      <m:oMath>
        <m:sSub>
          <m:sSubPr>
            <m:ctrlPr>
              <w:rPr>
                <w:rFonts w:ascii="Cambria Math" w:hAnsi="Cambria Math" w:cs="Arial"/>
                <w:i w:val="0"/>
                <w:iCs/>
                <w:sz w:val="18"/>
                <w:szCs w:val="18"/>
              </w:rPr>
            </m:ctrlPr>
          </m:sSubPr>
          <m:e>
            <m:r>
              <w:rPr>
                <w:rFonts w:ascii="Cambria Math" w:hAnsi="Cambria Math" w:cs="Arial"/>
                <w:sz w:val="18"/>
                <w:szCs w:val="18"/>
              </w:rPr>
              <m:t>ρ</m:t>
            </m:r>
          </m:e>
          <m:sub>
            <m:r>
              <w:rPr>
                <w:rFonts w:ascii="Cambria Math" w:hAnsi="Cambria Math" w:cs="Arial"/>
                <w:sz w:val="18"/>
                <w:szCs w:val="18"/>
              </w:rPr>
              <m:t>d</m:t>
            </m:r>
          </m:sub>
        </m:sSub>
        <m:r>
          <w:rPr>
            <w:rFonts w:ascii="Cambria Math" w:hAnsi="Cambria Math" w:cs="Arial"/>
            <w:sz w:val="18"/>
            <w:szCs w:val="18"/>
          </w:rPr>
          <m:t>∼Uniform(</m:t>
        </m:r>
        <m:sSub>
          <m:sSubPr>
            <m:ctrlPr>
              <w:rPr>
                <w:rFonts w:ascii="Cambria Math" w:hAnsi="Cambria Math" w:cs="Arial"/>
                <w:i w:val="0"/>
                <w:iCs/>
                <w:sz w:val="18"/>
                <w:szCs w:val="18"/>
              </w:rPr>
            </m:ctrlPr>
          </m:sSubPr>
          <m:e>
            <m:r>
              <w:rPr>
                <w:rFonts w:ascii="Cambria Math" w:hAnsi="Cambria Math" w:cs="Arial"/>
                <w:sz w:val="18"/>
                <w:szCs w:val="18"/>
              </w:rPr>
              <m:t>ρ</m:t>
            </m:r>
          </m:e>
          <m:sub>
            <m:r>
              <w:rPr>
                <w:rFonts w:ascii="Cambria Math" w:hAnsi="Cambria Math" w:cs="Arial"/>
                <w:sz w:val="18"/>
                <w:szCs w:val="18"/>
              </w:rPr>
              <m:t>min</m:t>
            </m:r>
          </m:sub>
        </m:sSub>
        <m:r>
          <w:rPr>
            <w:rFonts w:ascii="Cambria Math" w:hAnsi="Cambria Math" w:cs="Arial"/>
            <w:sz w:val="18"/>
            <w:szCs w:val="18"/>
          </w:rPr>
          <m:t>,</m:t>
        </m:r>
        <m:sSub>
          <m:sSubPr>
            <m:ctrlPr>
              <w:rPr>
                <w:rFonts w:ascii="Cambria Math" w:hAnsi="Cambria Math" w:cs="Arial"/>
                <w:i w:val="0"/>
                <w:iCs/>
                <w:sz w:val="18"/>
                <w:szCs w:val="18"/>
              </w:rPr>
            </m:ctrlPr>
          </m:sSubPr>
          <m:e>
            <m:r>
              <w:rPr>
                <w:rFonts w:ascii="Cambria Math" w:hAnsi="Cambria Math" w:cs="Arial"/>
                <w:sz w:val="18"/>
                <w:szCs w:val="18"/>
              </w:rPr>
              <m:t>ρ</m:t>
            </m:r>
          </m:e>
          <m:sub>
            <m:r>
              <w:rPr>
                <w:rFonts w:ascii="Cambria Math" w:hAnsi="Cambria Math" w:cs="Arial"/>
                <w:sz w:val="18"/>
                <w:szCs w:val="18"/>
              </w:rPr>
              <m:t>max</m:t>
            </m:r>
          </m:sub>
        </m:sSub>
        <m:r>
          <w:rPr>
            <w:rFonts w:ascii="Cambria Math" w:hAnsi="Cambria Math" w:cs="Arial"/>
            <w:sz w:val="18"/>
            <w:szCs w:val="18"/>
          </w:rPr>
          <m:t>)</m:t>
        </m:r>
      </m:oMath>
      <w:r w:rsidRPr="0007255D">
        <w:rPr>
          <w:rFonts w:ascii="Arial" w:hAnsi="Arial" w:cs="Arial"/>
          <w:i w:val="0"/>
          <w:iCs/>
          <w:sz w:val="18"/>
          <w:szCs w:val="18"/>
        </w:rPr>
        <w:t xml:space="preserve"> and </w:t>
      </w:r>
      <m:oMath>
        <m:sSub>
          <m:sSubPr>
            <m:ctrlPr>
              <w:rPr>
                <w:rFonts w:ascii="Cambria Math" w:hAnsi="Cambria Math" w:cs="Arial"/>
                <w:i w:val="0"/>
                <w:iCs/>
                <w:sz w:val="18"/>
                <w:szCs w:val="18"/>
              </w:rPr>
            </m:ctrlPr>
          </m:sSubPr>
          <m:e>
            <m:r>
              <w:rPr>
                <w:rFonts w:ascii="Cambria Math" w:hAnsi="Cambria Math" w:cs="Arial"/>
                <w:sz w:val="18"/>
                <w:szCs w:val="18"/>
              </w:rPr>
              <m:t>p</m:t>
            </m:r>
          </m:e>
          <m:sub>
            <m:r>
              <w:rPr>
                <w:rFonts w:ascii="Cambria Math" w:hAnsi="Cambria Math" w:cs="Arial"/>
                <w:sz w:val="18"/>
                <w:szCs w:val="18"/>
              </w:rPr>
              <m:t>d</m:t>
            </m:r>
          </m:sub>
        </m:sSub>
        <m:r>
          <w:rPr>
            <w:rFonts w:ascii="Cambria Math" w:hAnsi="Cambria Math" w:cs="Arial"/>
            <w:sz w:val="18"/>
            <w:szCs w:val="18"/>
          </w:rPr>
          <m:t>∼Uniform(</m:t>
        </m:r>
        <m:sSub>
          <m:sSubPr>
            <m:ctrlPr>
              <w:rPr>
                <w:rFonts w:ascii="Cambria Math" w:hAnsi="Cambria Math" w:cs="Arial"/>
                <w:i w:val="0"/>
                <w:iCs/>
                <w:sz w:val="18"/>
                <w:szCs w:val="18"/>
              </w:rPr>
            </m:ctrlPr>
          </m:sSubPr>
          <m:e>
            <m:r>
              <w:rPr>
                <w:rFonts w:ascii="Cambria Math" w:hAnsi="Cambria Math" w:cs="Arial"/>
                <w:sz w:val="18"/>
                <w:szCs w:val="18"/>
              </w:rPr>
              <m:t>p</m:t>
            </m:r>
          </m:e>
          <m:sub>
            <m:r>
              <w:rPr>
                <w:rFonts w:ascii="Cambria Math" w:hAnsi="Cambria Math" w:cs="Arial"/>
                <w:sz w:val="18"/>
                <w:szCs w:val="18"/>
              </w:rPr>
              <m:t>min</m:t>
            </m:r>
          </m:sub>
        </m:sSub>
        <m:r>
          <w:rPr>
            <w:rFonts w:ascii="Cambria Math" w:hAnsi="Cambria Math" w:cs="Arial"/>
            <w:sz w:val="18"/>
            <w:szCs w:val="18"/>
          </w:rPr>
          <m:t>,</m:t>
        </m:r>
        <m:sSub>
          <m:sSubPr>
            <m:ctrlPr>
              <w:rPr>
                <w:rFonts w:ascii="Cambria Math" w:hAnsi="Cambria Math" w:cs="Arial"/>
                <w:i w:val="0"/>
                <w:iCs/>
                <w:sz w:val="18"/>
                <w:szCs w:val="18"/>
              </w:rPr>
            </m:ctrlPr>
          </m:sSubPr>
          <m:e>
            <m:r>
              <w:rPr>
                <w:rFonts w:ascii="Cambria Math" w:hAnsi="Cambria Math" w:cs="Arial"/>
                <w:sz w:val="18"/>
                <w:szCs w:val="18"/>
              </w:rPr>
              <m:t>p</m:t>
            </m:r>
          </m:e>
          <m:sub>
            <m:r>
              <w:rPr>
                <w:rFonts w:ascii="Cambria Math" w:hAnsi="Cambria Math" w:cs="Arial"/>
                <w:sz w:val="18"/>
                <w:szCs w:val="18"/>
              </w:rPr>
              <m:t>max</m:t>
            </m:r>
          </m:sub>
        </m:sSub>
        <m:r>
          <w:rPr>
            <w:rFonts w:ascii="Cambria Math" w:hAnsi="Cambria Math" w:cs="Arial"/>
            <w:sz w:val="18"/>
            <w:szCs w:val="18"/>
          </w:rPr>
          <m:t>)</m:t>
        </m:r>
      </m:oMath>
      <w:r w:rsidRPr="0007255D">
        <w:rPr>
          <w:rFonts w:ascii="Arial" w:hAnsi="Arial" w:cs="Arial"/>
          <w:i w:val="0"/>
          <w:iCs/>
          <w:sz w:val="18"/>
          <w:szCs w:val="18"/>
        </w:rPr>
        <w:t xml:space="preserve"> are drawn independently. All reported estimates are Monte Carlo medians with 95% uncertainty intervals. Dengue and influenza incidence are June-month values; malaria, measles, and pertussis use annual rates divided by 12 to approximate June incidence.</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182D80" w:rsidRPr="0007255D" w14:paraId="3E1E9DDE" w14:textId="77777777" w:rsidTr="005E3B61">
        <w:tc>
          <w:tcPr>
            <w:tcW w:w="1558" w:type="dxa"/>
          </w:tcPr>
          <w:p w14:paraId="1BA6D9BE" w14:textId="77777777" w:rsidR="00182D80" w:rsidRPr="0007255D" w:rsidRDefault="00182D80" w:rsidP="005E3B61">
            <w:pPr>
              <w:rPr>
                <w:rFonts w:ascii="Arial" w:hAnsi="Arial" w:cs="Arial"/>
                <w:sz w:val="18"/>
                <w:szCs w:val="18"/>
              </w:rPr>
            </w:pPr>
          </w:p>
        </w:tc>
        <w:tc>
          <w:tcPr>
            <w:tcW w:w="3116" w:type="dxa"/>
            <w:gridSpan w:val="2"/>
          </w:tcPr>
          <w:p w14:paraId="6AFC0B63" w14:textId="77777777" w:rsidR="00182D80" w:rsidRPr="0007255D" w:rsidRDefault="00000000" w:rsidP="005E3B61">
            <w:pPr>
              <w:rPr>
                <w:rFonts w:ascii="Arial" w:hAnsi="Arial" w:cs="Arial"/>
                <w:sz w:val="18"/>
                <w:szCs w:val="18"/>
              </w:rPr>
            </w:pPr>
            <m:oMathPara>
              <m:oMath>
                <m:sSub>
                  <m:sSubPr>
                    <m:ctrlPr>
                      <w:rPr>
                        <w:rFonts w:ascii="Cambria Math" w:hAnsi="Cambria Math" w:cs="Arial"/>
                        <w:sz w:val="18"/>
                        <w:szCs w:val="18"/>
                      </w:rPr>
                    </m:ctrlPr>
                  </m:sSubPr>
                  <m:e>
                    <m:r>
                      <m:rPr>
                        <m:sty m:val="bi"/>
                      </m:rPr>
                      <w:rPr>
                        <w:rFonts w:ascii="Cambria Math" w:hAnsi="Cambria Math" w:cs="Arial"/>
                        <w:sz w:val="18"/>
                        <w:szCs w:val="18"/>
                      </w:rPr>
                      <m:t>ρ</m:t>
                    </m:r>
                  </m:e>
                  <m:sub>
                    <m:r>
                      <m:rPr>
                        <m:sty m:val="bi"/>
                      </m:rPr>
                      <w:rPr>
                        <w:rFonts w:ascii="Cambria Math" w:hAnsi="Cambria Math" w:cs="Arial"/>
                        <w:sz w:val="18"/>
                        <w:szCs w:val="18"/>
                      </w:rPr>
                      <m:t>d</m:t>
                    </m:r>
                  </m:sub>
                </m:sSub>
              </m:oMath>
            </m:oMathPara>
          </w:p>
        </w:tc>
        <w:tc>
          <w:tcPr>
            <w:tcW w:w="3117" w:type="dxa"/>
            <w:gridSpan w:val="2"/>
          </w:tcPr>
          <w:p w14:paraId="624DCC19" w14:textId="77777777" w:rsidR="00182D80" w:rsidRPr="0007255D" w:rsidRDefault="00000000" w:rsidP="005E3B61">
            <w:pPr>
              <w:rPr>
                <w:rFonts w:ascii="Arial" w:hAnsi="Arial" w:cs="Arial"/>
                <w:sz w:val="18"/>
                <w:szCs w:val="18"/>
              </w:rPr>
            </w:pPr>
            <m:oMathPara>
              <m:oMath>
                <m:sSub>
                  <m:sSubPr>
                    <m:ctrlPr>
                      <w:rPr>
                        <w:rFonts w:ascii="Cambria Math" w:hAnsi="Cambria Math" w:cs="Arial"/>
                        <w:sz w:val="18"/>
                        <w:szCs w:val="18"/>
                      </w:rPr>
                    </m:ctrlPr>
                  </m:sSubPr>
                  <m:e>
                    <m:r>
                      <m:rPr>
                        <m:sty m:val="bi"/>
                      </m:rPr>
                      <w:rPr>
                        <w:rFonts w:ascii="Cambria Math" w:hAnsi="Cambria Math" w:cs="Arial"/>
                        <w:sz w:val="18"/>
                        <w:szCs w:val="18"/>
                      </w:rPr>
                      <m:t>p</m:t>
                    </m:r>
                  </m:e>
                  <m:sub>
                    <m:r>
                      <m:rPr>
                        <m:sty m:val="bi"/>
                      </m:rPr>
                      <w:rPr>
                        <w:rFonts w:ascii="Cambria Math" w:hAnsi="Cambria Math" w:cs="Arial"/>
                        <w:sz w:val="18"/>
                        <w:szCs w:val="18"/>
                      </w:rPr>
                      <m:t>d</m:t>
                    </m:r>
                  </m:sub>
                </m:sSub>
              </m:oMath>
            </m:oMathPara>
          </w:p>
        </w:tc>
        <w:tc>
          <w:tcPr>
            <w:tcW w:w="1559" w:type="dxa"/>
          </w:tcPr>
          <w:p w14:paraId="5D9BD3F1" w14:textId="77777777" w:rsidR="00182D80" w:rsidRPr="0007255D" w:rsidRDefault="00182D80" w:rsidP="005E3B61">
            <w:pPr>
              <w:rPr>
                <w:rFonts w:ascii="Arial" w:hAnsi="Arial" w:cs="Arial"/>
                <w:sz w:val="18"/>
                <w:szCs w:val="18"/>
              </w:rPr>
            </w:pPr>
          </w:p>
        </w:tc>
      </w:tr>
      <w:tr w:rsidR="00182D80" w:rsidRPr="0007255D" w14:paraId="0DE64D27" w14:textId="77777777" w:rsidTr="005E3B61">
        <w:tc>
          <w:tcPr>
            <w:tcW w:w="1558" w:type="dxa"/>
          </w:tcPr>
          <w:p w14:paraId="379B14E8" w14:textId="77777777" w:rsidR="00182D80" w:rsidRPr="0007255D" w:rsidRDefault="00182D80" w:rsidP="005E3B61">
            <w:pPr>
              <w:rPr>
                <w:rFonts w:ascii="Arial" w:hAnsi="Arial" w:cs="Arial"/>
                <w:b/>
                <w:bCs/>
                <w:sz w:val="18"/>
                <w:szCs w:val="18"/>
              </w:rPr>
            </w:pPr>
            <w:r w:rsidRPr="0007255D">
              <w:rPr>
                <w:rFonts w:ascii="Arial" w:hAnsi="Arial" w:cs="Arial"/>
                <w:b/>
                <w:bCs/>
                <w:sz w:val="18"/>
                <w:szCs w:val="18"/>
              </w:rPr>
              <w:t>Disease</w:t>
            </w:r>
          </w:p>
        </w:tc>
        <w:tc>
          <w:tcPr>
            <w:tcW w:w="1558" w:type="dxa"/>
          </w:tcPr>
          <w:p w14:paraId="537DD827" w14:textId="77777777" w:rsidR="00182D80" w:rsidRPr="0007255D" w:rsidRDefault="00182D80" w:rsidP="005E3B61">
            <w:pPr>
              <w:jc w:val="center"/>
              <w:rPr>
                <w:rFonts w:ascii="Arial" w:hAnsi="Arial" w:cs="Arial"/>
                <w:b/>
                <w:bCs/>
                <w:sz w:val="18"/>
                <w:szCs w:val="18"/>
              </w:rPr>
            </w:pPr>
            <w:r w:rsidRPr="0007255D">
              <w:rPr>
                <w:rFonts w:ascii="Arial" w:hAnsi="Arial" w:cs="Arial"/>
                <w:b/>
                <w:bCs/>
                <w:sz w:val="18"/>
                <w:szCs w:val="18"/>
              </w:rPr>
              <w:t>Min</w:t>
            </w:r>
          </w:p>
        </w:tc>
        <w:tc>
          <w:tcPr>
            <w:tcW w:w="1558" w:type="dxa"/>
          </w:tcPr>
          <w:p w14:paraId="1DDA4223" w14:textId="77777777" w:rsidR="00182D80" w:rsidRPr="0007255D" w:rsidRDefault="00182D80" w:rsidP="005E3B61">
            <w:pPr>
              <w:jc w:val="center"/>
              <w:rPr>
                <w:rFonts w:ascii="Arial" w:hAnsi="Arial" w:cs="Arial"/>
                <w:b/>
                <w:bCs/>
                <w:sz w:val="18"/>
                <w:szCs w:val="18"/>
              </w:rPr>
            </w:pPr>
            <w:r w:rsidRPr="0007255D">
              <w:rPr>
                <w:rFonts w:ascii="Arial" w:hAnsi="Arial" w:cs="Arial"/>
                <w:b/>
                <w:bCs/>
                <w:sz w:val="18"/>
                <w:szCs w:val="18"/>
              </w:rPr>
              <w:t>Max</w:t>
            </w:r>
          </w:p>
        </w:tc>
        <w:tc>
          <w:tcPr>
            <w:tcW w:w="1558" w:type="dxa"/>
          </w:tcPr>
          <w:p w14:paraId="5927F6C1" w14:textId="77777777" w:rsidR="00182D80" w:rsidRPr="0007255D" w:rsidRDefault="00182D80" w:rsidP="005E3B61">
            <w:pPr>
              <w:jc w:val="center"/>
              <w:rPr>
                <w:rFonts w:ascii="Arial" w:hAnsi="Arial" w:cs="Arial"/>
                <w:b/>
                <w:bCs/>
                <w:sz w:val="18"/>
                <w:szCs w:val="18"/>
              </w:rPr>
            </w:pPr>
            <w:r w:rsidRPr="0007255D">
              <w:rPr>
                <w:rFonts w:ascii="Arial" w:hAnsi="Arial" w:cs="Arial"/>
                <w:b/>
                <w:bCs/>
                <w:sz w:val="18"/>
                <w:szCs w:val="18"/>
              </w:rPr>
              <w:t>Min</w:t>
            </w:r>
          </w:p>
        </w:tc>
        <w:tc>
          <w:tcPr>
            <w:tcW w:w="1559" w:type="dxa"/>
          </w:tcPr>
          <w:p w14:paraId="6D32333C" w14:textId="77777777" w:rsidR="00182D80" w:rsidRPr="0007255D" w:rsidRDefault="00182D80" w:rsidP="005E3B61">
            <w:pPr>
              <w:jc w:val="center"/>
              <w:rPr>
                <w:rFonts w:ascii="Arial" w:hAnsi="Arial" w:cs="Arial"/>
                <w:b/>
                <w:bCs/>
                <w:sz w:val="18"/>
                <w:szCs w:val="18"/>
              </w:rPr>
            </w:pPr>
            <w:r w:rsidRPr="0007255D">
              <w:rPr>
                <w:rFonts w:ascii="Arial" w:hAnsi="Arial" w:cs="Arial"/>
                <w:b/>
                <w:bCs/>
                <w:sz w:val="18"/>
                <w:szCs w:val="18"/>
              </w:rPr>
              <w:t>Max</w:t>
            </w:r>
          </w:p>
        </w:tc>
        <w:tc>
          <w:tcPr>
            <w:tcW w:w="1559" w:type="dxa"/>
          </w:tcPr>
          <w:p w14:paraId="39E47EEE" w14:textId="77777777" w:rsidR="00182D80" w:rsidRPr="0007255D" w:rsidRDefault="00182D80" w:rsidP="005E3B61">
            <w:pPr>
              <w:rPr>
                <w:rFonts w:ascii="Arial" w:hAnsi="Arial" w:cs="Arial"/>
                <w:b/>
                <w:bCs/>
                <w:sz w:val="18"/>
                <w:szCs w:val="18"/>
              </w:rPr>
            </w:pPr>
            <w:r w:rsidRPr="0007255D">
              <w:rPr>
                <w:rFonts w:ascii="Arial" w:hAnsi="Arial" w:cs="Arial"/>
                <w:b/>
                <w:bCs/>
                <w:sz w:val="18"/>
                <w:szCs w:val="18"/>
              </w:rPr>
              <w:t>References</w:t>
            </w:r>
          </w:p>
        </w:tc>
      </w:tr>
      <w:tr w:rsidR="00182D80" w:rsidRPr="0007255D" w14:paraId="2E95B3CD" w14:textId="77777777" w:rsidTr="005E3B61">
        <w:tc>
          <w:tcPr>
            <w:tcW w:w="1558" w:type="dxa"/>
          </w:tcPr>
          <w:p w14:paraId="572A78BB" w14:textId="77777777" w:rsidR="00182D80" w:rsidRPr="0007255D" w:rsidRDefault="00182D80" w:rsidP="005E3B61">
            <w:pPr>
              <w:rPr>
                <w:rFonts w:ascii="Arial" w:hAnsi="Arial" w:cs="Arial"/>
                <w:sz w:val="18"/>
                <w:szCs w:val="18"/>
              </w:rPr>
            </w:pPr>
            <w:r w:rsidRPr="0007255D">
              <w:rPr>
                <w:rFonts w:ascii="Arial" w:hAnsi="Arial" w:cs="Arial"/>
                <w:sz w:val="18"/>
                <w:szCs w:val="18"/>
              </w:rPr>
              <w:t>Dengue</w:t>
            </w:r>
          </w:p>
        </w:tc>
        <w:tc>
          <w:tcPr>
            <w:tcW w:w="1558" w:type="dxa"/>
          </w:tcPr>
          <w:p w14:paraId="1366742E" w14:textId="77777777" w:rsidR="00182D80" w:rsidRPr="0007255D" w:rsidRDefault="00182D80" w:rsidP="005E3B61">
            <w:pPr>
              <w:jc w:val="center"/>
              <w:rPr>
                <w:rFonts w:ascii="Arial" w:hAnsi="Arial" w:cs="Arial"/>
                <w:sz w:val="18"/>
                <w:szCs w:val="18"/>
              </w:rPr>
            </w:pPr>
            <w:r w:rsidRPr="0007255D">
              <w:rPr>
                <w:rFonts w:ascii="Arial" w:hAnsi="Arial" w:cs="Arial"/>
                <w:sz w:val="18"/>
                <w:szCs w:val="18"/>
              </w:rPr>
              <w:t>0.06</w:t>
            </w:r>
          </w:p>
        </w:tc>
        <w:tc>
          <w:tcPr>
            <w:tcW w:w="1558" w:type="dxa"/>
          </w:tcPr>
          <w:p w14:paraId="5C83BECF" w14:textId="77777777" w:rsidR="00182D80" w:rsidRPr="0007255D" w:rsidRDefault="00182D80" w:rsidP="005E3B61">
            <w:pPr>
              <w:jc w:val="center"/>
              <w:rPr>
                <w:rFonts w:ascii="Arial" w:hAnsi="Arial" w:cs="Arial"/>
                <w:sz w:val="18"/>
                <w:szCs w:val="18"/>
              </w:rPr>
            </w:pPr>
            <w:r w:rsidRPr="0007255D">
              <w:rPr>
                <w:rFonts w:ascii="Arial" w:hAnsi="Arial" w:cs="Arial"/>
                <w:sz w:val="18"/>
                <w:szCs w:val="18"/>
              </w:rPr>
              <w:t>0.26</w:t>
            </w:r>
          </w:p>
        </w:tc>
        <w:tc>
          <w:tcPr>
            <w:tcW w:w="1558" w:type="dxa"/>
          </w:tcPr>
          <w:p w14:paraId="453BEA95" w14:textId="77777777" w:rsidR="00182D80" w:rsidRPr="0007255D" w:rsidRDefault="00182D80" w:rsidP="005E3B61">
            <w:pPr>
              <w:jc w:val="center"/>
              <w:rPr>
                <w:rFonts w:ascii="Arial" w:hAnsi="Arial" w:cs="Arial"/>
                <w:sz w:val="18"/>
                <w:szCs w:val="18"/>
              </w:rPr>
            </w:pPr>
            <w:r w:rsidRPr="0007255D">
              <w:rPr>
                <w:rFonts w:ascii="Arial" w:hAnsi="Arial" w:cs="Arial"/>
                <w:sz w:val="18"/>
                <w:szCs w:val="18"/>
              </w:rPr>
              <w:t>0.30</w:t>
            </w:r>
          </w:p>
        </w:tc>
        <w:tc>
          <w:tcPr>
            <w:tcW w:w="1559" w:type="dxa"/>
          </w:tcPr>
          <w:p w14:paraId="26A338BD" w14:textId="77777777" w:rsidR="00182D80" w:rsidRPr="0007255D" w:rsidRDefault="00182D80" w:rsidP="005E3B61">
            <w:pPr>
              <w:jc w:val="center"/>
              <w:rPr>
                <w:rFonts w:ascii="Arial" w:hAnsi="Arial" w:cs="Arial"/>
                <w:sz w:val="18"/>
                <w:szCs w:val="18"/>
              </w:rPr>
            </w:pPr>
            <w:r w:rsidRPr="0007255D">
              <w:rPr>
                <w:rFonts w:ascii="Arial" w:hAnsi="Arial" w:cs="Arial"/>
                <w:sz w:val="18"/>
                <w:szCs w:val="18"/>
              </w:rPr>
              <w:t>0.70</w:t>
            </w:r>
          </w:p>
        </w:tc>
        <w:tc>
          <w:tcPr>
            <w:tcW w:w="1559" w:type="dxa"/>
          </w:tcPr>
          <w:p w14:paraId="5EC45FA2" w14:textId="77777777" w:rsidR="00182D80" w:rsidRPr="0007255D" w:rsidRDefault="00182D80" w:rsidP="005E3B61">
            <w:pPr>
              <w:rPr>
                <w:rFonts w:ascii="Arial" w:hAnsi="Arial" w:cs="Arial"/>
                <w:sz w:val="18"/>
                <w:szCs w:val="18"/>
              </w:rPr>
            </w:pPr>
            <w:r w:rsidRPr="0007255D">
              <w:rPr>
                <w:rFonts w:ascii="Arial" w:hAnsi="Arial" w:cs="Arial"/>
                <w:sz w:val="18"/>
                <w:szCs w:val="18"/>
              </w:rPr>
              <w:t>[14,15]</w:t>
            </w:r>
          </w:p>
        </w:tc>
      </w:tr>
      <w:tr w:rsidR="00182D80" w:rsidRPr="0007255D" w14:paraId="15647465" w14:textId="77777777" w:rsidTr="005E3B61">
        <w:tc>
          <w:tcPr>
            <w:tcW w:w="1558" w:type="dxa"/>
          </w:tcPr>
          <w:p w14:paraId="401F932B" w14:textId="77777777" w:rsidR="00182D80" w:rsidRPr="0007255D" w:rsidRDefault="00182D80" w:rsidP="005E3B61">
            <w:pPr>
              <w:rPr>
                <w:rFonts w:ascii="Arial" w:hAnsi="Arial" w:cs="Arial"/>
                <w:sz w:val="18"/>
                <w:szCs w:val="18"/>
              </w:rPr>
            </w:pPr>
            <w:r w:rsidRPr="0007255D">
              <w:rPr>
                <w:rFonts w:ascii="Arial" w:hAnsi="Arial" w:cs="Arial"/>
                <w:sz w:val="18"/>
                <w:szCs w:val="18"/>
              </w:rPr>
              <w:t>Malaria</w:t>
            </w:r>
          </w:p>
        </w:tc>
        <w:tc>
          <w:tcPr>
            <w:tcW w:w="1558" w:type="dxa"/>
          </w:tcPr>
          <w:p w14:paraId="165DAE58" w14:textId="77777777" w:rsidR="00182D80" w:rsidRPr="0007255D" w:rsidRDefault="00182D80" w:rsidP="005E3B61">
            <w:pPr>
              <w:jc w:val="center"/>
              <w:rPr>
                <w:rFonts w:ascii="Arial" w:hAnsi="Arial" w:cs="Arial"/>
                <w:sz w:val="18"/>
                <w:szCs w:val="18"/>
              </w:rPr>
            </w:pPr>
            <w:r w:rsidRPr="0007255D">
              <w:rPr>
                <w:rFonts w:ascii="Arial" w:hAnsi="Arial" w:cs="Arial"/>
                <w:sz w:val="18"/>
                <w:szCs w:val="18"/>
              </w:rPr>
              <w:t>0.10</w:t>
            </w:r>
          </w:p>
        </w:tc>
        <w:tc>
          <w:tcPr>
            <w:tcW w:w="1558" w:type="dxa"/>
          </w:tcPr>
          <w:p w14:paraId="22F611A7" w14:textId="77777777" w:rsidR="00182D80" w:rsidRPr="0007255D" w:rsidRDefault="00182D80" w:rsidP="005E3B61">
            <w:pPr>
              <w:jc w:val="center"/>
              <w:rPr>
                <w:rFonts w:ascii="Arial" w:hAnsi="Arial" w:cs="Arial"/>
                <w:sz w:val="18"/>
                <w:szCs w:val="18"/>
              </w:rPr>
            </w:pPr>
            <w:r w:rsidRPr="0007255D">
              <w:rPr>
                <w:rFonts w:ascii="Arial" w:hAnsi="Arial" w:cs="Arial"/>
                <w:sz w:val="18"/>
                <w:szCs w:val="18"/>
              </w:rPr>
              <w:t>0.35</w:t>
            </w:r>
          </w:p>
        </w:tc>
        <w:tc>
          <w:tcPr>
            <w:tcW w:w="1558" w:type="dxa"/>
          </w:tcPr>
          <w:p w14:paraId="55100989" w14:textId="77777777" w:rsidR="00182D80" w:rsidRPr="0007255D" w:rsidRDefault="00182D80" w:rsidP="005E3B61">
            <w:pPr>
              <w:jc w:val="center"/>
              <w:rPr>
                <w:rFonts w:ascii="Arial" w:hAnsi="Arial" w:cs="Arial"/>
                <w:sz w:val="18"/>
                <w:szCs w:val="18"/>
              </w:rPr>
            </w:pPr>
            <w:r w:rsidRPr="0007255D">
              <w:rPr>
                <w:rFonts w:ascii="Arial" w:hAnsi="Arial" w:cs="Arial"/>
                <w:sz w:val="18"/>
                <w:szCs w:val="18"/>
              </w:rPr>
              <w:t>0.10</w:t>
            </w:r>
          </w:p>
        </w:tc>
        <w:tc>
          <w:tcPr>
            <w:tcW w:w="1559" w:type="dxa"/>
          </w:tcPr>
          <w:p w14:paraId="634AACC0" w14:textId="77777777" w:rsidR="00182D80" w:rsidRPr="0007255D" w:rsidRDefault="00182D80" w:rsidP="005E3B61">
            <w:pPr>
              <w:jc w:val="center"/>
              <w:rPr>
                <w:rFonts w:ascii="Arial" w:hAnsi="Arial" w:cs="Arial"/>
                <w:sz w:val="18"/>
                <w:szCs w:val="18"/>
              </w:rPr>
            </w:pPr>
            <w:r w:rsidRPr="0007255D">
              <w:rPr>
                <w:rFonts w:ascii="Arial" w:hAnsi="Arial" w:cs="Arial"/>
                <w:sz w:val="18"/>
                <w:szCs w:val="18"/>
              </w:rPr>
              <w:t>0.50</w:t>
            </w:r>
          </w:p>
        </w:tc>
        <w:tc>
          <w:tcPr>
            <w:tcW w:w="1559" w:type="dxa"/>
          </w:tcPr>
          <w:p w14:paraId="42D235BD" w14:textId="77777777" w:rsidR="00182D80" w:rsidRPr="0007255D" w:rsidRDefault="00182D80" w:rsidP="005E3B61">
            <w:pPr>
              <w:rPr>
                <w:rFonts w:ascii="Arial" w:hAnsi="Arial" w:cs="Arial"/>
                <w:sz w:val="18"/>
                <w:szCs w:val="18"/>
              </w:rPr>
            </w:pPr>
            <w:r w:rsidRPr="0007255D">
              <w:rPr>
                <w:rFonts w:ascii="Arial" w:hAnsi="Arial" w:cs="Arial"/>
                <w:sz w:val="18"/>
                <w:szCs w:val="18"/>
              </w:rPr>
              <w:t>[12,16,17]</w:t>
            </w:r>
          </w:p>
        </w:tc>
      </w:tr>
      <w:tr w:rsidR="00182D80" w:rsidRPr="0007255D" w14:paraId="5299CDD5" w14:textId="77777777" w:rsidTr="005E3B61">
        <w:tc>
          <w:tcPr>
            <w:tcW w:w="1558" w:type="dxa"/>
          </w:tcPr>
          <w:p w14:paraId="49D20D46" w14:textId="77777777" w:rsidR="00182D80" w:rsidRPr="0007255D" w:rsidRDefault="00182D80" w:rsidP="005E3B61">
            <w:pPr>
              <w:rPr>
                <w:rFonts w:ascii="Arial" w:hAnsi="Arial" w:cs="Arial"/>
                <w:sz w:val="18"/>
                <w:szCs w:val="18"/>
              </w:rPr>
            </w:pPr>
            <w:r w:rsidRPr="0007255D">
              <w:rPr>
                <w:rFonts w:ascii="Arial" w:hAnsi="Arial" w:cs="Arial"/>
                <w:sz w:val="18"/>
                <w:szCs w:val="18"/>
              </w:rPr>
              <w:t>Measles</w:t>
            </w:r>
          </w:p>
        </w:tc>
        <w:tc>
          <w:tcPr>
            <w:tcW w:w="1558" w:type="dxa"/>
          </w:tcPr>
          <w:p w14:paraId="1A541451" w14:textId="77777777" w:rsidR="00182D80" w:rsidRPr="0007255D" w:rsidRDefault="00182D80" w:rsidP="005E3B61">
            <w:pPr>
              <w:jc w:val="center"/>
              <w:rPr>
                <w:rFonts w:ascii="Arial" w:hAnsi="Arial" w:cs="Arial"/>
                <w:sz w:val="18"/>
                <w:szCs w:val="18"/>
              </w:rPr>
            </w:pPr>
            <w:r w:rsidRPr="0007255D">
              <w:rPr>
                <w:rFonts w:ascii="Arial" w:hAnsi="Arial" w:cs="Arial"/>
                <w:sz w:val="18"/>
                <w:szCs w:val="18"/>
              </w:rPr>
              <w:t>0.40</w:t>
            </w:r>
          </w:p>
        </w:tc>
        <w:tc>
          <w:tcPr>
            <w:tcW w:w="1558" w:type="dxa"/>
          </w:tcPr>
          <w:p w14:paraId="269C31C2" w14:textId="77777777" w:rsidR="00182D80" w:rsidRPr="0007255D" w:rsidRDefault="00182D80" w:rsidP="005E3B61">
            <w:pPr>
              <w:jc w:val="center"/>
              <w:rPr>
                <w:rFonts w:ascii="Arial" w:hAnsi="Arial" w:cs="Arial"/>
                <w:sz w:val="18"/>
                <w:szCs w:val="18"/>
              </w:rPr>
            </w:pPr>
            <w:r w:rsidRPr="0007255D">
              <w:rPr>
                <w:rFonts w:ascii="Arial" w:hAnsi="Arial" w:cs="Arial"/>
                <w:sz w:val="18"/>
                <w:szCs w:val="18"/>
              </w:rPr>
              <w:t>0.80</w:t>
            </w:r>
          </w:p>
        </w:tc>
        <w:tc>
          <w:tcPr>
            <w:tcW w:w="1558" w:type="dxa"/>
          </w:tcPr>
          <w:p w14:paraId="512D9A25" w14:textId="77777777" w:rsidR="00182D80" w:rsidRPr="0007255D" w:rsidRDefault="00182D80" w:rsidP="005E3B61">
            <w:pPr>
              <w:jc w:val="center"/>
              <w:rPr>
                <w:rFonts w:ascii="Arial" w:hAnsi="Arial" w:cs="Arial"/>
                <w:sz w:val="18"/>
                <w:szCs w:val="18"/>
              </w:rPr>
            </w:pPr>
            <w:r w:rsidRPr="0007255D">
              <w:rPr>
                <w:rFonts w:ascii="Arial" w:hAnsi="Arial" w:cs="Arial"/>
                <w:sz w:val="18"/>
                <w:szCs w:val="18"/>
              </w:rPr>
              <w:t>0.02</w:t>
            </w:r>
          </w:p>
        </w:tc>
        <w:tc>
          <w:tcPr>
            <w:tcW w:w="1559" w:type="dxa"/>
          </w:tcPr>
          <w:p w14:paraId="5D7F5FE5" w14:textId="77777777" w:rsidR="00182D80" w:rsidRPr="0007255D" w:rsidRDefault="00182D80" w:rsidP="005E3B61">
            <w:pPr>
              <w:jc w:val="center"/>
              <w:rPr>
                <w:rFonts w:ascii="Arial" w:hAnsi="Arial" w:cs="Arial"/>
                <w:sz w:val="18"/>
                <w:szCs w:val="18"/>
              </w:rPr>
            </w:pPr>
            <w:r w:rsidRPr="0007255D">
              <w:rPr>
                <w:rFonts w:ascii="Arial" w:hAnsi="Arial" w:cs="Arial"/>
                <w:sz w:val="18"/>
                <w:szCs w:val="18"/>
              </w:rPr>
              <w:t>0.10</w:t>
            </w:r>
          </w:p>
        </w:tc>
        <w:tc>
          <w:tcPr>
            <w:tcW w:w="1559" w:type="dxa"/>
          </w:tcPr>
          <w:p w14:paraId="7A8EC7F4" w14:textId="77777777" w:rsidR="00182D80" w:rsidRPr="0007255D" w:rsidRDefault="00182D80" w:rsidP="005E3B61">
            <w:pPr>
              <w:rPr>
                <w:rFonts w:ascii="Arial" w:hAnsi="Arial" w:cs="Arial"/>
                <w:sz w:val="18"/>
                <w:szCs w:val="18"/>
              </w:rPr>
            </w:pPr>
            <w:r w:rsidRPr="0007255D">
              <w:rPr>
                <w:rFonts w:ascii="Arial" w:hAnsi="Arial" w:cs="Arial"/>
                <w:sz w:val="18"/>
                <w:szCs w:val="18"/>
              </w:rPr>
              <w:t>[18-20]</w:t>
            </w:r>
          </w:p>
        </w:tc>
      </w:tr>
      <w:tr w:rsidR="00182D80" w:rsidRPr="0007255D" w14:paraId="4E3FDDB5" w14:textId="77777777" w:rsidTr="005E3B61">
        <w:tc>
          <w:tcPr>
            <w:tcW w:w="1558" w:type="dxa"/>
          </w:tcPr>
          <w:p w14:paraId="717A3752" w14:textId="77777777" w:rsidR="00182D80" w:rsidRPr="0007255D" w:rsidRDefault="00182D80" w:rsidP="005E3B61">
            <w:pPr>
              <w:rPr>
                <w:rFonts w:ascii="Arial" w:hAnsi="Arial" w:cs="Arial"/>
                <w:sz w:val="18"/>
                <w:szCs w:val="18"/>
              </w:rPr>
            </w:pPr>
            <w:r w:rsidRPr="0007255D">
              <w:rPr>
                <w:rFonts w:ascii="Arial" w:hAnsi="Arial" w:cs="Arial"/>
                <w:sz w:val="18"/>
                <w:szCs w:val="18"/>
              </w:rPr>
              <w:t>Pertussis</w:t>
            </w:r>
          </w:p>
        </w:tc>
        <w:tc>
          <w:tcPr>
            <w:tcW w:w="1558" w:type="dxa"/>
          </w:tcPr>
          <w:p w14:paraId="78A947E9" w14:textId="77777777" w:rsidR="00182D80" w:rsidRPr="0007255D" w:rsidRDefault="00182D80" w:rsidP="005E3B61">
            <w:pPr>
              <w:jc w:val="center"/>
              <w:rPr>
                <w:rFonts w:ascii="Arial" w:hAnsi="Arial" w:cs="Arial"/>
                <w:sz w:val="18"/>
                <w:szCs w:val="18"/>
              </w:rPr>
            </w:pPr>
            <w:r w:rsidRPr="0007255D">
              <w:rPr>
                <w:rFonts w:ascii="Arial" w:hAnsi="Arial" w:cs="Arial"/>
                <w:sz w:val="18"/>
                <w:szCs w:val="18"/>
              </w:rPr>
              <w:t>0.01</w:t>
            </w:r>
          </w:p>
        </w:tc>
        <w:tc>
          <w:tcPr>
            <w:tcW w:w="1558" w:type="dxa"/>
          </w:tcPr>
          <w:p w14:paraId="1138B0E8" w14:textId="77777777" w:rsidR="00182D80" w:rsidRPr="0007255D" w:rsidRDefault="00182D80" w:rsidP="005E3B61">
            <w:pPr>
              <w:jc w:val="center"/>
              <w:rPr>
                <w:rFonts w:ascii="Arial" w:hAnsi="Arial" w:cs="Arial"/>
                <w:sz w:val="18"/>
                <w:szCs w:val="18"/>
              </w:rPr>
            </w:pPr>
            <w:r w:rsidRPr="0007255D">
              <w:rPr>
                <w:rFonts w:ascii="Arial" w:hAnsi="Arial" w:cs="Arial"/>
                <w:sz w:val="18"/>
                <w:szCs w:val="18"/>
              </w:rPr>
              <w:t>0.10</w:t>
            </w:r>
          </w:p>
        </w:tc>
        <w:tc>
          <w:tcPr>
            <w:tcW w:w="1558" w:type="dxa"/>
          </w:tcPr>
          <w:p w14:paraId="46E7601D" w14:textId="77777777" w:rsidR="00182D80" w:rsidRPr="0007255D" w:rsidRDefault="00182D80" w:rsidP="005E3B61">
            <w:pPr>
              <w:jc w:val="center"/>
              <w:rPr>
                <w:rFonts w:ascii="Arial" w:hAnsi="Arial" w:cs="Arial"/>
                <w:sz w:val="18"/>
                <w:szCs w:val="18"/>
              </w:rPr>
            </w:pPr>
            <w:r w:rsidRPr="0007255D">
              <w:rPr>
                <w:rFonts w:ascii="Arial" w:hAnsi="Arial" w:cs="Arial"/>
                <w:sz w:val="18"/>
                <w:szCs w:val="18"/>
              </w:rPr>
              <w:t>0.50</w:t>
            </w:r>
          </w:p>
        </w:tc>
        <w:tc>
          <w:tcPr>
            <w:tcW w:w="1559" w:type="dxa"/>
          </w:tcPr>
          <w:p w14:paraId="355F1C57" w14:textId="77777777" w:rsidR="00182D80" w:rsidRPr="0007255D" w:rsidRDefault="00182D80" w:rsidP="005E3B61">
            <w:pPr>
              <w:jc w:val="center"/>
              <w:rPr>
                <w:rFonts w:ascii="Arial" w:hAnsi="Arial" w:cs="Arial"/>
                <w:sz w:val="18"/>
                <w:szCs w:val="18"/>
              </w:rPr>
            </w:pPr>
            <w:r w:rsidRPr="0007255D">
              <w:rPr>
                <w:rFonts w:ascii="Arial" w:hAnsi="Arial" w:cs="Arial"/>
                <w:sz w:val="18"/>
                <w:szCs w:val="18"/>
              </w:rPr>
              <w:t>0.90</w:t>
            </w:r>
          </w:p>
        </w:tc>
        <w:tc>
          <w:tcPr>
            <w:tcW w:w="1559" w:type="dxa"/>
          </w:tcPr>
          <w:p w14:paraId="1CCF0D59" w14:textId="77777777" w:rsidR="00182D80" w:rsidRPr="0007255D" w:rsidRDefault="00182D80" w:rsidP="005E3B61">
            <w:pPr>
              <w:rPr>
                <w:rFonts w:ascii="Arial" w:hAnsi="Arial" w:cs="Arial"/>
                <w:sz w:val="18"/>
                <w:szCs w:val="18"/>
              </w:rPr>
            </w:pPr>
            <w:r w:rsidRPr="0007255D">
              <w:rPr>
                <w:rFonts w:ascii="Arial" w:hAnsi="Arial" w:cs="Arial"/>
                <w:sz w:val="18"/>
                <w:szCs w:val="18"/>
              </w:rPr>
              <w:t>[21-23]</w:t>
            </w:r>
          </w:p>
        </w:tc>
      </w:tr>
      <w:tr w:rsidR="00182D80" w:rsidRPr="0007255D" w14:paraId="3848B708" w14:textId="77777777" w:rsidTr="005E3B61">
        <w:tc>
          <w:tcPr>
            <w:tcW w:w="1558" w:type="dxa"/>
          </w:tcPr>
          <w:p w14:paraId="03294272" w14:textId="77777777" w:rsidR="00182D80" w:rsidRPr="0007255D" w:rsidRDefault="00182D80" w:rsidP="005E3B61">
            <w:pPr>
              <w:rPr>
                <w:rFonts w:ascii="Arial" w:hAnsi="Arial" w:cs="Arial"/>
                <w:sz w:val="18"/>
                <w:szCs w:val="18"/>
              </w:rPr>
            </w:pPr>
            <w:r w:rsidRPr="0007255D">
              <w:rPr>
                <w:rFonts w:ascii="Arial" w:hAnsi="Arial" w:cs="Arial"/>
                <w:sz w:val="18"/>
                <w:szCs w:val="18"/>
              </w:rPr>
              <w:t>Influenza</w:t>
            </w:r>
          </w:p>
        </w:tc>
        <w:tc>
          <w:tcPr>
            <w:tcW w:w="1558" w:type="dxa"/>
          </w:tcPr>
          <w:p w14:paraId="60E6D326" w14:textId="77777777" w:rsidR="00182D80" w:rsidRPr="0007255D" w:rsidRDefault="00182D80" w:rsidP="005E3B61">
            <w:pPr>
              <w:jc w:val="center"/>
              <w:rPr>
                <w:rFonts w:ascii="Arial" w:hAnsi="Arial" w:cs="Arial"/>
                <w:sz w:val="18"/>
                <w:szCs w:val="18"/>
              </w:rPr>
            </w:pPr>
            <w:r w:rsidRPr="0007255D">
              <w:rPr>
                <w:rFonts w:ascii="Arial" w:hAnsi="Arial" w:cs="Arial"/>
                <w:sz w:val="18"/>
                <w:szCs w:val="18"/>
              </w:rPr>
              <w:t>0.01</w:t>
            </w:r>
          </w:p>
        </w:tc>
        <w:tc>
          <w:tcPr>
            <w:tcW w:w="1558" w:type="dxa"/>
          </w:tcPr>
          <w:p w14:paraId="123F3A71" w14:textId="77777777" w:rsidR="00182D80" w:rsidRPr="0007255D" w:rsidRDefault="00182D80" w:rsidP="005E3B61">
            <w:pPr>
              <w:jc w:val="center"/>
              <w:rPr>
                <w:rFonts w:ascii="Arial" w:hAnsi="Arial" w:cs="Arial"/>
                <w:sz w:val="18"/>
                <w:szCs w:val="18"/>
              </w:rPr>
            </w:pPr>
            <w:r w:rsidRPr="0007255D">
              <w:rPr>
                <w:rFonts w:ascii="Arial" w:hAnsi="Arial" w:cs="Arial"/>
                <w:sz w:val="18"/>
                <w:szCs w:val="18"/>
              </w:rPr>
              <w:t>0.10</w:t>
            </w:r>
          </w:p>
        </w:tc>
        <w:tc>
          <w:tcPr>
            <w:tcW w:w="1558" w:type="dxa"/>
          </w:tcPr>
          <w:p w14:paraId="1EB1BF2B" w14:textId="77777777" w:rsidR="00182D80" w:rsidRPr="0007255D" w:rsidRDefault="00182D80" w:rsidP="005E3B61">
            <w:pPr>
              <w:jc w:val="center"/>
              <w:rPr>
                <w:rFonts w:ascii="Arial" w:hAnsi="Arial" w:cs="Arial"/>
                <w:sz w:val="18"/>
                <w:szCs w:val="18"/>
              </w:rPr>
            </w:pPr>
            <w:r w:rsidRPr="0007255D">
              <w:rPr>
                <w:rFonts w:ascii="Arial" w:hAnsi="Arial" w:cs="Arial"/>
                <w:sz w:val="18"/>
                <w:szCs w:val="18"/>
              </w:rPr>
              <w:t>0.30</w:t>
            </w:r>
          </w:p>
        </w:tc>
        <w:tc>
          <w:tcPr>
            <w:tcW w:w="1559" w:type="dxa"/>
          </w:tcPr>
          <w:p w14:paraId="23FF9E5A" w14:textId="77777777" w:rsidR="00182D80" w:rsidRPr="0007255D" w:rsidRDefault="00182D80" w:rsidP="005E3B61">
            <w:pPr>
              <w:jc w:val="center"/>
              <w:rPr>
                <w:rFonts w:ascii="Arial" w:hAnsi="Arial" w:cs="Arial"/>
                <w:sz w:val="18"/>
                <w:szCs w:val="18"/>
              </w:rPr>
            </w:pPr>
            <w:r w:rsidRPr="0007255D">
              <w:rPr>
                <w:rFonts w:ascii="Arial" w:hAnsi="Arial" w:cs="Arial"/>
                <w:sz w:val="18"/>
                <w:szCs w:val="18"/>
              </w:rPr>
              <w:t>0.70</w:t>
            </w:r>
          </w:p>
        </w:tc>
        <w:tc>
          <w:tcPr>
            <w:tcW w:w="1559" w:type="dxa"/>
          </w:tcPr>
          <w:p w14:paraId="206AB259" w14:textId="77777777" w:rsidR="00182D80" w:rsidRPr="0007255D" w:rsidRDefault="00182D80" w:rsidP="005E3B61">
            <w:pPr>
              <w:rPr>
                <w:rFonts w:ascii="Arial" w:hAnsi="Arial" w:cs="Arial"/>
                <w:sz w:val="18"/>
                <w:szCs w:val="18"/>
              </w:rPr>
            </w:pPr>
            <w:r w:rsidRPr="0007255D">
              <w:rPr>
                <w:rFonts w:ascii="Arial" w:hAnsi="Arial" w:cs="Arial"/>
                <w:sz w:val="18"/>
                <w:szCs w:val="18"/>
              </w:rPr>
              <w:t>[24-27]</w:t>
            </w:r>
          </w:p>
        </w:tc>
      </w:tr>
    </w:tbl>
    <w:p w14:paraId="58A2784F" w14:textId="77777777" w:rsidR="00182D80" w:rsidRPr="0007255D" w:rsidRDefault="00182D80" w:rsidP="00182D80">
      <w:pPr>
        <w:rPr>
          <w:rFonts w:ascii="Arial" w:hAnsi="Arial" w:cs="Arial"/>
          <w:sz w:val="22"/>
          <w:szCs w:val="22"/>
        </w:rPr>
      </w:pPr>
    </w:p>
    <w:p w14:paraId="6BEE56B3" w14:textId="77777777" w:rsidR="00182D80" w:rsidRPr="0007255D" w:rsidRDefault="00182D80" w:rsidP="00182D80">
      <w:pPr>
        <w:pStyle w:val="BodyText"/>
        <w:rPr>
          <w:rFonts w:ascii="Arial" w:hAnsi="Arial" w:cs="Arial"/>
          <w:sz w:val="22"/>
          <w:szCs w:val="22"/>
        </w:rPr>
      </w:pPr>
      <w:r w:rsidRPr="0007255D">
        <w:rPr>
          <w:rFonts w:ascii="Arial" w:hAnsi="Arial" w:cs="Arial"/>
          <w:b/>
          <w:bCs/>
          <w:sz w:val="22"/>
          <w:szCs w:val="22"/>
        </w:rPr>
        <w:t>Monte Carlo uncertainty quantification</w:t>
      </w:r>
    </w:p>
    <w:p w14:paraId="3180EF5D"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The under-reporting correction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and travel-while-infected probability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each have wide literature ranges reflecting heterogeneity across surveillance systems and epidemiological settings. We treated both as independent Uniform random variables within their literature bounds (Table </w:t>
      </w:r>
      <w:hyperlink w:anchor="tab:params">
        <w:r w:rsidRPr="0007255D">
          <w:rPr>
            <w:rStyle w:val="Hyperlink"/>
            <w:rFonts w:ascii="Arial" w:hAnsi="Arial" w:cs="Arial"/>
            <w:sz w:val="22"/>
            <w:szCs w:val="22"/>
          </w:rPr>
          <w:t>1</w:t>
        </w:r>
      </w:hyperlink>
      <w:r w:rsidRPr="0007255D">
        <w:rPr>
          <w:rFonts w:ascii="Arial" w:hAnsi="Arial" w:cs="Arial"/>
          <w:sz w:val="22"/>
          <w:szCs w:val="22"/>
        </w:rPr>
        <w:t xml:space="preserve">) and drew 5,000 samples per disease. For each draw, all city-level </w:t>
      </w:r>
      <m:oMath>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 xml:space="preserve"> values were recomputed. Reported estimates are Monte Carlo medians with 95% uncertainty intervals (2.5th–97.5th percentiles). Because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and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enter multiplicatively, uncertainty intervals are asymmetric. For dengue, the reference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lies near the lower literature bound, producing strongly right-skewed intervals that indicate the reported estimate is conservative; for pertussis, the reference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equals the upper bound, producing left-skewed intervals (Supplementary Figure S3).</w:t>
      </w:r>
    </w:p>
    <w:p w14:paraId="3A6B90A3" w14:textId="77777777" w:rsidR="00182D80" w:rsidRPr="0007255D" w:rsidRDefault="00182D80" w:rsidP="00182D80">
      <w:pPr>
        <w:pStyle w:val="FirstParagraph"/>
        <w:rPr>
          <w:rFonts w:ascii="Arial" w:hAnsi="Arial" w:cs="Arial"/>
          <w:b/>
          <w:bCs/>
          <w:sz w:val="22"/>
          <w:szCs w:val="22"/>
        </w:rPr>
      </w:pPr>
      <w:r w:rsidRPr="0007255D">
        <w:rPr>
          <w:rFonts w:ascii="Arial" w:hAnsi="Arial" w:cs="Arial"/>
          <w:b/>
          <w:bCs/>
          <w:sz w:val="22"/>
          <w:szCs w:val="22"/>
        </w:rPr>
        <w:t>Diaspora network extension</w:t>
      </w:r>
    </w:p>
    <w:p w14:paraId="4B988C7D"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Standard Poisson models treat all arrivals identically regardless of the social environment they enter. We extended the framework to estimate the probability that imported cases reach co-national diaspora networks at each host city.</w:t>
      </w:r>
    </w:p>
    <w:p w14:paraId="365277FE" w14:textId="77777777" w:rsidR="00182D80" w:rsidRPr="0007255D" w:rsidRDefault="00182D80" w:rsidP="00182D80">
      <w:pPr>
        <w:pStyle w:val="BodyText"/>
        <w:rPr>
          <w:rFonts w:ascii="Arial" w:hAnsi="Arial" w:cs="Arial"/>
          <w:sz w:val="22"/>
          <w:szCs w:val="22"/>
        </w:rPr>
      </w:pPr>
      <w:r w:rsidRPr="0007255D">
        <w:rPr>
          <w:rFonts w:ascii="Arial" w:hAnsi="Arial" w:cs="Arial"/>
          <w:sz w:val="22"/>
          <w:szCs w:val="22"/>
        </w:rPr>
        <w:t xml:space="preserve">Diaspora concentration was computed from US Census Bureau American Community Survey 5-year estimates (2019–2023), Table B05006, via the </w:t>
      </w:r>
      <w:proofErr w:type="spellStart"/>
      <w:r w:rsidRPr="0007255D">
        <w:rPr>
          <w:rStyle w:val="VerbatimChar"/>
          <w:rFonts w:ascii="Arial" w:hAnsi="Arial" w:cs="Arial"/>
          <w:szCs w:val="22"/>
        </w:rPr>
        <w:t>tidycensus</w:t>
      </w:r>
      <w:proofErr w:type="spellEnd"/>
      <w:r w:rsidRPr="0007255D">
        <w:rPr>
          <w:rFonts w:ascii="Arial" w:hAnsi="Arial" w:cs="Arial"/>
          <w:sz w:val="22"/>
          <w:szCs w:val="22"/>
        </w:rPr>
        <w:t xml:space="preserve"> R package (6,7), defined as the share of each metro area’s total foreign-born population born in each source country.</w:t>
      </w:r>
    </w:p>
    <w:p w14:paraId="14D22A49" w14:textId="77777777" w:rsidR="00182D80" w:rsidRPr="0007255D" w:rsidRDefault="00182D80" w:rsidP="00182D80">
      <w:pPr>
        <w:pStyle w:val="BodyText"/>
        <w:rPr>
          <w:rFonts w:ascii="Arial" w:hAnsi="Arial" w:cs="Arial"/>
          <w:sz w:val="22"/>
          <w:szCs w:val="22"/>
        </w:rPr>
      </w:pPr>
      <w:r w:rsidRPr="0007255D">
        <w:rPr>
          <w:rFonts w:ascii="Arial" w:hAnsi="Arial" w:cs="Arial"/>
          <w:b/>
          <w:bCs/>
          <w:sz w:val="22"/>
          <w:szCs w:val="22"/>
        </w:rPr>
        <w:t>Mechanism A (local social mixing).</w:t>
      </w:r>
      <w:r w:rsidRPr="0007255D">
        <w:rPr>
          <w:rFonts w:ascii="Arial" w:hAnsi="Arial" w:cs="Arial"/>
          <w:sz w:val="22"/>
          <w:szCs w:val="22"/>
        </w:rPr>
        <w:t xml:space="preserve"> Each infected arrival independently contacts the co-national community with a probability proportional to the diaspora concentration index. This yields a city-level probability that at least one imported case enters a co-national network, directly comparable to the main model’s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metric.</w:t>
      </w:r>
    </w:p>
    <w:p w14:paraId="5DACF248" w14:textId="77777777" w:rsidR="00182D80" w:rsidRPr="0007255D" w:rsidRDefault="00182D80" w:rsidP="00182D80">
      <w:pPr>
        <w:pStyle w:val="BodyText"/>
        <w:rPr>
          <w:rFonts w:ascii="Arial" w:hAnsi="Arial" w:cs="Arial"/>
          <w:sz w:val="22"/>
          <w:szCs w:val="22"/>
        </w:rPr>
      </w:pPr>
      <w:r w:rsidRPr="0007255D">
        <w:rPr>
          <w:rFonts w:ascii="Arial" w:hAnsi="Arial" w:cs="Arial"/>
          <w:b/>
          <w:bCs/>
          <w:sz w:val="22"/>
          <w:szCs w:val="22"/>
        </w:rPr>
        <w:t>Mechanism B (return seeding).</w:t>
      </w:r>
      <w:r w:rsidRPr="0007255D">
        <w:rPr>
          <w:rFonts w:ascii="Arial" w:hAnsi="Arial" w:cs="Arial"/>
          <w:sz w:val="22"/>
          <w:szCs w:val="22"/>
        </w:rPr>
        <w:t xml:space="preserve"> US diaspora members may travel domestically to match venues and carry infection back to their home city. A secondary seeding index ranks candidate hub cities by their exposure potential, combining the importation intensity at the match venue </w:t>
      </w:r>
      <w:r w:rsidRPr="0007255D">
        <w:rPr>
          <w:rFonts w:ascii="Arial" w:hAnsi="Arial" w:cs="Arial"/>
          <w:sz w:val="22"/>
          <w:szCs w:val="22"/>
        </w:rPr>
        <w:lastRenderedPageBreak/>
        <w:t>with the diaspora concentration in the hub city. Hub cities comprise both the 11 host metropolitan areas and 15 major non-host metropolitan areas with large immigrant populations, drawn from the same ACS country-of-birth data, so that risk returning to non-venue cities is captured.</w:t>
      </w:r>
    </w:p>
    <w:p w14:paraId="4ED7A419" w14:textId="77777777" w:rsidR="00182D80" w:rsidRPr="0007255D" w:rsidRDefault="00182D80" w:rsidP="00182D80">
      <w:pPr>
        <w:pStyle w:val="BodyText"/>
        <w:rPr>
          <w:rFonts w:ascii="Arial" w:hAnsi="Arial" w:cs="Arial"/>
          <w:sz w:val="22"/>
          <w:szCs w:val="22"/>
        </w:rPr>
      </w:pPr>
      <w:r w:rsidRPr="0007255D">
        <w:rPr>
          <w:rFonts w:ascii="Arial" w:hAnsi="Arial" w:cs="Arial"/>
          <w:sz w:val="22"/>
          <w:szCs w:val="22"/>
        </w:rPr>
        <w:t xml:space="preserve">Full mathematical derivations of both mechanisms and the formal relationship between the diaspora-adjusted and standard importation probabilities, are provided in Appendix B of the Supplementary </w:t>
      </w:r>
      <w:proofErr w:type="spellStart"/>
      <w:r w:rsidRPr="0007255D">
        <w:rPr>
          <w:rFonts w:ascii="Arial" w:hAnsi="Arial" w:cs="Arial"/>
          <w:sz w:val="22"/>
          <w:szCs w:val="22"/>
        </w:rPr>
        <w:t>Material.All</w:t>
      </w:r>
      <w:proofErr w:type="spellEnd"/>
      <w:r w:rsidRPr="0007255D">
        <w:rPr>
          <w:rFonts w:ascii="Arial" w:hAnsi="Arial" w:cs="Arial"/>
          <w:sz w:val="22"/>
          <w:szCs w:val="22"/>
        </w:rPr>
        <w:t xml:space="preserve"> analyses were conducted in R (version 4.4) using packages </w:t>
      </w:r>
      <w:proofErr w:type="spellStart"/>
      <w:r w:rsidRPr="0007255D">
        <w:rPr>
          <w:rStyle w:val="VerbatimChar"/>
          <w:rFonts w:ascii="Arial" w:hAnsi="Arial" w:cs="Arial"/>
          <w:szCs w:val="22"/>
        </w:rPr>
        <w:t>tidyverse</w:t>
      </w:r>
      <w:proofErr w:type="spellEnd"/>
      <w:r w:rsidRPr="0007255D">
        <w:rPr>
          <w:rFonts w:ascii="Arial" w:hAnsi="Arial" w:cs="Arial"/>
          <w:sz w:val="22"/>
          <w:szCs w:val="22"/>
        </w:rPr>
        <w:t xml:space="preserve">, </w:t>
      </w:r>
      <w:proofErr w:type="spellStart"/>
      <w:r w:rsidRPr="0007255D">
        <w:rPr>
          <w:rStyle w:val="VerbatimChar"/>
          <w:rFonts w:ascii="Arial" w:hAnsi="Arial" w:cs="Arial"/>
          <w:szCs w:val="22"/>
        </w:rPr>
        <w:t>readxl</w:t>
      </w:r>
      <w:proofErr w:type="spellEnd"/>
      <w:r w:rsidRPr="0007255D">
        <w:rPr>
          <w:rFonts w:ascii="Arial" w:hAnsi="Arial" w:cs="Arial"/>
          <w:sz w:val="22"/>
          <w:szCs w:val="22"/>
        </w:rPr>
        <w:t xml:space="preserve">, </w:t>
      </w:r>
      <w:proofErr w:type="spellStart"/>
      <w:r w:rsidRPr="0007255D">
        <w:rPr>
          <w:rStyle w:val="VerbatimChar"/>
          <w:rFonts w:ascii="Arial" w:hAnsi="Arial" w:cs="Arial"/>
          <w:szCs w:val="22"/>
        </w:rPr>
        <w:t>cowplot</w:t>
      </w:r>
      <w:proofErr w:type="spellEnd"/>
      <w:r w:rsidRPr="0007255D">
        <w:rPr>
          <w:rFonts w:ascii="Arial" w:hAnsi="Arial" w:cs="Arial"/>
          <w:sz w:val="22"/>
          <w:szCs w:val="22"/>
        </w:rPr>
        <w:t xml:space="preserve">, and </w:t>
      </w:r>
      <w:proofErr w:type="spellStart"/>
      <w:r w:rsidRPr="0007255D">
        <w:rPr>
          <w:rStyle w:val="VerbatimChar"/>
          <w:rFonts w:ascii="Arial" w:hAnsi="Arial" w:cs="Arial"/>
          <w:szCs w:val="22"/>
        </w:rPr>
        <w:t>tidycensus</w:t>
      </w:r>
      <w:proofErr w:type="spellEnd"/>
      <w:r w:rsidRPr="0007255D">
        <w:rPr>
          <w:rFonts w:ascii="Arial" w:hAnsi="Arial" w:cs="Arial"/>
          <w:sz w:val="22"/>
          <w:szCs w:val="22"/>
        </w:rPr>
        <w:t>.</w:t>
      </w:r>
    </w:p>
    <w:p w14:paraId="41BF3B28" w14:textId="77777777" w:rsidR="00182D80" w:rsidRPr="0007255D" w:rsidRDefault="00182D80" w:rsidP="00182D80">
      <w:pPr>
        <w:pStyle w:val="BodyText"/>
        <w:rPr>
          <w:rFonts w:ascii="Arial" w:hAnsi="Arial" w:cs="Arial"/>
          <w:b/>
          <w:bCs/>
          <w:sz w:val="22"/>
          <w:szCs w:val="22"/>
        </w:rPr>
      </w:pPr>
      <w:r w:rsidRPr="0007255D">
        <w:rPr>
          <w:rFonts w:ascii="Arial" w:hAnsi="Arial" w:cs="Arial"/>
          <w:b/>
          <w:bCs/>
          <w:sz w:val="22"/>
          <w:szCs w:val="22"/>
        </w:rPr>
        <w:t>Results</w:t>
      </w:r>
    </w:p>
    <w:p w14:paraId="604D52D5" w14:textId="77777777" w:rsidR="00182D80" w:rsidRPr="0007255D" w:rsidRDefault="00182D80" w:rsidP="00182D80">
      <w:pPr>
        <w:rPr>
          <w:rFonts w:ascii="Arial" w:hAnsi="Arial" w:cs="Arial"/>
          <w:sz w:val="22"/>
          <w:szCs w:val="22"/>
        </w:rPr>
      </w:pPr>
      <w:r w:rsidRPr="0007255D">
        <w:rPr>
          <w:rFonts w:ascii="Arial" w:hAnsi="Arial" w:cs="Arial"/>
          <w:sz w:val="22"/>
          <w:szCs w:val="22"/>
        </w:rPr>
        <w:t>Unless otherwise noted, results below refer to the schedule-driven model (M3), which allocates World Cup fan travel by match schedule and is the most faithful representation of actual visitor flows; a direct comparison across all three model tiers is provided in Section 3.3.</w:t>
      </w:r>
    </w:p>
    <w:p w14:paraId="116FA566" w14:textId="77777777" w:rsidR="00182D80" w:rsidRPr="0007255D" w:rsidRDefault="00182D80" w:rsidP="00182D80">
      <w:pPr>
        <w:pStyle w:val="FirstParagraph"/>
        <w:rPr>
          <w:rFonts w:ascii="Arial" w:hAnsi="Arial" w:cs="Arial"/>
          <w:b/>
          <w:bCs/>
          <w:sz w:val="22"/>
          <w:szCs w:val="22"/>
        </w:rPr>
      </w:pPr>
      <w:r w:rsidRPr="0007255D">
        <w:rPr>
          <w:rFonts w:ascii="Arial" w:hAnsi="Arial" w:cs="Arial"/>
          <w:b/>
          <w:bCs/>
          <w:sz w:val="22"/>
          <w:szCs w:val="22"/>
        </w:rPr>
        <w:t>Importation risk by disease and host city</w:t>
      </w:r>
    </w:p>
    <w:p w14:paraId="032902BD" w14:textId="77777777" w:rsidR="00182D80" w:rsidRPr="0007255D" w:rsidRDefault="00182D80" w:rsidP="00182D80">
      <w:pPr>
        <w:rPr>
          <w:rFonts w:ascii="Arial" w:hAnsi="Arial" w:cs="Arial"/>
          <w:sz w:val="22"/>
          <w:szCs w:val="22"/>
        </w:rPr>
      </w:pPr>
      <w:r w:rsidRPr="0007255D">
        <w:rPr>
          <w:rFonts w:ascii="Arial" w:hAnsi="Arial" w:cs="Arial"/>
          <w:sz w:val="22"/>
          <w:szCs w:val="22"/>
        </w:rPr>
        <w:t>Under the schedule-driven model (M3), the probability of at least one dengue importation exceeded 99% in Miami, New York, and Houston (Figure </w:t>
      </w:r>
      <w:hyperlink w:anchor="fig:heatmap">
        <w:r w:rsidRPr="0007255D">
          <w:rPr>
            <w:rStyle w:val="Hyperlink"/>
            <w:rFonts w:ascii="Arial" w:hAnsi="Arial" w:cs="Arial"/>
            <w:sz w:val="22"/>
            <w:szCs w:val="22"/>
          </w:rPr>
          <w:t>1</w:t>
        </w:r>
      </w:hyperlink>
      <w:r w:rsidRPr="0007255D">
        <w:rPr>
          <w:rFonts w:ascii="Arial" w:hAnsi="Arial" w:cs="Arial"/>
          <w:sz w:val="22"/>
          <w:szCs w:val="22"/>
        </w:rPr>
        <w:t>; equivalent heatmaps for the Baseline (M1) and WC-adjusted (M2) models are shown in Supplementary Figures S1 and S2). Miami had the highest absolute importation intensity (</w:t>
      </w:r>
      <m:oMath>
        <m:r>
          <m:rPr>
            <m:sty m:val="p"/>
          </m:rPr>
          <w:rPr>
            <w:rFonts w:ascii="Cambria Math" w:hAnsi="Cambria Math" w:cs="Arial"/>
            <w:sz w:val="22"/>
            <w:szCs w:val="22"/>
          </w:rPr>
          <m:t>Λ=</m:t>
        </m:r>
        <m:r>
          <w:rPr>
            <w:rFonts w:ascii="Cambria Math" w:hAnsi="Cambria Math" w:cs="Arial"/>
            <w:sz w:val="22"/>
            <w:szCs w:val="22"/>
          </w:rPr>
          <m:t>15.8</m:t>
        </m:r>
      </m:oMath>
      <w:r w:rsidRPr="0007255D">
        <w:rPr>
          <w:rFonts w:ascii="Arial" w:hAnsi="Arial" w:cs="Arial"/>
          <w:sz w:val="22"/>
          <w:szCs w:val="22"/>
        </w:rPr>
        <w:t xml:space="preserve">, 95% CI 5.6–32.3), followed by New York (10.5, 95% CI 3.7–21.5) and Houston (5.6, 95% CI 2.0–11.4). The dengue importation probabilities exceeded 0.95 in Dallas and Atlanta, while smaller venues — Boston, Seattle, and Kansas City — showed substantially lower probabilities. Dengue importation intensity in 11 cities under M3 was 45.0 (95% CI 16.0–92.3). Malaria risk exceeded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)&gt;</m:t>
        </m:r>
        <m:r>
          <w:rPr>
            <w:rFonts w:ascii="Cambria Math" w:hAnsi="Cambria Math" w:cs="Arial"/>
            <w:sz w:val="22"/>
            <w:szCs w:val="22"/>
          </w:rPr>
          <m:t>0.99</m:t>
        </m:r>
      </m:oMath>
      <w:r w:rsidRPr="0007255D">
        <w:rPr>
          <w:rFonts w:ascii="Arial" w:hAnsi="Arial" w:cs="Arial"/>
          <w:sz w:val="22"/>
          <w:szCs w:val="22"/>
        </w:rPr>
        <w:t xml:space="preserve"> in Atlanta and New York, with Atlanta carrying the highest absolute intensity (</w:t>
      </w:r>
      <m:oMath>
        <m:r>
          <m:rPr>
            <m:sty m:val="p"/>
          </m:rPr>
          <w:rPr>
            <w:rFonts w:ascii="Cambria Math" w:hAnsi="Cambria Math" w:cs="Arial"/>
            <w:sz w:val="22"/>
            <w:szCs w:val="22"/>
          </w:rPr>
          <m:t>Λ=</m:t>
        </m:r>
        <m:r>
          <w:rPr>
            <w:rFonts w:ascii="Cambria Math" w:hAnsi="Cambria Math" w:cs="Arial"/>
            <w:sz w:val="22"/>
            <w:szCs w:val="22"/>
          </w:rPr>
          <m:t>8.54</m:t>
        </m:r>
      </m:oMath>
      <w:r w:rsidRPr="0007255D">
        <w:rPr>
          <w:rFonts w:ascii="Arial" w:hAnsi="Arial" w:cs="Arial"/>
          <w:sz w:val="22"/>
          <w:szCs w:val="22"/>
        </w:rPr>
        <w:t>), reflecting the concentration of Sub-Saharan African air routes through Hartsfield-Jackson airport; malaria importation intensity in the 11 cities was 16.4 (95% CI 4.9–39.1). Pertussis (</w:t>
      </w:r>
      <m:oMath>
        <m:r>
          <m:rPr>
            <m:sty m:val="p"/>
          </m:rPr>
          <w:rPr>
            <w:rFonts w:ascii="Cambria Math" w:hAnsi="Cambria Math" w:cs="Arial"/>
            <w:sz w:val="22"/>
            <w:szCs w:val="22"/>
          </w:rPr>
          <m:t>Λ=</m:t>
        </m:r>
        <m:r>
          <w:rPr>
            <w:rFonts w:ascii="Cambria Math" w:hAnsi="Cambria Math" w:cs="Arial"/>
            <w:sz w:val="22"/>
            <w:szCs w:val="22"/>
          </w:rPr>
          <m:t>2.0</m:t>
        </m:r>
      </m:oMath>
      <w:r w:rsidRPr="0007255D">
        <w:rPr>
          <w:rFonts w:ascii="Arial" w:hAnsi="Arial" w:cs="Arial"/>
          <w:sz w:val="22"/>
          <w:szCs w:val="22"/>
        </w:rPr>
        <w:t>, 95% CI 0.5––4.2) and influenza (</w:t>
      </w:r>
      <m:oMath>
        <m:r>
          <m:rPr>
            <m:sty m:val="p"/>
          </m:rPr>
          <w:rPr>
            <w:rFonts w:ascii="Cambria Math" w:hAnsi="Cambria Math" w:cs="Arial"/>
            <w:sz w:val="22"/>
            <w:szCs w:val="22"/>
          </w:rPr>
          <m:t>Λ=</m:t>
        </m:r>
        <m:r>
          <w:rPr>
            <w:rFonts w:ascii="Cambria Math" w:hAnsi="Cambria Math" w:cs="Arial"/>
            <w:sz w:val="22"/>
            <w:szCs w:val="22"/>
          </w:rPr>
          <m:t>1.8</m:t>
        </m:r>
      </m:oMath>
      <w:r w:rsidRPr="0007255D">
        <w:rPr>
          <w:rFonts w:ascii="Arial" w:hAnsi="Arial" w:cs="Arial"/>
          <w:sz w:val="22"/>
          <w:szCs w:val="22"/>
        </w:rPr>
        <w:t>, 95% CI 0.4––4.0) showed intermediate importation intensities. Measles had near-zero expected importation intensity (</w:t>
      </w:r>
      <m:oMath>
        <m:r>
          <m:rPr>
            <m:sty m:val="p"/>
          </m:rPr>
          <w:rPr>
            <w:rFonts w:ascii="Cambria Math" w:hAnsi="Cambria Math" w:cs="Arial"/>
            <w:sz w:val="22"/>
            <w:szCs w:val="22"/>
          </w:rPr>
          <m:t>Λ=</m:t>
        </m:r>
        <m:r>
          <w:rPr>
            <w:rFonts w:ascii="Cambria Math" w:hAnsi="Cambria Math" w:cs="Arial"/>
            <w:sz w:val="22"/>
            <w:szCs w:val="22"/>
          </w:rPr>
          <m:t>0.05</m:t>
        </m:r>
      </m:oMath>
      <w:r w:rsidRPr="0007255D">
        <w:rPr>
          <w:rFonts w:ascii="Arial" w:hAnsi="Arial" w:cs="Arial"/>
          <w:sz w:val="22"/>
          <w:szCs w:val="22"/>
        </w:rPr>
        <w:t>, 95% CI 0.02–0.10) because WHO-reported per-capita incidence is very low across most World Cup source countries; US measles cases arise primarily from outbreak chains seeded by a small number of imports rather than many imported cases.</w:t>
      </w:r>
    </w:p>
    <w:p w14:paraId="575AC77A" w14:textId="77777777" w:rsidR="00182D80" w:rsidRPr="0007255D" w:rsidRDefault="00182D80" w:rsidP="00182D80">
      <w:pPr>
        <w:rPr>
          <w:rFonts w:ascii="Arial" w:hAnsi="Arial" w:cs="Arial"/>
          <w:sz w:val="22"/>
          <w:szCs w:val="22"/>
        </w:rPr>
      </w:pPr>
      <w:r w:rsidRPr="0007255D">
        <w:rPr>
          <w:rFonts w:ascii="Arial" w:hAnsi="Arial" w:cs="Arial"/>
          <w:noProof/>
          <w:sz w:val="22"/>
          <w:szCs w:val="22"/>
        </w:rPr>
        <w:drawing>
          <wp:inline distT="0" distB="0" distL="0" distR="0" wp14:anchorId="7615B3B7" wp14:editId="399C7362">
            <wp:extent cx="5334000" cy="192024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Figure1.png"/>
                    <pic:cNvPicPr>
                      <a:picLocks noChangeAspect="1" noChangeArrowheads="1"/>
                    </pic:cNvPicPr>
                  </pic:nvPicPr>
                  <pic:blipFill>
                    <a:blip r:embed="rId5"/>
                    <a:stretch>
                      <a:fillRect/>
                    </a:stretch>
                  </pic:blipFill>
                  <pic:spPr bwMode="auto">
                    <a:xfrm>
                      <a:off x="0" y="0"/>
                      <a:ext cx="5334000" cy="1920240"/>
                    </a:xfrm>
                    <a:prstGeom prst="rect">
                      <a:avLst/>
                    </a:prstGeom>
                    <a:noFill/>
                    <a:ln w="9525">
                      <a:noFill/>
                      <a:headEnd/>
                      <a:tailEnd/>
                    </a:ln>
                  </pic:spPr>
                </pic:pic>
              </a:graphicData>
            </a:graphic>
          </wp:inline>
        </w:drawing>
      </w:r>
    </w:p>
    <w:p w14:paraId="50A383B7" w14:textId="77777777" w:rsidR="00182D80" w:rsidRPr="0007255D" w:rsidRDefault="00182D80" w:rsidP="00182D80">
      <w:pPr>
        <w:rPr>
          <w:rFonts w:ascii="Arial" w:hAnsi="Arial" w:cs="Arial"/>
          <w:sz w:val="18"/>
          <w:szCs w:val="18"/>
        </w:rPr>
      </w:pPr>
      <w:r w:rsidRPr="0007255D">
        <w:rPr>
          <w:rFonts w:ascii="Arial" w:hAnsi="Arial" w:cs="Arial"/>
          <w:b/>
          <w:bCs/>
          <w:sz w:val="18"/>
          <w:szCs w:val="18"/>
        </w:rPr>
        <w:t>Figure 1.</w:t>
      </w:r>
      <w:r w:rsidRPr="0007255D">
        <w:rPr>
          <w:rFonts w:ascii="Arial" w:hAnsi="Arial" w:cs="Arial"/>
          <w:sz w:val="18"/>
          <w:szCs w:val="18"/>
        </w:rPr>
        <w:t xml:space="preserve"> </w:t>
      </w:r>
      <w:r w:rsidRPr="0007255D">
        <w:rPr>
          <w:rFonts w:ascii="Arial" w:hAnsi="Arial" w:cs="Arial"/>
          <w:b/>
          <w:bCs/>
          <w:sz w:val="18"/>
          <w:szCs w:val="18"/>
        </w:rPr>
        <w:t>Importation probability for five infectious diseases at 11 US FIFA World Cup 2026 host cities.</w:t>
      </w:r>
      <w:r w:rsidRPr="0007255D">
        <w:rPr>
          <w:rFonts w:ascii="Arial" w:hAnsi="Arial" w:cs="Arial"/>
          <w:sz w:val="18"/>
          <w:szCs w:val="18"/>
        </w:rPr>
        <w:t xml:space="preserve"> Cells show </w:t>
      </w:r>
      <m:oMath>
        <m:r>
          <w:rPr>
            <w:rFonts w:ascii="Cambria Math" w:hAnsi="Cambria Math" w:cs="Arial"/>
            <w:sz w:val="18"/>
            <w:szCs w:val="18"/>
          </w:rPr>
          <m:t>P</m:t>
        </m:r>
        <m:r>
          <m:rPr>
            <m:sty m:val="p"/>
          </m:rPr>
          <w:rPr>
            <w:rFonts w:ascii="Cambria Math" w:hAnsi="Cambria Math" w:cs="Arial"/>
            <w:sz w:val="18"/>
            <w:szCs w:val="18"/>
          </w:rPr>
          <m:t>(≥</m:t>
        </m:r>
        <m:r>
          <w:rPr>
            <w:rFonts w:ascii="Cambria Math" w:hAnsi="Cambria Math" w:cs="Arial"/>
            <w:sz w:val="18"/>
            <w:szCs w:val="18"/>
          </w:rPr>
          <m:t>1</m:t>
        </m:r>
        <m:r>
          <m:rPr>
            <m:sty m:val="p"/>
          </m:rPr>
          <w:rPr>
            <w:rFonts w:ascii="Cambria Math" w:hAnsi="Cambria Math" w:cs="Arial"/>
            <w:sz w:val="18"/>
            <w:szCs w:val="18"/>
          </w:rPr>
          <m:t>)</m:t>
        </m:r>
      </m:oMath>
      <w:r w:rsidRPr="0007255D">
        <w:rPr>
          <w:rFonts w:ascii="Arial" w:hAnsi="Arial" w:cs="Arial"/>
          <w:sz w:val="18"/>
          <w:szCs w:val="18"/>
        </w:rPr>
        <w:t xml:space="preserve">, the probability of at least one imported case at each city in June 2026, under the schedule-driven model (M3) Monte Carlo median. Cities are ordered by total importation intensity. Values </w:t>
      </w:r>
      <m:oMath>
        <m:r>
          <m:rPr>
            <m:sty m:val="p"/>
          </m:rPr>
          <w:rPr>
            <w:rFonts w:ascii="Cambria Math" w:hAnsi="Cambria Math" w:cs="Arial"/>
            <w:sz w:val="18"/>
            <w:szCs w:val="18"/>
          </w:rPr>
          <m:t>&lt;</m:t>
        </m:r>
        <m:r>
          <w:rPr>
            <w:rFonts w:ascii="Cambria Math" w:hAnsi="Cambria Math" w:cs="Arial"/>
            <w:sz w:val="18"/>
            <w:szCs w:val="18"/>
          </w:rPr>
          <m:t>0.01</m:t>
        </m:r>
      </m:oMath>
      <w:r w:rsidRPr="0007255D">
        <w:rPr>
          <w:rFonts w:ascii="Arial" w:hAnsi="Arial" w:cs="Arial"/>
          <w:sz w:val="18"/>
          <w:szCs w:val="18"/>
        </w:rPr>
        <w:t xml:space="preserve"> and </w:t>
      </w:r>
      <m:oMath>
        <m:r>
          <m:rPr>
            <m:sty m:val="p"/>
          </m:rPr>
          <w:rPr>
            <w:rFonts w:ascii="Cambria Math" w:hAnsi="Cambria Math" w:cs="Arial"/>
            <w:sz w:val="18"/>
            <w:szCs w:val="18"/>
          </w:rPr>
          <m:t>&gt;</m:t>
        </m:r>
        <m:r>
          <w:rPr>
            <w:rFonts w:ascii="Cambria Math" w:hAnsi="Cambria Math" w:cs="Arial"/>
            <w:sz w:val="18"/>
            <w:szCs w:val="18"/>
          </w:rPr>
          <m:t>0.99</m:t>
        </m:r>
      </m:oMath>
      <w:r w:rsidRPr="0007255D">
        <w:rPr>
          <w:rFonts w:ascii="Arial" w:hAnsi="Arial" w:cs="Arial"/>
          <w:sz w:val="18"/>
          <w:szCs w:val="18"/>
        </w:rPr>
        <w:t xml:space="preserve"> are shown as such.</w:t>
      </w:r>
    </w:p>
    <w:p w14:paraId="2C00DFA5" w14:textId="77777777" w:rsidR="00182D80" w:rsidRPr="0007255D" w:rsidRDefault="00182D80" w:rsidP="00182D80">
      <w:pPr>
        <w:pStyle w:val="ImageCaption"/>
        <w:rPr>
          <w:rFonts w:ascii="Arial" w:hAnsi="Arial" w:cs="Arial"/>
          <w:b/>
          <w:bCs/>
          <w:i w:val="0"/>
          <w:iCs/>
          <w:sz w:val="22"/>
          <w:szCs w:val="22"/>
        </w:rPr>
      </w:pPr>
      <w:r w:rsidRPr="0007255D">
        <w:rPr>
          <w:rFonts w:ascii="Arial" w:hAnsi="Arial" w:cs="Arial"/>
          <w:b/>
          <w:bCs/>
          <w:i w:val="0"/>
          <w:iCs/>
          <w:sz w:val="22"/>
          <w:szCs w:val="22"/>
        </w:rPr>
        <w:lastRenderedPageBreak/>
        <w:t>Expected importation intensity and parameter uncertainty</w:t>
      </w:r>
    </w:p>
    <w:p w14:paraId="38908074" w14:textId="77777777" w:rsidR="00182D80" w:rsidRPr="0007255D" w:rsidRDefault="00182D80" w:rsidP="00182D80">
      <w:pPr>
        <w:rPr>
          <w:rFonts w:ascii="Arial" w:hAnsi="Arial" w:cs="Arial"/>
          <w:sz w:val="22"/>
          <w:szCs w:val="22"/>
        </w:rPr>
      </w:pPr>
      <w:r w:rsidRPr="0007255D">
        <w:rPr>
          <w:rFonts w:ascii="Arial" w:hAnsi="Arial" w:cs="Arial"/>
          <w:sz w:val="22"/>
          <w:szCs w:val="22"/>
        </w:rPr>
        <w:t>Figure </w:t>
      </w:r>
      <w:hyperlink w:anchor="fig:lambdaci">
        <w:r w:rsidRPr="0007255D">
          <w:rPr>
            <w:rStyle w:val="Hyperlink"/>
            <w:rFonts w:ascii="Arial" w:hAnsi="Arial" w:cs="Arial"/>
            <w:sz w:val="22"/>
            <w:szCs w:val="22"/>
          </w:rPr>
          <w:t>2</w:t>
        </w:r>
      </w:hyperlink>
      <w:r w:rsidRPr="0007255D">
        <w:rPr>
          <w:rFonts w:ascii="Arial" w:hAnsi="Arial" w:cs="Arial"/>
          <w:sz w:val="22"/>
          <w:szCs w:val="22"/>
        </w:rPr>
        <w:t xml:space="preserve"> shows Monte Carlo median </w:t>
      </w:r>
      <m:oMath>
        <m:r>
          <m:rPr>
            <m:sty m:val="p"/>
          </m:rPr>
          <w:rPr>
            <w:rFonts w:ascii="Cambria Math" w:hAnsi="Cambria Math" w:cs="Arial"/>
            <w:sz w:val="22"/>
            <w:szCs w:val="22"/>
          </w:rPr>
          <m:t>Λ</m:t>
        </m:r>
      </m:oMath>
      <w:r w:rsidRPr="0007255D">
        <w:rPr>
          <w:rFonts w:ascii="Arial" w:hAnsi="Arial" w:cs="Arial"/>
          <w:sz w:val="22"/>
          <w:szCs w:val="22"/>
        </w:rPr>
        <w:t xml:space="preserve"> and 95% uncertainty intervals for each disease and city. Dengue intensities are roughly 3-fold higher than malaria and nearly three orders of magnitude above measles. Interval asymmetry is disease-specific; for dengue, the upper interval bound is roughly twice the median while the lower bound is about one third of the median, indicating that the central estimate lies in the lower half of the plausible range. For pertussis, the upper CI is compressed toward the median, confirming that estimates are conservative upper bounds (the reference detection rate equals the upper literature limit).</w:t>
      </w:r>
    </w:p>
    <w:p w14:paraId="1A9CAEDF" w14:textId="77777777" w:rsidR="00182D80" w:rsidRPr="0007255D" w:rsidRDefault="00182D80" w:rsidP="00182D80">
      <w:pPr>
        <w:rPr>
          <w:rFonts w:ascii="Arial" w:hAnsi="Arial" w:cs="Arial"/>
          <w:b/>
          <w:bCs/>
          <w:sz w:val="22"/>
          <w:szCs w:val="22"/>
        </w:rPr>
      </w:pPr>
      <w:r w:rsidRPr="0007255D">
        <w:rPr>
          <w:rFonts w:ascii="Arial" w:hAnsi="Arial" w:cs="Arial"/>
          <w:noProof/>
          <w:sz w:val="22"/>
          <w:szCs w:val="22"/>
        </w:rPr>
        <w:drawing>
          <wp:inline distT="0" distB="0" distL="0" distR="0" wp14:anchorId="420352D7" wp14:editId="148DCC96">
            <wp:extent cx="5334000" cy="34290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2.png"/>
                    <pic:cNvPicPr>
                      <a:picLocks noChangeAspect="1" noChangeArrowheads="1"/>
                    </pic:cNvPicPr>
                  </pic:nvPicPr>
                  <pic:blipFill>
                    <a:blip r:embed="rId6"/>
                    <a:stretch>
                      <a:fillRect/>
                    </a:stretch>
                  </pic:blipFill>
                  <pic:spPr bwMode="auto">
                    <a:xfrm>
                      <a:off x="0" y="0"/>
                      <a:ext cx="5334000" cy="3429000"/>
                    </a:xfrm>
                    <a:prstGeom prst="rect">
                      <a:avLst/>
                    </a:prstGeom>
                    <a:noFill/>
                    <a:ln w="9525">
                      <a:noFill/>
                      <a:headEnd/>
                      <a:tailEnd/>
                    </a:ln>
                  </pic:spPr>
                </pic:pic>
              </a:graphicData>
            </a:graphic>
          </wp:inline>
        </w:drawing>
      </w:r>
    </w:p>
    <w:p w14:paraId="07ED547E" w14:textId="77777777" w:rsidR="00182D80" w:rsidRPr="0007255D" w:rsidRDefault="00182D80" w:rsidP="00182D80">
      <w:pPr>
        <w:rPr>
          <w:rFonts w:ascii="Arial" w:hAnsi="Arial" w:cs="Arial"/>
          <w:sz w:val="18"/>
          <w:szCs w:val="18"/>
        </w:rPr>
      </w:pPr>
      <w:r w:rsidRPr="0007255D">
        <w:rPr>
          <w:rFonts w:ascii="Arial" w:hAnsi="Arial" w:cs="Arial"/>
          <w:b/>
          <w:bCs/>
          <w:sz w:val="18"/>
          <w:szCs w:val="18"/>
        </w:rPr>
        <w:t>Figure 2.</w:t>
      </w:r>
      <w:r w:rsidRPr="0007255D">
        <w:rPr>
          <w:rFonts w:ascii="Arial" w:hAnsi="Arial" w:cs="Arial"/>
          <w:sz w:val="18"/>
          <w:szCs w:val="18"/>
        </w:rPr>
        <w:t xml:space="preserve"> </w:t>
      </w:r>
      <w:r w:rsidRPr="0007255D">
        <w:rPr>
          <w:rFonts w:ascii="Arial" w:hAnsi="Arial" w:cs="Arial"/>
          <w:b/>
          <w:bCs/>
          <w:sz w:val="18"/>
          <w:szCs w:val="18"/>
        </w:rPr>
        <w:t>Three-model comparison of expected importation intensity (</w:t>
      </w:r>
      <m:oMath>
        <m:r>
          <m:rPr>
            <m:sty m:val="p"/>
          </m:rPr>
          <w:rPr>
            <w:rFonts w:ascii="Cambria Math" w:hAnsi="Cambria Math" w:cs="Arial"/>
            <w:sz w:val="18"/>
            <w:szCs w:val="18"/>
          </w:rPr>
          <m:t>Λ</m:t>
        </m:r>
      </m:oMath>
      <w:r w:rsidRPr="0007255D">
        <w:rPr>
          <w:rFonts w:ascii="Arial" w:hAnsi="Arial" w:cs="Arial"/>
          <w:b/>
          <w:bCs/>
          <w:sz w:val="18"/>
          <w:szCs w:val="18"/>
        </w:rPr>
        <w:t>) with 95% Monte Carlo uncertainty intervals by disease across the six highest-risk US host cities.</w:t>
      </w:r>
      <w:r w:rsidRPr="0007255D">
        <w:rPr>
          <w:rFonts w:ascii="Arial" w:hAnsi="Arial" w:cs="Arial"/>
          <w:sz w:val="18"/>
          <w:szCs w:val="18"/>
        </w:rPr>
        <w:t xml:space="preserve"> Points are Monte Carlo medians; horizontal bars span the 2.5th–97.5th percentiles from 5,000 Uniform draws on </w:t>
      </w:r>
      <m:oMath>
        <m:sSub>
          <m:sSubPr>
            <m:ctrlPr>
              <w:rPr>
                <w:rFonts w:ascii="Cambria Math" w:hAnsi="Cambria Math" w:cs="Arial"/>
                <w:sz w:val="18"/>
                <w:szCs w:val="18"/>
              </w:rPr>
            </m:ctrlPr>
          </m:sSubPr>
          <m:e>
            <m:r>
              <w:rPr>
                <w:rFonts w:ascii="Cambria Math" w:hAnsi="Cambria Math" w:cs="Arial"/>
                <w:sz w:val="18"/>
                <w:szCs w:val="18"/>
              </w:rPr>
              <m:t>ρ</m:t>
            </m:r>
          </m:e>
          <m:sub>
            <m:r>
              <w:rPr>
                <w:rFonts w:ascii="Cambria Math" w:hAnsi="Cambria Math" w:cs="Arial"/>
                <w:sz w:val="18"/>
                <w:szCs w:val="18"/>
              </w:rPr>
              <m:t>d</m:t>
            </m:r>
          </m:sub>
        </m:sSub>
      </m:oMath>
      <w:r w:rsidRPr="0007255D">
        <w:rPr>
          <w:rFonts w:ascii="Arial" w:hAnsi="Arial" w:cs="Arial"/>
          <w:sz w:val="18"/>
          <w:szCs w:val="18"/>
        </w:rPr>
        <w:t xml:space="preserve"> and </w:t>
      </w:r>
      <m:oMath>
        <m:sSub>
          <m:sSubPr>
            <m:ctrlPr>
              <w:rPr>
                <w:rFonts w:ascii="Cambria Math" w:hAnsi="Cambria Math" w:cs="Arial"/>
                <w:sz w:val="18"/>
                <w:szCs w:val="18"/>
              </w:rPr>
            </m:ctrlPr>
          </m:sSubPr>
          <m:e>
            <m:r>
              <w:rPr>
                <w:rFonts w:ascii="Cambria Math" w:hAnsi="Cambria Math" w:cs="Arial"/>
                <w:sz w:val="18"/>
                <w:szCs w:val="18"/>
              </w:rPr>
              <m:t>p</m:t>
            </m:r>
          </m:e>
          <m:sub>
            <m:r>
              <w:rPr>
                <w:rFonts w:ascii="Cambria Math" w:hAnsi="Cambria Math" w:cs="Arial"/>
                <w:sz w:val="18"/>
                <w:szCs w:val="18"/>
              </w:rPr>
              <m:t>d</m:t>
            </m:r>
          </m:sub>
        </m:sSub>
      </m:oMath>
      <w:r w:rsidRPr="0007255D">
        <w:rPr>
          <w:rFonts w:ascii="Arial" w:hAnsi="Arial" w:cs="Arial"/>
          <w:sz w:val="18"/>
          <w:szCs w:val="18"/>
        </w:rPr>
        <w:t>. Interval asymmetry is examined in Supplementary Figure S3. Each disease panel has an independent x-axis. Colors correspond to model: M1 = Baseline (COR June 2024, no World Cup adjustment); M2 = WC-adjusted (2026 projections, T-100 routing for all travellers); M3 = Schedule-driven (World Cup fans routed by match schedule, background travellers by T-100).</w:t>
      </w:r>
    </w:p>
    <w:p w14:paraId="36CF1115" w14:textId="77777777" w:rsidR="00182D80" w:rsidRPr="0007255D" w:rsidRDefault="00182D80" w:rsidP="00182D80">
      <w:pPr>
        <w:pStyle w:val="ImageCaption"/>
        <w:rPr>
          <w:rFonts w:ascii="Arial" w:hAnsi="Arial" w:cs="Arial"/>
          <w:b/>
          <w:bCs/>
          <w:i w:val="0"/>
          <w:iCs/>
          <w:sz w:val="22"/>
          <w:szCs w:val="22"/>
        </w:rPr>
      </w:pPr>
      <w:r w:rsidRPr="0007255D">
        <w:rPr>
          <w:rFonts w:ascii="Arial" w:hAnsi="Arial" w:cs="Arial"/>
          <w:b/>
          <w:bCs/>
          <w:i w:val="0"/>
          <w:iCs/>
          <w:sz w:val="22"/>
          <w:szCs w:val="22"/>
        </w:rPr>
        <w:t>Effect of the World Cup travel surge across model tiers</w:t>
      </w:r>
    </w:p>
    <w:p w14:paraId="40CF2C05"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The World Cup travel surge (M1 </w:t>
      </w:r>
      <m:oMath>
        <m:r>
          <m:rPr>
            <m:sty m:val="p"/>
          </m:rPr>
          <w:rPr>
            <w:rFonts w:ascii="Cambria Math" w:hAnsi="Cambria Math" w:cs="Arial"/>
            <w:sz w:val="22"/>
            <w:szCs w:val="22"/>
          </w:rPr>
          <m:t>→</m:t>
        </m:r>
      </m:oMath>
      <w:r w:rsidRPr="0007255D">
        <w:rPr>
          <w:rFonts w:ascii="Arial" w:hAnsi="Arial" w:cs="Arial"/>
          <w:sz w:val="22"/>
          <w:szCs w:val="22"/>
        </w:rPr>
        <w:t xml:space="preserve"> M2) increased the 11-city dengue total by approximately 17% (39.7 to 46.6; Figure </w:t>
      </w:r>
      <w:hyperlink w:anchor="fig:lambdaci">
        <w:r w:rsidRPr="0007255D">
          <w:rPr>
            <w:rStyle w:val="Hyperlink"/>
            <w:rFonts w:ascii="Arial" w:hAnsi="Arial" w:cs="Arial"/>
            <w:sz w:val="22"/>
            <w:szCs w:val="22"/>
          </w:rPr>
          <w:t>2</w:t>
        </w:r>
      </w:hyperlink>
      <w:r w:rsidRPr="0007255D">
        <w:rPr>
          <w:rFonts w:ascii="Arial" w:hAnsi="Arial" w:cs="Arial"/>
          <w:sz w:val="22"/>
          <w:szCs w:val="22"/>
        </w:rPr>
        <w:t xml:space="preserve">). The schedule-driven model (M3: 45.0) fell slightly below the WC-adjusted model (M2: 46.6) because the fan </w:t>
      </w:r>
      <w:proofErr w:type="gramStart"/>
      <w:r w:rsidRPr="0007255D">
        <w:rPr>
          <w:rFonts w:ascii="Arial" w:hAnsi="Arial" w:cs="Arial"/>
          <w:sz w:val="22"/>
          <w:szCs w:val="22"/>
        </w:rPr>
        <w:t>increment</w:t>
      </w:r>
      <w:proofErr w:type="gramEnd"/>
      <w:r w:rsidRPr="0007255D">
        <w:rPr>
          <w:rFonts w:ascii="Arial" w:hAnsi="Arial" w:cs="Arial"/>
          <w:sz w:val="22"/>
          <w:szCs w:val="22"/>
        </w:rPr>
        <w:t xml:space="preserve"> for teams playing in Canada and Mexico was redirected to non-US venues, reducing US city totals. M2 allocates all World Cup growth to US cities via T-100 routing and cannot make this distinction, so M3 gives a more accurate estimate of the US-specific burden. Comparable patterns held for malaria (M1: 14.7, M2: 16.6, M3: 16.4) and the other diseases.</w:t>
      </w:r>
    </w:p>
    <w:p w14:paraId="66D88A0A" w14:textId="77777777" w:rsidR="00182D80" w:rsidRPr="0007255D" w:rsidRDefault="00182D80" w:rsidP="00182D80">
      <w:pPr>
        <w:rPr>
          <w:rFonts w:ascii="Arial" w:hAnsi="Arial" w:cs="Arial"/>
          <w:sz w:val="22"/>
          <w:szCs w:val="22"/>
        </w:rPr>
      </w:pPr>
      <w:r w:rsidRPr="0007255D">
        <w:rPr>
          <w:rFonts w:ascii="Arial" w:hAnsi="Arial" w:cs="Arial"/>
          <w:sz w:val="22"/>
          <w:szCs w:val="22"/>
        </w:rPr>
        <w:t>Figure </w:t>
      </w:r>
      <w:hyperlink w:anchor="fig:excess">
        <w:r w:rsidRPr="0007255D">
          <w:rPr>
            <w:rStyle w:val="Hyperlink"/>
            <w:rFonts w:ascii="Arial" w:hAnsi="Arial" w:cs="Arial"/>
            <w:sz w:val="22"/>
            <w:szCs w:val="22"/>
          </w:rPr>
          <w:t>3</w:t>
        </w:r>
      </w:hyperlink>
      <w:r w:rsidRPr="0007255D">
        <w:rPr>
          <w:rFonts w:ascii="Arial" w:hAnsi="Arial" w:cs="Arial"/>
          <w:sz w:val="22"/>
          <w:szCs w:val="22"/>
        </w:rPr>
        <w:t xml:space="preserve"> decomposes the 11-city total into baseline travel (M1) and the World Cup-specific increment (M3 </w:t>
      </w:r>
      <m:oMath>
        <m:r>
          <m:rPr>
            <m:sty m:val="p"/>
          </m:rPr>
          <w:rPr>
            <w:rFonts w:ascii="Cambria Math" w:hAnsi="Cambria Math" w:cs="Arial"/>
            <w:sz w:val="22"/>
            <w:szCs w:val="22"/>
          </w:rPr>
          <m:t>-</m:t>
        </m:r>
      </m:oMath>
      <w:r w:rsidRPr="0007255D">
        <w:rPr>
          <w:rFonts w:ascii="Arial" w:hAnsi="Arial" w:cs="Arial"/>
          <w:sz w:val="22"/>
          <w:szCs w:val="22"/>
        </w:rPr>
        <w:t xml:space="preserve"> M1) for each disease. Baseline travel accounts for 86–93% of total expected importations across all diseases; the World Cup adds only 7–14%. Most of the risk is thus </w:t>
      </w:r>
      <w:r w:rsidRPr="0007255D">
        <w:rPr>
          <w:rFonts w:ascii="Arial" w:hAnsi="Arial" w:cs="Arial"/>
          <w:sz w:val="22"/>
          <w:szCs w:val="22"/>
        </w:rPr>
        <w:lastRenderedPageBreak/>
        <w:t>present without the tournament, and surveillance confined to the World Cup window will miss most of it.</w:t>
      </w:r>
    </w:p>
    <w:p w14:paraId="1C3493C0" w14:textId="77777777" w:rsidR="00182D80" w:rsidRPr="0007255D" w:rsidRDefault="00182D80" w:rsidP="00182D80">
      <w:pPr>
        <w:rPr>
          <w:rFonts w:ascii="Arial" w:hAnsi="Arial" w:cs="Arial"/>
          <w:sz w:val="22"/>
          <w:szCs w:val="22"/>
        </w:rPr>
      </w:pPr>
      <w:r w:rsidRPr="0007255D">
        <w:rPr>
          <w:rFonts w:ascii="Arial" w:hAnsi="Arial" w:cs="Arial"/>
          <w:noProof/>
          <w:sz w:val="22"/>
          <w:szCs w:val="22"/>
        </w:rPr>
        <w:drawing>
          <wp:inline distT="0" distB="0" distL="0" distR="0" wp14:anchorId="1EEE5F1A" wp14:editId="39C31C4C">
            <wp:extent cx="5334000" cy="22225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3.png"/>
                    <pic:cNvPicPr>
                      <a:picLocks noChangeAspect="1" noChangeArrowheads="1"/>
                    </pic:cNvPicPr>
                  </pic:nvPicPr>
                  <pic:blipFill>
                    <a:blip r:embed="rId7"/>
                    <a:stretch>
                      <a:fillRect/>
                    </a:stretch>
                  </pic:blipFill>
                  <pic:spPr bwMode="auto">
                    <a:xfrm>
                      <a:off x="0" y="0"/>
                      <a:ext cx="5334000" cy="2222500"/>
                    </a:xfrm>
                    <a:prstGeom prst="rect">
                      <a:avLst/>
                    </a:prstGeom>
                    <a:noFill/>
                    <a:ln w="9525">
                      <a:noFill/>
                      <a:headEnd/>
                      <a:tailEnd/>
                    </a:ln>
                  </pic:spPr>
                </pic:pic>
              </a:graphicData>
            </a:graphic>
          </wp:inline>
        </w:drawing>
      </w:r>
    </w:p>
    <w:p w14:paraId="2814F8BB" w14:textId="77777777" w:rsidR="00182D80" w:rsidRPr="0007255D" w:rsidRDefault="00182D80" w:rsidP="00182D80">
      <w:pPr>
        <w:rPr>
          <w:rFonts w:ascii="Arial" w:hAnsi="Arial" w:cs="Arial"/>
          <w:sz w:val="18"/>
          <w:szCs w:val="18"/>
        </w:rPr>
      </w:pPr>
      <w:r w:rsidRPr="0007255D">
        <w:rPr>
          <w:rFonts w:ascii="Arial" w:hAnsi="Arial" w:cs="Arial"/>
          <w:b/>
          <w:bCs/>
          <w:sz w:val="18"/>
          <w:szCs w:val="18"/>
        </w:rPr>
        <w:t>Figure 3.</w:t>
      </w:r>
      <w:r w:rsidRPr="0007255D">
        <w:rPr>
          <w:rFonts w:ascii="Arial" w:hAnsi="Arial" w:cs="Arial"/>
          <w:sz w:val="18"/>
          <w:szCs w:val="18"/>
        </w:rPr>
        <w:t xml:space="preserve"> </w:t>
      </w:r>
      <w:r w:rsidRPr="0007255D">
        <w:rPr>
          <w:rFonts w:ascii="Arial" w:hAnsi="Arial" w:cs="Arial"/>
          <w:b/>
          <w:bCs/>
          <w:sz w:val="18"/>
          <w:szCs w:val="18"/>
        </w:rPr>
        <w:t>World Cup travel increment above baseline importation by disease.</w:t>
      </w:r>
      <w:r w:rsidRPr="0007255D">
        <w:rPr>
          <w:rFonts w:ascii="Arial" w:hAnsi="Arial" w:cs="Arial"/>
          <w:sz w:val="18"/>
          <w:szCs w:val="18"/>
        </w:rPr>
        <w:t xml:space="preserve"> Each bar shows the 11-city Monte Carlo median </w:t>
      </w:r>
      <m:oMath>
        <m:r>
          <m:rPr>
            <m:sty m:val="p"/>
          </m:rPr>
          <w:rPr>
            <w:rFonts w:ascii="Cambria Math" w:hAnsi="Cambria Math" w:cs="Arial"/>
            <w:sz w:val="18"/>
            <w:szCs w:val="18"/>
          </w:rPr>
          <m:t>Λ</m:t>
        </m:r>
      </m:oMath>
      <w:r w:rsidRPr="0007255D">
        <w:rPr>
          <w:rFonts w:ascii="Arial" w:hAnsi="Arial" w:cs="Arial"/>
          <w:sz w:val="18"/>
          <w:szCs w:val="18"/>
        </w:rPr>
        <w:t xml:space="preserve"> split into baseline travel (M1, blue) and the schedule-driven WC increment (M3 </w:t>
      </w:r>
      <m:oMath>
        <m:r>
          <m:rPr>
            <m:sty m:val="p"/>
          </m:rPr>
          <w:rPr>
            <w:rFonts w:ascii="Cambria Math" w:hAnsi="Cambria Math" w:cs="Arial"/>
            <w:sz w:val="18"/>
            <w:szCs w:val="18"/>
          </w:rPr>
          <m:t>-</m:t>
        </m:r>
      </m:oMath>
      <w:r w:rsidRPr="0007255D">
        <w:rPr>
          <w:rFonts w:ascii="Arial" w:hAnsi="Arial" w:cs="Arial"/>
          <w:sz w:val="18"/>
          <w:szCs w:val="18"/>
        </w:rPr>
        <w:t xml:space="preserve"> M1, red). Percentage labels indicate the WC increment as a share of the M1 baseline. The inset shows a zoomed view of the estimates for measles, which are otherwise not visible on the same scale as the other diseases. Baseline travel dominates across all five diseases, contributing 86–93% of total expected importations.</w:t>
      </w:r>
    </w:p>
    <w:p w14:paraId="4796D874" w14:textId="77777777" w:rsidR="00182D80" w:rsidRPr="0007255D" w:rsidRDefault="00182D80" w:rsidP="00182D80">
      <w:pPr>
        <w:pStyle w:val="ImageCaption"/>
        <w:rPr>
          <w:rFonts w:ascii="Arial" w:hAnsi="Arial" w:cs="Arial"/>
          <w:b/>
          <w:bCs/>
          <w:i w:val="0"/>
          <w:iCs/>
          <w:sz w:val="22"/>
          <w:szCs w:val="22"/>
        </w:rPr>
      </w:pPr>
      <w:r w:rsidRPr="0007255D">
        <w:rPr>
          <w:rFonts w:ascii="Arial" w:hAnsi="Arial" w:cs="Arial"/>
          <w:b/>
          <w:bCs/>
          <w:i w:val="0"/>
          <w:iCs/>
          <w:sz w:val="22"/>
          <w:szCs w:val="22"/>
        </w:rPr>
        <w:t>Source-country contributions</w:t>
      </w:r>
    </w:p>
    <w:p w14:paraId="00FAAEAA" w14:textId="77777777" w:rsidR="00182D80" w:rsidRPr="0007255D" w:rsidRDefault="00182D80" w:rsidP="00182D80">
      <w:pPr>
        <w:rPr>
          <w:rFonts w:ascii="Arial" w:hAnsi="Arial" w:cs="Arial"/>
          <w:sz w:val="22"/>
          <w:szCs w:val="22"/>
        </w:rPr>
      </w:pPr>
      <w:r w:rsidRPr="0007255D">
        <w:rPr>
          <w:rFonts w:ascii="Arial" w:hAnsi="Arial" w:cs="Arial"/>
          <w:sz w:val="22"/>
          <w:szCs w:val="22"/>
        </w:rPr>
        <w:t>Brazil and Mexico were the dominant dengue contributors across New York, Miami, and Houston (Figure </w:t>
      </w:r>
      <w:hyperlink w:anchor="fig:countries">
        <w:r w:rsidRPr="0007255D">
          <w:rPr>
            <w:rStyle w:val="Hyperlink"/>
            <w:rFonts w:ascii="Arial" w:hAnsi="Arial" w:cs="Arial"/>
            <w:sz w:val="22"/>
            <w:szCs w:val="22"/>
          </w:rPr>
          <w:t>4</w:t>
        </w:r>
      </w:hyperlink>
      <w:r w:rsidRPr="0007255D">
        <w:rPr>
          <w:rFonts w:ascii="Arial" w:hAnsi="Arial" w:cs="Arial"/>
          <w:sz w:val="22"/>
          <w:szCs w:val="22"/>
        </w:rPr>
        <w:t xml:space="preserve">). Nigeria and Ghana drove malaria risk at Atlanta and New York. For dengue at World Cup fan countries, contributions were split between a fan-specific stream (concentrated at match venues) and a background stream (distributed by routine T-100 routing). This confirms that the surge amplification is real but built on pre-existing high baseline travel from endemic source countries. Supplementary Figure S6 ranks the same </w:t>
      </w:r>
      <w:proofErr w:type="gramStart"/>
      <w:r w:rsidRPr="0007255D">
        <w:rPr>
          <w:rFonts w:ascii="Arial" w:hAnsi="Arial" w:cs="Arial"/>
          <w:sz w:val="22"/>
          <w:szCs w:val="22"/>
        </w:rPr>
        <w:t>top-10</w:t>
      </w:r>
      <w:proofErr w:type="gramEnd"/>
      <w:r w:rsidRPr="0007255D">
        <w:rPr>
          <w:rFonts w:ascii="Arial" w:hAnsi="Arial" w:cs="Arial"/>
          <w:sz w:val="22"/>
          <w:szCs w:val="22"/>
        </w:rPr>
        <w:t xml:space="preserve"> source countries by diaspora-weighted importation intensity (</w:t>
      </w:r>
      <m:oMath>
        <m:sSup>
          <m:sSupPr>
            <m:ctrlPr>
              <w:rPr>
                <w:rFonts w:ascii="Cambria Math" w:hAnsi="Cambria Math" w:cs="Arial"/>
                <w:sz w:val="22"/>
                <w:szCs w:val="22"/>
              </w:rPr>
            </m:ctrlPr>
          </m:sSupPr>
          <m:e>
            <m:r>
              <m:rPr>
                <m:sty m:val="p"/>
              </m:rPr>
              <w:rPr>
                <w:rFonts w:ascii="Cambria Math" w:hAnsi="Cambria Math" w:cs="Arial"/>
                <w:sz w:val="22"/>
                <w:szCs w:val="22"/>
              </w:rPr>
              <m:t>Ω</m:t>
            </m:r>
          </m:e>
          <m:sup>
            <m:r>
              <w:rPr>
                <w:rFonts w:ascii="Cambria Math" w:hAnsi="Cambria Math" w:cs="Arial"/>
                <w:sz w:val="22"/>
                <w:szCs w:val="22"/>
              </w:rPr>
              <m:t>A</m:t>
            </m:r>
          </m:sup>
        </m:sSup>
      </m:oMath>
      <w:r w:rsidRPr="0007255D">
        <w:rPr>
          <w:rFonts w:ascii="Arial" w:hAnsi="Arial" w:cs="Arial"/>
          <w:sz w:val="22"/>
          <w:szCs w:val="22"/>
        </w:rPr>
        <w:t xml:space="preserve">) rather than raw </w:t>
      </w:r>
      <m:oMath>
        <m:r>
          <w:rPr>
            <w:rFonts w:ascii="Cambria Math" w:hAnsi="Cambria Math" w:cs="Arial"/>
            <w:sz w:val="22"/>
            <w:szCs w:val="22"/>
          </w:rPr>
          <m:t>λ</m:t>
        </m:r>
      </m:oMath>
      <w:r w:rsidRPr="0007255D">
        <w:rPr>
          <w:rFonts w:ascii="Arial" w:hAnsi="Arial" w:cs="Arial"/>
          <w:sz w:val="22"/>
          <w:szCs w:val="22"/>
        </w:rPr>
        <w:t xml:space="preserve">; countries with large co-national communities concentrated in their primary destination cities rank higher in </w:t>
      </w:r>
      <m:oMath>
        <m:sSup>
          <m:sSupPr>
            <m:ctrlPr>
              <w:rPr>
                <w:rFonts w:ascii="Cambria Math" w:hAnsi="Cambria Math" w:cs="Arial"/>
                <w:sz w:val="22"/>
                <w:szCs w:val="22"/>
              </w:rPr>
            </m:ctrlPr>
          </m:sSupPr>
          <m:e>
            <m:r>
              <m:rPr>
                <m:sty m:val="p"/>
              </m:rPr>
              <w:rPr>
                <w:rFonts w:ascii="Cambria Math" w:hAnsi="Cambria Math" w:cs="Arial"/>
                <w:sz w:val="22"/>
                <w:szCs w:val="22"/>
              </w:rPr>
              <m:t>Ω</m:t>
            </m:r>
          </m:e>
          <m:sup>
            <m:r>
              <w:rPr>
                <w:rFonts w:ascii="Cambria Math" w:hAnsi="Cambria Math" w:cs="Arial"/>
                <w:sz w:val="22"/>
                <w:szCs w:val="22"/>
              </w:rPr>
              <m:t>A</m:t>
            </m:r>
          </m:sup>
        </m:sSup>
      </m:oMath>
      <w:r w:rsidRPr="0007255D">
        <w:rPr>
          <w:rFonts w:ascii="Arial" w:hAnsi="Arial" w:cs="Arial"/>
          <w:sz w:val="22"/>
          <w:szCs w:val="22"/>
        </w:rPr>
        <w:t xml:space="preserve"> than in </w:t>
      </w:r>
      <m:oMath>
        <m:r>
          <w:rPr>
            <w:rFonts w:ascii="Cambria Math" w:hAnsi="Cambria Math" w:cs="Arial"/>
            <w:sz w:val="22"/>
            <w:szCs w:val="22"/>
          </w:rPr>
          <m:t>λ</m:t>
        </m:r>
      </m:oMath>
      <w:r w:rsidRPr="0007255D">
        <w:rPr>
          <w:rFonts w:ascii="Arial" w:hAnsi="Arial" w:cs="Arial"/>
          <w:sz w:val="22"/>
          <w:szCs w:val="22"/>
        </w:rPr>
        <w:t>, revealing an additional layer of community-level exposure not visible from travel volumes alone.</w:t>
      </w:r>
    </w:p>
    <w:p w14:paraId="2C0B5F0A" w14:textId="77777777" w:rsidR="00182D80" w:rsidRPr="0007255D" w:rsidRDefault="00182D80" w:rsidP="00182D80">
      <w:pPr>
        <w:rPr>
          <w:rFonts w:ascii="Arial" w:hAnsi="Arial" w:cs="Arial"/>
          <w:sz w:val="22"/>
          <w:szCs w:val="22"/>
        </w:rPr>
      </w:pPr>
      <w:r w:rsidRPr="0007255D">
        <w:rPr>
          <w:rFonts w:ascii="Arial" w:hAnsi="Arial" w:cs="Arial"/>
          <w:noProof/>
          <w:sz w:val="22"/>
          <w:szCs w:val="22"/>
        </w:rPr>
        <w:lastRenderedPageBreak/>
        <w:drawing>
          <wp:inline distT="0" distB="0" distL="0" distR="0" wp14:anchorId="0D215DC3" wp14:editId="5416C6A0">
            <wp:extent cx="5334000" cy="46228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ure4.png"/>
                    <pic:cNvPicPr>
                      <a:picLocks noChangeAspect="1" noChangeArrowheads="1"/>
                    </pic:cNvPicPr>
                  </pic:nvPicPr>
                  <pic:blipFill>
                    <a:blip r:embed="rId8"/>
                    <a:stretch>
                      <a:fillRect/>
                    </a:stretch>
                  </pic:blipFill>
                  <pic:spPr bwMode="auto">
                    <a:xfrm>
                      <a:off x="0" y="0"/>
                      <a:ext cx="5334000" cy="4622800"/>
                    </a:xfrm>
                    <a:prstGeom prst="rect">
                      <a:avLst/>
                    </a:prstGeom>
                    <a:noFill/>
                    <a:ln w="9525">
                      <a:noFill/>
                      <a:headEnd/>
                      <a:tailEnd/>
                    </a:ln>
                  </pic:spPr>
                </pic:pic>
              </a:graphicData>
            </a:graphic>
          </wp:inline>
        </w:drawing>
      </w:r>
    </w:p>
    <w:p w14:paraId="4B49CDB6" w14:textId="77777777" w:rsidR="00182D80" w:rsidRPr="0007255D" w:rsidRDefault="00182D80" w:rsidP="00182D80">
      <w:pPr>
        <w:rPr>
          <w:rFonts w:ascii="Arial" w:hAnsi="Arial" w:cs="Arial"/>
          <w:sz w:val="18"/>
          <w:szCs w:val="18"/>
        </w:rPr>
      </w:pPr>
      <w:r w:rsidRPr="0007255D">
        <w:rPr>
          <w:rFonts w:ascii="Arial" w:hAnsi="Arial" w:cs="Arial"/>
          <w:b/>
          <w:bCs/>
          <w:sz w:val="18"/>
          <w:szCs w:val="18"/>
        </w:rPr>
        <w:t>Figure 4.</w:t>
      </w:r>
      <w:r w:rsidRPr="0007255D">
        <w:rPr>
          <w:rFonts w:ascii="Arial" w:hAnsi="Arial" w:cs="Arial"/>
          <w:sz w:val="18"/>
          <w:szCs w:val="18"/>
        </w:rPr>
        <w:t xml:space="preserve"> </w:t>
      </w:r>
      <w:r w:rsidRPr="0007255D">
        <w:rPr>
          <w:rFonts w:ascii="Arial" w:hAnsi="Arial" w:cs="Arial"/>
          <w:b/>
          <w:bCs/>
          <w:sz w:val="18"/>
          <w:szCs w:val="18"/>
        </w:rPr>
        <w:t>Top 10 source-country contributors to expected importation intensity by disease, under the schedule-driven model (M3).</w:t>
      </w:r>
      <w:r w:rsidRPr="0007255D">
        <w:rPr>
          <w:rFonts w:ascii="Arial" w:hAnsi="Arial" w:cs="Arial"/>
          <w:sz w:val="18"/>
          <w:szCs w:val="18"/>
        </w:rPr>
        <w:t xml:space="preserve"> Bars show expected importations </w:t>
      </w:r>
      <m:oMath>
        <m:sSub>
          <m:sSubPr>
            <m:ctrlPr>
              <w:rPr>
                <w:rFonts w:ascii="Cambria Math" w:hAnsi="Cambria Math" w:cs="Arial"/>
                <w:sz w:val="18"/>
                <w:szCs w:val="18"/>
              </w:rPr>
            </m:ctrlPr>
          </m:sSubPr>
          <m:e>
            <m:r>
              <w:rPr>
                <w:rFonts w:ascii="Cambria Math" w:hAnsi="Cambria Math" w:cs="Arial"/>
                <w:sz w:val="18"/>
                <w:szCs w:val="18"/>
              </w:rPr>
              <m:t>λ</m:t>
            </m:r>
          </m:e>
          <m:sub>
            <m:r>
              <w:rPr>
                <w:rFonts w:ascii="Cambria Math" w:hAnsi="Cambria Math" w:cs="Arial"/>
                <w:sz w:val="18"/>
                <w:szCs w:val="18"/>
              </w:rPr>
              <m:t>c</m:t>
            </m:r>
            <m:r>
              <m:rPr>
                <m:sty m:val="p"/>
              </m:rPr>
              <w:rPr>
                <w:rFonts w:ascii="Cambria Math" w:hAnsi="Cambria Math" w:cs="Arial"/>
                <w:sz w:val="18"/>
                <w:szCs w:val="18"/>
              </w:rPr>
              <m:t>,⋅,</m:t>
            </m:r>
            <m:r>
              <w:rPr>
                <w:rFonts w:ascii="Cambria Math" w:hAnsi="Cambria Math" w:cs="Arial"/>
                <w:sz w:val="18"/>
                <w:szCs w:val="18"/>
              </w:rPr>
              <m:t>d</m:t>
            </m:r>
          </m:sub>
        </m:sSub>
      </m:oMath>
      <w:r w:rsidRPr="0007255D">
        <w:rPr>
          <w:rFonts w:ascii="Arial" w:hAnsi="Arial" w:cs="Arial"/>
          <w:sz w:val="18"/>
          <w:szCs w:val="18"/>
        </w:rPr>
        <w:t xml:space="preserve"> summed across all 11 US venue cities; error bars show 95% Monte Carlo uncertainty intervals. Colors denote world region (Canada and Mexico grouped as North America). Panels: (A) dengue, (B) influenza, (C) pertussis, (D) malaria, (E) measles.</w:t>
      </w:r>
    </w:p>
    <w:p w14:paraId="6965A49B" w14:textId="77777777" w:rsidR="00182D80" w:rsidRPr="0007255D" w:rsidRDefault="00182D80" w:rsidP="00182D80">
      <w:pPr>
        <w:pStyle w:val="ImageCaption"/>
        <w:rPr>
          <w:rFonts w:ascii="Arial" w:hAnsi="Arial" w:cs="Arial"/>
          <w:b/>
          <w:bCs/>
          <w:i w:val="0"/>
          <w:iCs/>
          <w:sz w:val="22"/>
          <w:szCs w:val="22"/>
        </w:rPr>
      </w:pPr>
      <w:r w:rsidRPr="0007255D">
        <w:rPr>
          <w:rFonts w:ascii="Arial" w:hAnsi="Arial" w:cs="Arial"/>
          <w:b/>
          <w:bCs/>
          <w:i w:val="0"/>
          <w:iCs/>
          <w:sz w:val="22"/>
          <w:szCs w:val="22"/>
        </w:rPr>
        <w:t>Diaspora network seeding risk</w:t>
      </w:r>
    </w:p>
    <w:p w14:paraId="7B68BC9A"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Figure </w:t>
      </w:r>
      <w:hyperlink w:anchor="fig:diaspora">
        <w:r w:rsidRPr="0007255D">
          <w:rPr>
            <w:rStyle w:val="Hyperlink"/>
            <w:rFonts w:ascii="Arial" w:hAnsi="Arial" w:cs="Arial"/>
            <w:sz w:val="22"/>
            <w:szCs w:val="22"/>
          </w:rPr>
          <w:t>5</w:t>
        </w:r>
      </w:hyperlink>
      <w:r w:rsidRPr="0007255D">
        <w:rPr>
          <w:rFonts w:ascii="Arial" w:hAnsi="Arial" w:cs="Arial"/>
          <w:sz w:val="22"/>
          <w:szCs w:val="22"/>
        </w:rPr>
        <w:t xml:space="preserve"> summarizes both diaspora risk mechanisms for dengue and malaria, the two diseases with meaningful diaspora signal. Panel A shows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 the probability that at least one imported case enters a co-national diaspora social network at each host city. For dengue, the diaspora signal was highest at Dallas, Houston, and Los Angeles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0.43</m:t>
        </m:r>
      </m:oMath>
      <w:r w:rsidRPr="0007255D">
        <w:rPr>
          <w:rFonts w:ascii="Arial" w:hAnsi="Arial" w:cs="Arial"/>
          <w:sz w:val="22"/>
          <w:szCs w:val="22"/>
        </w:rPr>
        <w:t xml:space="preserve">, </w:t>
      </w:r>
      <m:oMath>
        <m:r>
          <w:rPr>
            <w:rFonts w:ascii="Cambria Math" w:hAnsi="Cambria Math" w:cs="Arial"/>
            <w:sz w:val="22"/>
            <w:szCs w:val="22"/>
          </w:rPr>
          <m:t>0.39</m:t>
        </m:r>
      </m:oMath>
      <w:r w:rsidRPr="0007255D">
        <w:rPr>
          <w:rFonts w:ascii="Arial" w:hAnsi="Arial" w:cs="Arial"/>
          <w:sz w:val="22"/>
          <w:szCs w:val="22"/>
        </w:rPr>
        <w:t xml:space="preserve">, and </w:t>
      </w:r>
      <m:oMath>
        <m:r>
          <w:rPr>
            <w:rFonts w:ascii="Cambria Math" w:hAnsi="Cambria Math" w:cs="Arial"/>
            <w:sz w:val="22"/>
            <w:szCs w:val="22"/>
          </w:rPr>
          <m:t>0.35</m:t>
        </m:r>
      </m:oMath>
      <w:r w:rsidRPr="0007255D">
        <w:rPr>
          <w:rFonts w:ascii="Arial" w:hAnsi="Arial" w:cs="Arial"/>
          <w:sz w:val="22"/>
          <w:szCs w:val="22"/>
        </w:rPr>
        <w:t>), driven by the large Mexican diaspora in these cities (</w:t>
      </w:r>
      <m:oMath>
        <m:r>
          <w:rPr>
            <w:rFonts w:ascii="Cambria Math" w:hAnsi="Cambria Math" w:cs="Arial"/>
            <w:sz w:val="22"/>
            <w:szCs w:val="22"/>
          </w:rPr>
          <m:t>κ</m:t>
        </m:r>
        <m:r>
          <m:rPr>
            <m:sty m:val="p"/>
          </m:rPr>
          <w:rPr>
            <w:rFonts w:ascii="Cambria Math" w:hAnsi="Cambria Math" w:cs="Arial"/>
            <w:sz w:val="22"/>
            <w:szCs w:val="22"/>
          </w:rPr>
          <m:t>=</m:t>
        </m:r>
        <m:r>
          <w:rPr>
            <w:rFonts w:ascii="Cambria Math" w:hAnsi="Cambria Math" w:cs="Arial"/>
            <w:sz w:val="22"/>
            <w:szCs w:val="22"/>
          </w:rPr>
          <m:t>0.39</m:t>
        </m:r>
      </m:oMath>
      <w:r w:rsidRPr="0007255D">
        <w:rPr>
          <w:rFonts w:ascii="Arial" w:hAnsi="Arial" w:cs="Arial"/>
          <w:sz w:val="22"/>
          <w:szCs w:val="22"/>
        </w:rPr>
        <w:t xml:space="preserve">, </w:t>
      </w:r>
      <m:oMath>
        <m:r>
          <w:rPr>
            <w:rFonts w:ascii="Cambria Math" w:hAnsi="Cambria Math" w:cs="Arial"/>
            <w:sz w:val="22"/>
            <w:szCs w:val="22"/>
          </w:rPr>
          <m:t>0.34</m:t>
        </m:r>
      </m:oMath>
      <w:r w:rsidRPr="0007255D">
        <w:rPr>
          <w:rFonts w:ascii="Arial" w:hAnsi="Arial" w:cs="Arial"/>
          <w:sz w:val="22"/>
          <w:szCs w:val="22"/>
        </w:rPr>
        <w:t xml:space="preserve">, and </w:t>
      </w:r>
      <m:oMath>
        <m:r>
          <w:rPr>
            <w:rFonts w:ascii="Cambria Math" w:hAnsi="Cambria Math" w:cs="Arial"/>
            <w:sz w:val="22"/>
            <w:szCs w:val="22"/>
          </w:rPr>
          <m:t>0.34</m:t>
        </m:r>
      </m:oMath>
      <w:r w:rsidRPr="0007255D">
        <w:rPr>
          <w:rFonts w:ascii="Arial" w:hAnsi="Arial" w:cs="Arial"/>
          <w:sz w:val="22"/>
          <w:szCs w:val="22"/>
        </w:rPr>
        <w:t>); Miami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0.26</m:t>
        </m:r>
      </m:oMath>
      <w:r w:rsidRPr="0007255D">
        <w:rPr>
          <w:rFonts w:ascii="Arial" w:hAnsi="Arial" w:cs="Arial"/>
          <w:sz w:val="22"/>
          <w:szCs w:val="22"/>
        </w:rPr>
        <w:t>) was the exception, driven by its Colombian and Brazilian communities (</w:t>
      </w:r>
      <m:oMath>
        <m:r>
          <w:rPr>
            <w:rFonts w:ascii="Cambria Math" w:hAnsi="Cambria Math" w:cs="Arial"/>
            <w:sz w:val="22"/>
            <w:szCs w:val="22"/>
          </w:rPr>
          <m:t>κ</m:t>
        </m:r>
        <m:r>
          <m:rPr>
            <m:sty m:val="p"/>
          </m:rPr>
          <w:rPr>
            <w:rFonts w:ascii="Cambria Math" w:hAnsi="Cambria Math" w:cs="Arial"/>
            <w:sz w:val="22"/>
            <w:szCs w:val="22"/>
          </w:rPr>
          <m:t>=</m:t>
        </m:r>
        <m:r>
          <w:rPr>
            <w:rFonts w:ascii="Cambria Math" w:hAnsi="Cambria Math" w:cs="Arial"/>
            <w:sz w:val="22"/>
            <w:szCs w:val="22"/>
          </w:rPr>
          <m:t>0.076</m:t>
        </m:r>
      </m:oMath>
      <w:r w:rsidRPr="0007255D">
        <w:rPr>
          <w:rFonts w:ascii="Arial" w:hAnsi="Arial" w:cs="Arial"/>
          <w:sz w:val="22"/>
          <w:szCs w:val="22"/>
        </w:rPr>
        <w:t xml:space="preserve"> and </w:t>
      </w:r>
      <m:oMath>
        <m:r>
          <w:rPr>
            <w:rFonts w:ascii="Cambria Math" w:hAnsi="Cambria Math" w:cs="Arial"/>
            <w:sz w:val="22"/>
            <w:szCs w:val="22"/>
          </w:rPr>
          <m:t>0.025</m:t>
        </m:r>
      </m:oMath>
      <w:r w:rsidRPr="0007255D">
        <w:rPr>
          <w:rFonts w:ascii="Arial" w:hAnsi="Arial" w:cs="Arial"/>
          <w:sz w:val="22"/>
          <w:szCs w:val="22"/>
        </w:rPr>
        <w:t>). Although dengue importation is very likely at the city level in these metropolitan areas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)&gt;</m:t>
        </m:r>
        <m:r>
          <w:rPr>
            <w:rFonts w:ascii="Cambria Math" w:hAnsi="Cambria Math" w:cs="Arial"/>
            <w:sz w:val="22"/>
            <w:szCs w:val="22"/>
          </w:rPr>
          <m:t>0.95</m:t>
        </m:r>
      </m:oMath>
      <w:r w:rsidRPr="0007255D">
        <w:rPr>
          <w:rFonts w:ascii="Arial" w:hAnsi="Arial" w:cs="Arial"/>
          <w:sz w:val="22"/>
          <w:szCs w:val="22"/>
        </w:rPr>
        <w:t>; Figure </w:t>
      </w:r>
      <w:hyperlink w:anchor="fig:heatmap">
        <w:r w:rsidRPr="0007255D">
          <w:rPr>
            <w:rStyle w:val="Hyperlink"/>
            <w:rFonts w:ascii="Arial" w:hAnsi="Arial" w:cs="Arial"/>
            <w:sz w:val="22"/>
            <w:szCs w:val="22"/>
          </w:rPr>
          <w:t>1</w:t>
        </w:r>
      </w:hyperlink>
      <w:r w:rsidRPr="0007255D">
        <w:rPr>
          <w:rFonts w:ascii="Arial" w:hAnsi="Arial" w:cs="Arial"/>
          <w:sz w:val="22"/>
          <w:szCs w:val="22"/>
        </w:rPr>
        <w:t>), the probability that an imported case enters a co-national diaspora network is much lower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0.43</m:t>
        </m:r>
      </m:oMath>
      <w:r w:rsidRPr="0007255D">
        <w:rPr>
          <w:rFonts w:ascii="Arial" w:hAnsi="Arial" w:cs="Arial"/>
          <w:sz w:val="22"/>
          <w:szCs w:val="22"/>
        </w:rPr>
        <w:t xml:space="preserve">), indicating that most imported dengue risk disperses into the general urban population rather than concentrating within a single co-national community. For malaria, Atlanta showed the highest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w:t>
      </w:r>
      <m:oMath>
        <m:r>
          <w:rPr>
            <w:rFonts w:ascii="Cambria Math" w:hAnsi="Cambria Math" w:cs="Arial"/>
            <w:sz w:val="22"/>
            <w:szCs w:val="22"/>
          </w:rPr>
          <m:t>0.23</m:t>
        </m:r>
      </m:oMath>
      <w:r w:rsidRPr="0007255D">
        <w:rPr>
          <w:rFonts w:ascii="Arial" w:hAnsi="Arial" w:cs="Arial"/>
          <w:sz w:val="22"/>
          <w:szCs w:val="22"/>
        </w:rPr>
        <w:t>), reflecting the high malaria importation intensity routed through Hartsfield-Jackson airport channeled into the city’s Nigerian diaspora (</w:t>
      </w:r>
      <m:oMath>
        <m:r>
          <w:rPr>
            <w:rFonts w:ascii="Cambria Math" w:hAnsi="Cambria Math" w:cs="Arial"/>
            <w:sz w:val="22"/>
            <w:szCs w:val="22"/>
          </w:rPr>
          <m:t>κ</m:t>
        </m:r>
        <m:r>
          <m:rPr>
            <m:sty m:val="p"/>
          </m:rPr>
          <w:rPr>
            <w:rFonts w:ascii="Cambria Math" w:hAnsi="Cambria Math" w:cs="Arial"/>
            <w:sz w:val="22"/>
            <w:szCs w:val="22"/>
          </w:rPr>
          <m:t>=</m:t>
        </m:r>
        <m:r>
          <w:rPr>
            <w:rFonts w:ascii="Cambria Math" w:hAnsi="Cambria Math" w:cs="Arial"/>
            <w:sz w:val="22"/>
            <w:szCs w:val="22"/>
          </w:rPr>
          <m:t>0.031</m:t>
        </m:r>
      </m:oMath>
      <w:r w:rsidRPr="0007255D">
        <w:rPr>
          <w:rFonts w:ascii="Arial" w:hAnsi="Arial" w:cs="Arial"/>
          <w:sz w:val="22"/>
          <w:szCs w:val="22"/>
        </w:rPr>
        <w:t>).</w:t>
      </w:r>
    </w:p>
    <w:p w14:paraId="7C18482B" w14:textId="77777777" w:rsidR="00182D80" w:rsidRPr="0007255D" w:rsidRDefault="00182D80" w:rsidP="00182D80">
      <w:pPr>
        <w:rPr>
          <w:rFonts w:ascii="Arial" w:hAnsi="Arial" w:cs="Arial"/>
          <w:sz w:val="22"/>
          <w:szCs w:val="22"/>
        </w:rPr>
      </w:pPr>
      <w:r w:rsidRPr="0007255D">
        <w:rPr>
          <w:rFonts w:ascii="Arial" w:hAnsi="Arial" w:cs="Arial"/>
          <w:sz w:val="22"/>
          <w:szCs w:val="22"/>
        </w:rPr>
        <w:lastRenderedPageBreak/>
        <w:t>Panel B shows the Mechanism B secondary seeding index (</w:t>
      </w:r>
      <m:oMath>
        <m:sSup>
          <m:sSupPr>
            <m:ctrlPr>
              <w:rPr>
                <w:rFonts w:ascii="Cambria Math" w:hAnsi="Cambria Math" w:cs="Arial"/>
                <w:sz w:val="22"/>
                <w:szCs w:val="22"/>
              </w:rPr>
            </m:ctrlPr>
          </m:sSupPr>
          <m:e>
            <m:r>
              <m:rPr>
                <m:sty m:val="p"/>
              </m:rP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sz w:val="22"/>
          <w:szCs w:val="22"/>
        </w:rPr>
        <w:t>): the importation intensity at a match venue weighted by the diaspora concentration of the home metropolitan area to which fans return, evaluated across the 11 host cities and 15 major non-host metropolitan areas. For dengue, the seven highest-ranked hubs were all non-host cities with large Mexican diaspora populations — San Antonio (</w:t>
      </w:r>
      <m:oMath>
        <m:sSup>
          <m:sSupPr>
            <m:ctrlPr>
              <w:rPr>
                <w:rFonts w:ascii="Cambria Math" w:hAnsi="Cambria Math" w:cs="Arial"/>
                <w:sz w:val="22"/>
                <w:szCs w:val="22"/>
              </w:rPr>
            </m:ctrlPr>
          </m:sSupPr>
          <m:e>
            <m:r>
              <m:rPr>
                <m:sty m:val="p"/>
              </m:rPr>
              <w:rPr>
                <w:rFonts w:ascii="Cambria Math" w:hAnsi="Cambria Math" w:cs="Arial"/>
                <w:sz w:val="22"/>
                <w:szCs w:val="22"/>
              </w:rPr>
              <m:t>Ω</m:t>
            </m:r>
          </m:e>
          <m:sup>
            <m:r>
              <w:rPr>
                <w:rFonts w:ascii="Cambria Math" w:hAnsi="Cambria Math" w:cs="Arial"/>
                <w:sz w:val="22"/>
                <w:szCs w:val="22"/>
              </w:rPr>
              <m:t>B</m:t>
            </m:r>
          </m:sup>
        </m:sSup>
        <m:r>
          <m:rPr>
            <m:sty m:val="p"/>
          </m:rPr>
          <w:rPr>
            <w:rFonts w:ascii="Cambria Math" w:hAnsi="Cambria Math" w:cs="Arial"/>
            <w:sz w:val="22"/>
            <w:szCs w:val="22"/>
          </w:rPr>
          <m:t>=</m:t>
        </m:r>
        <m:r>
          <w:rPr>
            <w:rFonts w:ascii="Cambria Math" w:hAnsi="Cambria Math" w:cs="Arial"/>
            <w:sz w:val="22"/>
            <w:szCs w:val="22"/>
          </w:rPr>
          <m:t>4.1</m:t>
        </m:r>
      </m:oMath>
      <w:r w:rsidRPr="0007255D">
        <w:rPr>
          <w:rFonts w:ascii="Arial" w:hAnsi="Arial" w:cs="Arial"/>
          <w:sz w:val="22"/>
          <w:szCs w:val="22"/>
        </w:rPr>
        <w:t>), Phoenix (</w:t>
      </w:r>
      <m:oMath>
        <m:r>
          <w:rPr>
            <w:rFonts w:ascii="Cambria Math" w:hAnsi="Cambria Math" w:cs="Arial"/>
            <w:sz w:val="22"/>
            <w:szCs w:val="22"/>
          </w:rPr>
          <m:t>3.4</m:t>
        </m:r>
      </m:oMath>
      <w:r w:rsidRPr="0007255D">
        <w:rPr>
          <w:rFonts w:ascii="Arial" w:hAnsi="Arial" w:cs="Arial"/>
          <w:sz w:val="22"/>
          <w:szCs w:val="22"/>
        </w:rPr>
        <w:t xml:space="preserve">), San Diego, Denver, Chicago, Austin, and Las Vegas — each ranking above the leading host-city hub (Dallas, </w:t>
      </w:r>
      <m:oMath>
        <m:r>
          <w:rPr>
            <w:rFonts w:ascii="Cambria Math" w:hAnsi="Cambria Math" w:cs="Arial"/>
            <w:sz w:val="22"/>
            <w:szCs w:val="22"/>
          </w:rPr>
          <m:t>2.3</m:t>
        </m:r>
      </m:oMath>
      <w:r w:rsidRPr="0007255D">
        <w:rPr>
          <w:rFonts w:ascii="Arial" w:hAnsi="Arial" w:cs="Arial"/>
          <w:sz w:val="22"/>
          <w:szCs w:val="22"/>
        </w:rPr>
        <w:t xml:space="preserve">). For malaria, secondary seeding was more evenly divided between host cities (Houston, Dallas, Philadelphia, and Boston) and non-host cities (Washington, DC; Minneapolis; Austin; Charlotte; Detroit; and Chicago), reflecting their Nigerian and Indian diaspora communities (Supplementary </w:t>
      </w:r>
      <w:proofErr w:type="gramStart"/>
      <w:r w:rsidRPr="0007255D">
        <w:rPr>
          <w:rFonts w:ascii="Arial" w:hAnsi="Arial" w:cs="Arial"/>
          <w:sz w:val="22"/>
          <w:szCs w:val="22"/>
        </w:rPr>
        <w:t>Figure  S</w:t>
      </w:r>
      <w:proofErr w:type="gramEnd"/>
      <w:r w:rsidRPr="0007255D">
        <w:rPr>
          <w:rFonts w:ascii="Arial" w:hAnsi="Arial" w:cs="Arial"/>
          <w:sz w:val="22"/>
          <w:szCs w:val="22"/>
        </w:rPr>
        <w:t>8). Results for all five diseases are provided in Supplementary Figure S5. The full Mechanism A diaspora probability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across all five diseases and 11 host cities is provided in Supplementary Figure S7.</w:t>
      </w:r>
    </w:p>
    <w:p w14:paraId="4A958CEF" w14:textId="77777777" w:rsidR="00182D80" w:rsidRPr="0007255D" w:rsidRDefault="00182D80" w:rsidP="00182D80">
      <w:pPr>
        <w:rPr>
          <w:rFonts w:ascii="Arial" w:hAnsi="Arial" w:cs="Arial"/>
          <w:sz w:val="22"/>
          <w:szCs w:val="22"/>
        </w:rPr>
      </w:pPr>
      <w:r w:rsidRPr="0007255D">
        <w:rPr>
          <w:rFonts w:ascii="Arial" w:hAnsi="Arial" w:cs="Arial"/>
          <w:noProof/>
          <w:sz w:val="22"/>
          <w:szCs w:val="22"/>
        </w:rPr>
        <w:drawing>
          <wp:inline distT="0" distB="0" distL="0" distR="0" wp14:anchorId="08CEB83A" wp14:editId="7D7E4336">
            <wp:extent cx="5334000" cy="4103076"/>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5.png"/>
                    <pic:cNvPicPr>
                      <a:picLocks noChangeAspect="1" noChangeArrowheads="1"/>
                    </pic:cNvPicPr>
                  </pic:nvPicPr>
                  <pic:blipFill>
                    <a:blip r:embed="rId9"/>
                    <a:stretch>
                      <a:fillRect/>
                    </a:stretch>
                  </pic:blipFill>
                  <pic:spPr bwMode="auto">
                    <a:xfrm>
                      <a:off x="0" y="0"/>
                      <a:ext cx="5334000" cy="4103076"/>
                    </a:xfrm>
                    <a:prstGeom prst="rect">
                      <a:avLst/>
                    </a:prstGeom>
                    <a:noFill/>
                    <a:ln w="9525">
                      <a:noFill/>
                      <a:headEnd/>
                      <a:tailEnd/>
                    </a:ln>
                  </pic:spPr>
                </pic:pic>
              </a:graphicData>
            </a:graphic>
          </wp:inline>
        </w:drawing>
      </w:r>
    </w:p>
    <w:p w14:paraId="664C9BA4" w14:textId="77777777" w:rsidR="00182D80" w:rsidRPr="0007255D" w:rsidRDefault="00182D80" w:rsidP="00182D80">
      <w:pPr>
        <w:rPr>
          <w:rFonts w:ascii="Arial" w:hAnsi="Arial" w:cs="Arial"/>
          <w:sz w:val="18"/>
          <w:szCs w:val="18"/>
        </w:rPr>
      </w:pPr>
      <w:r w:rsidRPr="0007255D">
        <w:rPr>
          <w:rFonts w:ascii="Arial" w:hAnsi="Arial" w:cs="Arial"/>
          <w:b/>
          <w:bCs/>
          <w:sz w:val="18"/>
          <w:szCs w:val="18"/>
        </w:rPr>
        <w:t>Figure 5.</w:t>
      </w:r>
      <w:r w:rsidRPr="0007255D">
        <w:rPr>
          <w:rFonts w:ascii="Arial" w:hAnsi="Arial" w:cs="Arial"/>
          <w:sz w:val="18"/>
          <w:szCs w:val="18"/>
        </w:rPr>
        <w:t xml:space="preserve"> </w:t>
      </w:r>
      <w:r w:rsidRPr="0007255D">
        <w:rPr>
          <w:rFonts w:ascii="Arial" w:hAnsi="Arial" w:cs="Arial"/>
          <w:b/>
          <w:bCs/>
          <w:sz w:val="18"/>
          <w:szCs w:val="18"/>
        </w:rPr>
        <w:t>Diaspora network seeding risk for dengue and malaria.</w:t>
      </w:r>
      <w:r w:rsidRPr="0007255D">
        <w:rPr>
          <w:rFonts w:ascii="Arial" w:hAnsi="Arial" w:cs="Arial"/>
          <w:sz w:val="18"/>
          <w:szCs w:val="18"/>
        </w:rPr>
        <w:t xml:space="preserve"> </w:t>
      </w:r>
      <w:r w:rsidRPr="0007255D">
        <w:rPr>
          <w:rFonts w:ascii="Arial" w:hAnsi="Arial" w:cs="Arial"/>
          <w:b/>
          <w:bCs/>
          <w:sz w:val="18"/>
          <w:szCs w:val="18"/>
        </w:rPr>
        <w:t>Panel A (Mechanism A):</w:t>
      </w:r>
      <w:r w:rsidRPr="0007255D">
        <w:rPr>
          <w:rFonts w:ascii="Arial" w:hAnsi="Arial" w:cs="Arial"/>
          <w:sz w:val="18"/>
          <w:szCs w:val="18"/>
        </w:rPr>
        <w:t xml:space="preserve"> probability that at least one imported case enters a co-national diaspora network at each host city, </w:t>
      </w:r>
      <m:oMath>
        <m:sSup>
          <m:sSupPr>
            <m:ctrlPr>
              <w:rPr>
                <w:rFonts w:ascii="Cambria Math" w:hAnsi="Cambria Math" w:cs="Arial"/>
                <w:sz w:val="18"/>
                <w:szCs w:val="18"/>
              </w:rPr>
            </m:ctrlPr>
          </m:sSupPr>
          <m:e>
            <m:r>
              <w:rPr>
                <w:rFonts w:ascii="Cambria Math" w:hAnsi="Cambria Math" w:cs="Arial"/>
                <w:sz w:val="18"/>
                <w:szCs w:val="18"/>
              </w:rPr>
              <m:t>P</m:t>
            </m:r>
          </m:e>
          <m:sup>
            <m:r>
              <w:rPr>
                <w:rFonts w:ascii="Cambria Math" w:hAnsi="Cambria Math" w:cs="Arial"/>
                <w:sz w:val="18"/>
                <w:szCs w:val="18"/>
              </w:rPr>
              <m:t>A</m:t>
            </m:r>
          </m:sup>
        </m:sSup>
        <m:r>
          <m:rPr>
            <m:sty m:val="p"/>
          </m:rPr>
          <w:rPr>
            <w:rFonts w:ascii="Cambria Math" w:hAnsi="Cambria Math" w:cs="Arial"/>
            <w:sz w:val="18"/>
            <w:szCs w:val="18"/>
          </w:rPr>
          <m:t>(≥</m:t>
        </m:r>
        <m:r>
          <w:rPr>
            <w:rFonts w:ascii="Cambria Math" w:hAnsi="Cambria Math" w:cs="Arial"/>
            <w:sz w:val="18"/>
            <w:szCs w:val="18"/>
          </w:rPr>
          <m:t>1</m:t>
        </m:r>
        <m:sSub>
          <m:sSubPr>
            <m:ctrlPr>
              <w:rPr>
                <w:rFonts w:ascii="Cambria Math" w:hAnsi="Cambria Math" w:cs="Arial"/>
                <w:sz w:val="18"/>
                <w:szCs w:val="18"/>
              </w:rPr>
            </m:ctrlPr>
          </m:sSubPr>
          <m:e>
            <m:r>
              <m:rPr>
                <m:sty m:val="p"/>
              </m:rPr>
              <w:rPr>
                <w:rFonts w:ascii="Cambria Math" w:hAnsi="Cambria Math" w:cs="Arial"/>
                <w:sz w:val="18"/>
                <w:szCs w:val="18"/>
              </w:rPr>
              <m:t>)</m:t>
            </m:r>
          </m:e>
          <m:sub>
            <m:r>
              <w:rPr>
                <w:rFonts w:ascii="Cambria Math" w:hAnsi="Cambria Math" w:cs="Arial"/>
                <w:sz w:val="18"/>
                <w:szCs w:val="18"/>
              </w:rPr>
              <m:t>v</m:t>
            </m:r>
            <m:r>
              <m:rPr>
                <m:sty m:val="p"/>
              </m:rPr>
              <w:rPr>
                <w:rFonts w:ascii="Cambria Math" w:hAnsi="Cambria Math" w:cs="Arial"/>
                <w:sz w:val="18"/>
                <w:szCs w:val="18"/>
              </w:rPr>
              <m:t>,</m:t>
            </m:r>
            <m:r>
              <w:rPr>
                <w:rFonts w:ascii="Cambria Math" w:hAnsi="Cambria Math" w:cs="Arial"/>
                <w:sz w:val="18"/>
                <w:szCs w:val="18"/>
              </w:rPr>
              <m:t>d</m:t>
            </m:r>
          </m:sub>
        </m:sSub>
      </m:oMath>
      <w:r w:rsidRPr="0007255D">
        <w:rPr>
          <w:rFonts w:ascii="Arial" w:hAnsi="Arial" w:cs="Arial"/>
          <w:sz w:val="18"/>
          <w:szCs w:val="18"/>
        </w:rPr>
        <w:t xml:space="preserve">. </w:t>
      </w:r>
      <w:r w:rsidRPr="0007255D">
        <w:rPr>
          <w:rFonts w:ascii="Arial" w:hAnsi="Arial" w:cs="Arial"/>
          <w:b/>
          <w:bCs/>
          <w:sz w:val="18"/>
          <w:szCs w:val="18"/>
        </w:rPr>
        <w:t>Panel B (Mechanism B):</w:t>
      </w:r>
      <w:r w:rsidRPr="0007255D">
        <w:rPr>
          <w:rFonts w:ascii="Arial" w:hAnsi="Arial" w:cs="Arial"/>
          <w:sz w:val="18"/>
          <w:szCs w:val="18"/>
        </w:rPr>
        <w:t xml:space="preserve"> secondary seeding index </w:t>
      </w:r>
      <m:oMath>
        <m:sSup>
          <m:sSupPr>
            <m:ctrlPr>
              <w:rPr>
                <w:rFonts w:ascii="Cambria Math" w:hAnsi="Cambria Math" w:cs="Arial"/>
                <w:sz w:val="18"/>
                <w:szCs w:val="18"/>
              </w:rPr>
            </m:ctrlPr>
          </m:sSupPr>
          <m:e>
            <m:r>
              <m:rPr>
                <m:sty m:val="p"/>
              </m:rPr>
              <w:rPr>
                <w:rFonts w:ascii="Cambria Math" w:hAnsi="Cambria Math" w:cs="Arial"/>
                <w:sz w:val="18"/>
                <w:szCs w:val="18"/>
              </w:rPr>
              <m:t>Ω</m:t>
            </m:r>
          </m:e>
          <m:sup>
            <m:r>
              <w:rPr>
                <w:rFonts w:ascii="Cambria Math" w:hAnsi="Cambria Math" w:cs="Arial"/>
                <w:sz w:val="18"/>
                <w:szCs w:val="18"/>
              </w:rPr>
              <m:t>B</m:t>
            </m:r>
          </m:sup>
        </m:sSup>
      </m:oMath>
      <w:r w:rsidRPr="0007255D">
        <w:rPr>
          <w:rFonts w:ascii="Arial" w:hAnsi="Arial" w:cs="Arial"/>
          <w:sz w:val="18"/>
          <w:szCs w:val="18"/>
        </w:rPr>
        <w:t xml:space="preserve"> for the top 10 hub metropolitan areas per disease, colored by whether the hub is a World Cup host city or a non-host city. Hubs are the home cities to which fans return after attending matches.</w:t>
      </w:r>
    </w:p>
    <w:p w14:paraId="23FBD538" w14:textId="77777777" w:rsidR="00182D80" w:rsidRPr="0007255D" w:rsidRDefault="00182D80" w:rsidP="00182D80">
      <w:pPr>
        <w:pStyle w:val="ImageCaption"/>
        <w:rPr>
          <w:rFonts w:ascii="Arial" w:hAnsi="Arial" w:cs="Arial"/>
          <w:b/>
          <w:bCs/>
          <w:i w:val="0"/>
          <w:iCs/>
          <w:sz w:val="22"/>
          <w:szCs w:val="22"/>
        </w:rPr>
      </w:pPr>
      <w:r w:rsidRPr="0007255D">
        <w:rPr>
          <w:rFonts w:ascii="Arial" w:hAnsi="Arial" w:cs="Arial"/>
          <w:b/>
          <w:bCs/>
          <w:i w:val="0"/>
          <w:iCs/>
          <w:sz w:val="22"/>
          <w:szCs w:val="22"/>
        </w:rPr>
        <w:t>Discussion</w:t>
      </w:r>
    </w:p>
    <w:p w14:paraId="0F2F9BBD"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Dengue presents the highest importation risk across the 11 host cities. Miami, New York, and Houston each reach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)&gt;</m:t>
        </m:r>
        <m:r>
          <w:rPr>
            <w:rFonts w:ascii="Cambria Math" w:hAnsi="Cambria Math" w:cs="Arial"/>
            <w:sz w:val="22"/>
            <w:szCs w:val="22"/>
          </w:rPr>
          <m:t>0.99</m:t>
        </m:r>
      </m:oMath>
      <w:r w:rsidRPr="0007255D">
        <w:rPr>
          <w:rFonts w:ascii="Arial" w:hAnsi="Arial" w:cs="Arial"/>
          <w:sz w:val="22"/>
          <w:szCs w:val="22"/>
        </w:rPr>
        <w:t xml:space="preserve"> under M3, driven by high June dengue burden in WC-qualified Latin American nations, large bilateral travel volumes, and a relatively wide infectious-but-travel-capable window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0.30</m:t>
        </m:r>
      </m:oMath>
      <w:r w:rsidRPr="0007255D">
        <w:rPr>
          <w:rFonts w:ascii="Arial" w:hAnsi="Arial" w:cs="Arial"/>
          <w:sz w:val="22"/>
          <w:szCs w:val="22"/>
        </w:rPr>
        <w:t>–</w:t>
      </w:r>
      <m:oMath>
        <m:r>
          <w:rPr>
            <w:rFonts w:ascii="Cambria Math" w:hAnsi="Cambria Math" w:cs="Arial"/>
            <w:sz w:val="22"/>
            <w:szCs w:val="22"/>
          </w:rPr>
          <m:t>0.70</m:t>
        </m:r>
      </m:oMath>
      <w:r w:rsidRPr="0007255D">
        <w:rPr>
          <w:rFonts w:ascii="Arial" w:hAnsi="Arial" w:cs="Arial"/>
          <w:sz w:val="22"/>
          <w:szCs w:val="22"/>
        </w:rPr>
        <w:t xml:space="preserve">). Dallas and Atlanta reach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)&gt;</m:t>
        </m:r>
        <m:r>
          <w:rPr>
            <w:rFonts w:ascii="Cambria Math" w:hAnsi="Cambria Math" w:cs="Arial"/>
            <w:sz w:val="22"/>
            <w:szCs w:val="22"/>
          </w:rPr>
          <m:t>0.95</m:t>
        </m:r>
      </m:oMath>
      <w:r w:rsidRPr="0007255D">
        <w:rPr>
          <w:rFonts w:ascii="Arial" w:hAnsi="Arial" w:cs="Arial"/>
          <w:sz w:val="22"/>
          <w:szCs w:val="22"/>
        </w:rPr>
        <w:t>; the remaining venues fall substantially below that threshold. The 11-city dengue total carries a right-skewed uncertainty distribution (median 45.0, 95% CI 16.0–92.3), due to the reference under-</w:t>
      </w:r>
      <w:r w:rsidRPr="0007255D">
        <w:rPr>
          <w:rFonts w:ascii="Arial" w:hAnsi="Arial" w:cs="Arial"/>
          <w:sz w:val="22"/>
          <w:szCs w:val="22"/>
        </w:rPr>
        <w:lastRenderedPageBreak/>
        <w:t>reporting correction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0.10</m:t>
        </m:r>
      </m:oMath>
      <w:r w:rsidRPr="0007255D">
        <w:rPr>
          <w:rFonts w:ascii="Arial" w:hAnsi="Arial" w:cs="Arial"/>
          <w:sz w:val="22"/>
          <w:szCs w:val="22"/>
        </w:rPr>
        <w:t>) sits near the lower end of the literature range (0.06–0.26), the upper bound of 92.3 is therefore a plausible outcome, and the median should be read as a conservative estimate.</w:t>
      </w:r>
    </w:p>
    <w:p w14:paraId="307665B2" w14:textId="77777777" w:rsidR="00182D80" w:rsidRPr="0007255D" w:rsidRDefault="00182D80" w:rsidP="00182D80">
      <w:pPr>
        <w:pStyle w:val="BodyText"/>
        <w:rPr>
          <w:rFonts w:ascii="Arial" w:hAnsi="Arial" w:cs="Arial"/>
          <w:sz w:val="22"/>
          <w:szCs w:val="22"/>
        </w:rPr>
      </w:pPr>
      <w:r w:rsidRPr="0007255D">
        <w:rPr>
          <w:rFonts w:ascii="Arial" w:hAnsi="Arial" w:cs="Arial"/>
          <w:sz w:val="22"/>
          <w:szCs w:val="22"/>
        </w:rPr>
        <w:t xml:space="preserve">In 2024, 3,798 travel-associated dengue cases were reported in the US — a 359% increase over the historical average (28) — consistent with the high modeled baseline. Although 2025 incidence moderated, routine bilateral travel from endemic Latin American nations sustains this pre-existing risk; the World Cup surge adds a further 7–14% above baseline. M3 differs from M2 because fan travel for teams playing in Canada or Mexico is routed to those venues rather than distributed across US cities via T-100 fractions. For dengue, this reduces the 11-city M2 total (46.6) to the M3 estimate (45.0), a 3% downward adjustment that varies by venue depending on the match schedule. Preparedness resources calibrated to M3 are therefore directed to the cities where fan flows </w:t>
      </w:r>
      <w:proofErr w:type="gramStart"/>
      <w:r w:rsidRPr="0007255D">
        <w:rPr>
          <w:rFonts w:ascii="Arial" w:hAnsi="Arial" w:cs="Arial"/>
          <w:sz w:val="22"/>
          <w:szCs w:val="22"/>
        </w:rPr>
        <w:t>actually land</w:t>
      </w:r>
      <w:proofErr w:type="gramEnd"/>
      <w:r w:rsidRPr="0007255D">
        <w:rPr>
          <w:rFonts w:ascii="Arial" w:hAnsi="Arial" w:cs="Arial"/>
          <w:sz w:val="22"/>
          <w:szCs w:val="22"/>
        </w:rPr>
        <w:t>.</w:t>
      </w:r>
    </w:p>
    <w:p w14:paraId="492834CE" w14:textId="77777777" w:rsidR="00182D80" w:rsidRPr="0007255D" w:rsidRDefault="00182D80" w:rsidP="00182D80">
      <w:pPr>
        <w:pStyle w:val="BodyText"/>
        <w:rPr>
          <w:rFonts w:ascii="Arial" w:hAnsi="Arial" w:cs="Arial"/>
          <w:sz w:val="22"/>
          <w:szCs w:val="22"/>
        </w:rPr>
      </w:pPr>
      <w:r w:rsidRPr="0007255D">
        <w:rPr>
          <w:rFonts w:ascii="Arial" w:hAnsi="Arial" w:cs="Arial"/>
          <w:sz w:val="22"/>
          <w:szCs w:val="22"/>
        </w:rPr>
        <w:t>The most policy-relevant finding is that baseline travel accounts for 86–93% of total expected importations across all five diseases (Figure </w:t>
      </w:r>
      <w:hyperlink w:anchor="fig:excess">
        <w:r w:rsidRPr="0007255D">
          <w:rPr>
            <w:rStyle w:val="Hyperlink"/>
            <w:rFonts w:ascii="Arial" w:hAnsi="Arial" w:cs="Arial"/>
            <w:sz w:val="22"/>
            <w:szCs w:val="22"/>
          </w:rPr>
          <w:t>3</w:t>
        </w:r>
      </w:hyperlink>
      <w:r w:rsidRPr="0007255D">
        <w:rPr>
          <w:rFonts w:ascii="Arial" w:hAnsi="Arial" w:cs="Arial"/>
          <w:sz w:val="22"/>
          <w:szCs w:val="22"/>
        </w:rPr>
        <w:t>). The World Cup adds 7–14% above a risk that exists every June, tournament or not. Year-round monitoring of international travelers arriving at US airports from endemic regions is therefore indispensable; targeted tournament-period surveillance is a complement, not a substitute. The marginal contribution of the WC travel surge is real but modest relative to the structural baseline, and any risk assessment that excludes a pre-tournament counterfactual will overstate it.</w:t>
      </w:r>
    </w:p>
    <w:p w14:paraId="267EA631"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The diaspora extension asks whether an imported case enters a concentrated co-national social network or disperses into the general population, a distinction absent from standard importation models. This distinction is operationally important because co-national networks have higher contact rates for disease transmission, may face language and access barriers to healthcare, and are often the focus of World Cup watch-party gatherings that could amplify early transmission chains. The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metric provides a directly actionable quantity for targeted community health outreach that complements city-level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monitoring.</w:t>
      </w:r>
    </w:p>
    <w:p w14:paraId="63BA7A18"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Our analysis has several limitations. First, Poisson assumes independence and equates mean with variance; correlated arrivals from coordinated group travel by fans from the same country introduce overdispersion, so variance is understated and uncertainty bounds are narrower than the true sampling distribution warrants. Second,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corrects for under-reporting in source-country surveillance but does not model US detection rates; our </w:t>
      </w:r>
      <m:oMath>
        <m:r>
          <m:rPr>
            <m:sty m:val="p"/>
          </m:rPr>
          <w:rPr>
            <w:rFonts w:ascii="Cambria Math" w:hAnsi="Cambria Math" w:cs="Arial"/>
            <w:sz w:val="22"/>
            <w:szCs w:val="22"/>
          </w:rPr>
          <m:t>Λ</m:t>
        </m:r>
      </m:oMath>
      <w:r w:rsidRPr="0007255D">
        <w:rPr>
          <w:rFonts w:ascii="Arial" w:hAnsi="Arial" w:cs="Arial"/>
          <w:sz w:val="22"/>
          <w:szCs w:val="22"/>
        </w:rPr>
        <w:t xml:space="preserve"> estimates represent true infected arrivals, not detected US cases, so comparisons with CDC surveillance tallies require additional adjustment. Third, </w:t>
      </w:r>
      <m:oMath>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c</m:t>
            </m:r>
          </m:sub>
        </m:sSub>
      </m:oMath>
      <w:r w:rsidRPr="0007255D">
        <w:rPr>
          <w:rFonts w:ascii="Arial" w:hAnsi="Arial" w:cs="Arial"/>
          <w:sz w:val="22"/>
          <w:szCs w:val="22"/>
        </w:rPr>
        <w:t xml:space="preserve"> uses total-population incidence without age stratification, which introduces directional biases that vary by disease; malaria risk from high-endemic sub-Saharan African settings is likely overestimated because pediatric cases dominate reported burden while adult travelers typically carry partial acquired immunity through repeated prior exposure, whereas for pertussis the bias is smaller because waning vaccine-induced immunity has progressively shifted burden toward the young-adult traveler demographic. Fourth, diaspora concentration </w:t>
      </w:r>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xml:space="preserve"> is derived from ACS 2019–2023 data spanning the COVID-19 pandemic, which altered immigration patterns; values may not perfectly reflect the June 2026 population distribution. Fifth, the analysis covers only the 11 US host cities; Canadian and Mexican venues, which receive meaningful World Cup fan flows, are outside the primary scope. Sixth, the near-zero measles estimate reflects the model’s scope — it estimates independent seeding events, not outbreak chains; US measles case counts typically arise from a small number of imports followed by local transmission in </w:t>
      </w:r>
      <w:proofErr w:type="spellStart"/>
      <w:r w:rsidRPr="0007255D">
        <w:rPr>
          <w:rFonts w:ascii="Arial" w:hAnsi="Arial" w:cs="Arial"/>
          <w:sz w:val="22"/>
          <w:szCs w:val="22"/>
        </w:rPr>
        <w:t>undervaccinated</w:t>
      </w:r>
      <w:proofErr w:type="spellEnd"/>
      <w:r w:rsidRPr="0007255D">
        <w:rPr>
          <w:rFonts w:ascii="Arial" w:hAnsi="Arial" w:cs="Arial"/>
          <w:sz w:val="22"/>
          <w:szCs w:val="22"/>
        </w:rPr>
        <w:t xml:space="preserve"> communities, a process not captured by the Poisson framework. Seventh, the World Cup growth factors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oMath>
      <w:r w:rsidRPr="0007255D">
        <w:rPr>
          <w:rFonts w:ascii="Arial" w:hAnsi="Arial" w:cs="Arial"/>
          <w:sz w:val="22"/>
          <w:szCs w:val="22"/>
        </w:rPr>
        <w:t xml:space="preserve"> are derived from NTTO point projections and treated as deterministic; uncertainty in fan-travel forecasts is not propagated </w:t>
      </w:r>
      <w:r w:rsidRPr="0007255D">
        <w:rPr>
          <w:rFonts w:ascii="Arial" w:hAnsi="Arial" w:cs="Arial"/>
          <w:sz w:val="22"/>
          <w:szCs w:val="22"/>
        </w:rPr>
        <w:lastRenderedPageBreak/>
        <w:t xml:space="preserve">into the reported intervals, so the true uncertainty bounds are likely wider than reported for M2 and M3 estimates. Finally, because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enters multiplicatively it is a key driver of uncertainty; a one-parameter sensitivity analysis (Table S1) confirms that malaria and measles estimates are most sensitive to this parameter (fold-change up to 5.0</w:t>
      </w:r>
      <m:oMath>
        <m:r>
          <m:rPr>
            <m:sty m:val="p"/>
          </m:rPr>
          <w:rPr>
            <w:rFonts w:ascii="Cambria Math" w:hAnsi="Cambria Math" w:cs="Arial"/>
            <w:sz w:val="22"/>
            <w:szCs w:val="22"/>
          </w:rPr>
          <m:t>×</m:t>
        </m:r>
      </m:oMath>
      <w:r w:rsidRPr="0007255D">
        <w:rPr>
          <w:rFonts w:ascii="Arial" w:hAnsi="Arial" w:cs="Arial"/>
          <w:sz w:val="22"/>
          <w:szCs w:val="22"/>
        </w:rPr>
        <w:t xml:space="preserve"> across the literature range), while pertussis is least sensitive (1.8</w:t>
      </w:r>
      <m:oMath>
        <m:r>
          <m:rPr>
            <m:sty m:val="p"/>
          </m:rPr>
          <w:rPr>
            <w:rFonts w:ascii="Cambria Math" w:hAnsi="Cambria Math" w:cs="Arial"/>
            <w:sz w:val="22"/>
            <w:szCs w:val="22"/>
          </w:rPr>
          <m:t>×</m:t>
        </m:r>
      </m:oMath>
      <w:r w:rsidRPr="0007255D">
        <w:rPr>
          <w:rFonts w:ascii="Arial" w:hAnsi="Arial" w:cs="Arial"/>
          <w:sz w:val="22"/>
          <w:szCs w:val="22"/>
        </w:rPr>
        <w:t xml:space="preserve">); absolute importation counts at each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level are provided in the analysis code repository.</w:t>
      </w:r>
    </w:p>
    <w:p w14:paraId="03EAD1D3" w14:textId="77777777" w:rsidR="00182D80" w:rsidRPr="0007255D" w:rsidRDefault="00182D80" w:rsidP="00182D80">
      <w:pPr>
        <w:pStyle w:val="BodyText"/>
        <w:rPr>
          <w:rFonts w:ascii="Arial" w:hAnsi="Arial" w:cs="Arial"/>
          <w:b/>
          <w:bCs/>
          <w:sz w:val="22"/>
          <w:szCs w:val="22"/>
        </w:rPr>
      </w:pPr>
      <w:r w:rsidRPr="0007255D">
        <w:rPr>
          <w:rFonts w:ascii="Arial" w:hAnsi="Arial" w:cs="Arial"/>
          <w:b/>
          <w:bCs/>
          <w:sz w:val="22"/>
          <w:szCs w:val="22"/>
        </w:rPr>
        <w:t>Conclusions</w:t>
      </w:r>
    </w:p>
    <w:p w14:paraId="62803CBB"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Dengue importation probability exceeds 0.99 in Miami, New York, and Houston, and exceeds 0.95 in Dallas and Atlanta; malaria is the dominant threat in Atlanta and New York, where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also exceeds 0.99. Baseline travel accounts for 86–93% of total expected importations across all diseases, confirming that the dominant risk exists year-round independently of the tournament; the World Cup travel surge contributes a real but modest 7–14% increment above that pre-existing burden. A two-tier surveillance strategy is warranted, combining increased city-level monitoring for dengue and malaria with targeted community outreach within co-national diaspora networks at Dallas, Houston, Los Angeles, and Miami, where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reaches 0.43, 0.39, 0.35, and 0.26, respectively. The schedule-driven Poisson framework is directly reusable for future mega-events by substituting updated travel volumes and disease incidence data, and its reliance on publicly available inputs makes it a practical first-pass tool for public health agencies planning risk assessments for any large international gathering.</w:t>
      </w:r>
    </w:p>
    <w:p w14:paraId="1EA938D5" w14:textId="77777777" w:rsidR="00182D80" w:rsidRPr="0007255D" w:rsidRDefault="00182D80" w:rsidP="00182D80">
      <w:pPr>
        <w:pStyle w:val="FirstParagraph"/>
        <w:rPr>
          <w:rFonts w:ascii="Arial" w:hAnsi="Arial" w:cs="Arial"/>
          <w:b/>
          <w:bCs/>
          <w:sz w:val="22"/>
          <w:szCs w:val="22"/>
        </w:rPr>
      </w:pPr>
      <w:r w:rsidRPr="0007255D">
        <w:rPr>
          <w:rFonts w:ascii="Arial" w:hAnsi="Arial" w:cs="Arial"/>
          <w:b/>
          <w:bCs/>
          <w:sz w:val="22"/>
          <w:szCs w:val="22"/>
        </w:rPr>
        <w:t>Conflict of Interest</w:t>
      </w:r>
    </w:p>
    <w:p w14:paraId="5CF613B3" w14:textId="77777777" w:rsidR="00182D80" w:rsidRPr="0007255D" w:rsidRDefault="00182D80" w:rsidP="00182D80">
      <w:pPr>
        <w:rPr>
          <w:rFonts w:ascii="Arial" w:hAnsi="Arial" w:cs="Arial"/>
          <w:sz w:val="22"/>
          <w:szCs w:val="22"/>
        </w:rPr>
      </w:pPr>
      <w:r w:rsidRPr="0007255D">
        <w:rPr>
          <w:rFonts w:ascii="Arial" w:hAnsi="Arial" w:cs="Arial"/>
          <w:sz w:val="22"/>
          <w:szCs w:val="22"/>
        </w:rPr>
        <w:t>The author declares no conflict of interest.</w:t>
      </w:r>
    </w:p>
    <w:p w14:paraId="53FEF0BB" w14:textId="77777777" w:rsidR="00182D80" w:rsidRPr="0007255D" w:rsidRDefault="00182D80" w:rsidP="00182D80">
      <w:pPr>
        <w:pStyle w:val="FirstParagraph"/>
        <w:rPr>
          <w:rFonts w:ascii="Arial" w:hAnsi="Arial" w:cs="Arial"/>
          <w:b/>
          <w:bCs/>
          <w:sz w:val="22"/>
          <w:szCs w:val="22"/>
        </w:rPr>
      </w:pPr>
      <w:r w:rsidRPr="0007255D">
        <w:rPr>
          <w:rFonts w:ascii="Arial" w:hAnsi="Arial" w:cs="Arial"/>
          <w:b/>
          <w:bCs/>
          <w:sz w:val="22"/>
          <w:szCs w:val="22"/>
        </w:rPr>
        <w:t>References</w:t>
      </w:r>
    </w:p>
    <w:p w14:paraId="76661D7B"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1. </w:t>
      </w:r>
      <w:r w:rsidRPr="0007255D">
        <w:rPr>
          <w:rFonts w:ascii="Arial" w:hAnsi="Arial" w:cs="Arial"/>
          <w:sz w:val="22"/>
          <w:szCs w:val="22"/>
        </w:rPr>
        <w:tab/>
        <w:t xml:space="preserve">National Travel and Tourism Office. International visitor forecast: 2025–2029. </w:t>
      </w:r>
      <w:hyperlink r:id="rId10">
        <w:r w:rsidRPr="0007255D">
          <w:rPr>
            <w:rStyle w:val="Hyperlink"/>
            <w:rFonts w:ascii="Arial" w:hAnsi="Arial" w:cs="Arial"/>
            <w:sz w:val="22"/>
            <w:szCs w:val="22"/>
          </w:rPr>
          <w:t>https://www.trade.gov/travel-and-tourism-forecasts</w:t>
        </w:r>
      </w:hyperlink>
      <w:r w:rsidRPr="0007255D">
        <w:rPr>
          <w:rFonts w:ascii="Arial" w:hAnsi="Arial" w:cs="Arial"/>
          <w:sz w:val="22"/>
          <w:szCs w:val="22"/>
        </w:rPr>
        <w:t>; 2025.</w:t>
      </w:r>
    </w:p>
    <w:p w14:paraId="4685F8EF"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2. </w:t>
      </w:r>
      <w:r w:rsidRPr="0007255D">
        <w:rPr>
          <w:rFonts w:ascii="Arial" w:hAnsi="Arial" w:cs="Arial"/>
          <w:sz w:val="22"/>
          <w:szCs w:val="22"/>
        </w:rPr>
        <w:tab/>
      </w:r>
      <w:proofErr w:type="spellStart"/>
      <w:r w:rsidRPr="0007255D">
        <w:rPr>
          <w:rFonts w:ascii="Arial" w:hAnsi="Arial" w:cs="Arial"/>
          <w:sz w:val="22"/>
          <w:szCs w:val="22"/>
        </w:rPr>
        <w:t>Panhuis</w:t>
      </w:r>
      <w:proofErr w:type="spellEnd"/>
      <w:r w:rsidRPr="0007255D">
        <w:rPr>
          <w:rFonts w:ascii="Arial" w:hAnsi="Arial" w:cs="Arial"/>
          <w:sz w:val="22"/>
          <w:szCs w:val="22"/>
        </w:rPr>
        <w:t xml:space="preserve"> WG van, Hyun S, Blaney K, Marques ETA Jr, Coelho GE, Siqueira JB Jr, et al. Risk of dengue for tourists and teams during the world cup 2014 in </w:t>
      </w:r>
      <w:proofErr w:type="spellStart"/>
      <w:r w:rsidRPr="0007255D">
        <w:rPr>
          <w:rFonts w:ascii="Arial" w:hAnsi="Arial" w:cs="Arial"/>
          <w:sz w:val="22"/>
          <w:szCs w:val="22"/>
        </w:rPr>
        <w:t>brazil</w:t>
      </w:r>
      <w:proofErr w:type="spellEnd"/>
      <w:r w:rsidRPr="0007255D">
        <w:rPr>
          <w:rFonts w:ascii="Arial" w:hAnsi="Arial" w:cs="Arial"/>
          <w:sz w:val="22"/>
          <w:szCs w:val="22"/>
        </w:rPr>
        <w:t xml:space="preserve">. PLOS Neglected Tropical Diseases [Internet]. 2014 July;8(7):1–12. Available from: </w:t>
      </w:r>
      <w:hyperlink r:id="rId11">
        <w:r w:rsidRPr="0007255D">
          <w:rPr>
            <w:rStyle w:val="Hyperlink"/>
            <w:rFonts w:ascii="Arial" w:hAnsi="Arial" w:cs="Arial"/>
            <w:sz w:val="22"/>
            <w:szCs w:val="22"/>
          </w:rPr>
          <w:t>https://doi.org/10.1371/journal.pntd.0003063</w:t>
        </w:r>
      </w:hyperlink>
    </w:p>
    <w:p w14:paraId="1CABCF67"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3. </w:t>
      </w:r>
      <w:r w:rsidRPr="0007255D">
        <w:rPr>
          <w:rFonts w:ascii="Arial" w:hAnsi="Arial" w:cs="Arial"/>
          <w:sz w:val="22"/>
          <w:szCs w:val="22"/>
        </w:rPr>
        <w:tab/>
      </w:r>
      <w:proofErr w:type="spellStart"/>
      <w:r w:rsidRPr="0007255D">
        <w:rPr>
          <w:rFonts w:ascii="Arial" w:hAnsi="Arial" w:cs="Arial"/>
          <w:sz w:val="22"/>
          <w:szCs w:val="22"/>
        </w:rPr>
        <w:t>Pshenichnaya</w:t>
      </w:r>
      <w:proofErr w:type="spellEnd"/>
      <w:r w:rsidRPr="0007255D">
        <w:rPr>
          <w:rFonts w:ascii="Arial" w:hAnsi="Arial" w:cs="Arial"/>
          <w:sz w:val="22"/>
          <w:szCs w:val="22"/>
        </w:rPr>
        <w:t xml:space="preserve"> N, Petersen E, Patel D, </w:t>
      </w:r>
      <w:proofErr w:type="spellStart"/>
      <w:r w:rsidRPr="0007255D">
        <w:rPr>
          <w:rFonts w:ascii="Arial" w:hAnsi="Arial" w:cs="Arial"/>
          <w:sz w:val="22"/>
          <w:szCs w:val="22"/>
        </w:rPr>
        <w:t>Gautret</w:t>
      </w:r>
      <w:proofErr w:type="spellEnd"/>
      <w:r w:rsidRPr="0007255D">
        <w:rPr>
          <w:rFonts w:ascii="Arial" w:hAnsi="Arial" w:cs="Arial"/>
          <w:sz w:val="22"/>
          <w:szCs w:val="22"/>
        </w:rPr>
        <w:t xml:space="preserve"> P, Schlagenhauf P. </w:t>
      </w:r>
      <w:hyperlink r:id="rId12">
        <w:r w:rsidRPr="0007255D">
          <w:rPr>
            <w:rStyle w:val="Hyperlink"/>
            <w:rFonts w:ascii="Arial" w:hAnsi="Arial" w:cs="Arial"/>
            <w:sz w:val="22"/>
            <w:szCs w:val="22"/>
          </w:rPr>
          <w:t>Football fever in Russia: Infectious disease risks and the FIFA World Cup 2018</w:t>
        </w:r>
      </w:hyperlink>
      <w:r w:rsidRPr="0007255D">
        <w:rPr>
          <w:rFonts w:ascii="Arial" w:hAnsi="Arial" w:cs="Arial"/>
          <w:sz w:val="22"/>
          <w:szCs w:val="22"/>
        </w:rPr>
        <w:t xml:space="preserve">. Travel Medicine and Infectious Disease. </w:t>
      </w:r>
      <w:proofErr w:type="gramStart"/>
      <w:r w:rsidRPr="0007255D">
        <w:rPr>
          <w:rFonts w:ascii="Arial" w:hAnsi="Arial" w:cs="Arial"/>
          <w:sz w:val="22"/>
          <w:szCs w:val="22"/>
        </w:rPr>
        <w:t>2018;24:4</w:t>
      </w:r>
      <w:proofErr w:type="gramEnd"/>
      <w:r w:rsidRPr="0007255D">
        <w:rPr>
          <w:rFonts w:ascii="Arial" w:hAnsi="Arial" w:cs="Arial"/>
          <w:sz w:val="22"/>
          <w:szCs w:val="22"/>
        </w:rPr>
        <w:t>–6.</w:t>
      </w:r>
    </w:p>
    <w:p w14:paraId="06406F73"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4. </w:t>
      </w:r>
      <w:r w:rsidRPr="0007255D">
        <w:rPr>
          <w:rFonts w:ascii="Arial" w:hAnsi="Arial" w:cs="Arial"/>
          <w:sz w:val="22"/>
          <w:szCs w:val="22"/>
        </w:rPr>
        <w:tab/>
        <w:t xml:space="preserve">Al-Tawfiq JA, </w:t>
      </w:r>
      <w:proofErr w:type="spellStart"/>
      <w:r w:rsidRPr="0007255D">
        <w:rPr>
          <w:rFonts w:ascii="Arial" w:hAnsi="Arial" w:cs="Arial"/>
          <w:sz w:val="22"/>
          <w:szCs w:val="22"/>
        </w:rPr>
        <w:t>Gautret</w:t>
      </w:r>
      <w:proofErr w:type="spellEnd"/>
      <w:r w:rsidRPr="0007255D">
        <w:rPr>
          <w:rFonts w:ascii="Arial" w:hAnsi="Arial" w:cs="Arial"/>
          <w:sz w:val="22"/>
          <w:szCs w:val="22"/>
        </w:rPr>
        <w:t xml:space="preserve"> P, Schlagenhauf P. </w:t>
      </w:r>
      <w:hyperlink r:id="rId13">
        <w:r w:rsidRPr="0007255D">
          <w:rPr>
            <w:rStyle w:val="Hyperlink"/>
            <w:rFonts w:ascii="Arial" w:hAnsi="Arial" w:cs="Arial"/>
            <w:sz w:val="22"/>
            <w:szCs w:val="22"/>
          </w:rPr>
          <w:t>Infection risks associated with the 2022 FIFA World Cup in Qatar</w:t>
        </w:r>
      </w:hyperlink>
      <w:r w:rsidRPr="0007255D">
        <w:rPr>
          <w:rFonts w:ascii="Arial" w:hAnsi="Arial" w:cs="Arial"/>
          <w:sz w:val="22"/>
          <w:szCs w:val="22"/>
        </w:rPr>
        <w:t>. New Microbes and New Infections. 2022;49–50:101055.</w:t>
      </w:r>
    </w:p>
    <w:p w14:paraId="710037C3"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5. </w:t>
      </w:r>
      <w:r w:rsidRPr="0007255D">
        <w:rPr>
          <w:rFonts w:ascii="Arial" w:hAnsi="Arial" w:cs="Arial"/>
          <w:sz w:val="22"/>
          <w:szCs w:val="22"/>
        </w:rPr>
        <w:tab/>
        <w:t xml:space="preserve">Lessler J, Smith CP, Das P, Sykes AL, Urbinati A, Geith K, et al. Why epidemic risk at the 2026 world cup may not be what you think. </w:t>
      </w:r>
      <w:proofErr w:type="spellStart"/>
      <w:r w:rsidRPr="0007255D">
        <w:rPr>
          <w:rFonts w:ascii="Arial" w:hAnsi="Arial" w:cs="Arial"/>
          <w:sz w:val="22"/>
          <w:szCs w:val="22"/>
        </w:rPr>
        <w:t>medRxiv</w:t>
      </w:r>
      <w:proofErr w:type="spellEnd"/>
      <w:r w:rsidRPr="0007255D">
        <w:rPr>
          <w:rFonts w:ascii="Arial" w:hAnsi="Arial" w:cs="Arial"/>
          <w:sz w:val="22"/>
          <w:szCs w:val="22"/>
        </w:rPr>
        <w:t xml:space="preserve"> [Internet]. 2026; Available from: </w:t>
      </w:r>
      <w:hyperlink r:id="rId14">
        <w:r w:rsidRPr="0007255D">
          <w:rPr>
            <w:rStyle w:val="Hyperlink"/>
            <w:rFonts w:ascii="Arial" w:hAnsi="Arial" w:cs="Arial"/>
            <w:sz w:val="22"/>
            <w:szCs w:val="22"/>
          </w:rPr>
          <w:t>https://www.medrxiv.org/content/10.64898/2026.05.28.26354384</w:t>
        </w:r>
      </w:hyperlink>
    </w:p>
    <w:p w14:paraId="30681B64"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6. </w:t>
      </w:r>
      <w:r w:rsidRPr="0007255D">
        <w:rPr>
          <w:rFonts w:ascii="Arial" w:hAnsi="Arial" w:cs="Arial"/>
          <w:sz w:val="22"/>
          <w:szCs w:val="22"/>
        </w:rPr>
        <w:tab/>
        <w:t xml:space="preserve">U.S. Census Bureau. World cup 2026: Foreign-born populations in host cities. </w:t>
      </w:r>
      <w:hyperlink r:id="rId15">
        <w:r w:rsidRPr="0007255D">
          <w:rPr>
            <w:rStyle w:val="Hyperlink"/>
            <w:rFonts w:ascii="Arial" w:hAnsi="Arial" w:cs="Arial"/>
            <w:sz w:val="22"/>
            <w:szCs w:val="22"/>
          </w:rPr>
          <w:t>https://www.census.gov/library/stories/2026/06/2026-world-cup.html</w:t>
        </w:r>
      </w:hyperlink>
      <w:r w:rsidRPr="0007255D">
        <w:rPr>
          <w:rFonts w:ascii="Arial" w:hAnsi="Arial" w:cs="Arial"/>
          <w:sz w:val="22"/>
          <w:szCs w:val="22"/>
        </w:rPr>
        <w:t>; 2026.</w:t>
      </w:r>
    </w:p>
    <w:p w14:paraId="24EFA638"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7. </w:t>
      </w:r>
      <w:r w:rsidRPr="0007255D">
        <w:rPr>
          <w:rFonts w:ascii="Arial" w:hAnsi="Arial" w:cs="Arial"/>
          <w:sz w:val="22"/>
          <w:szCs w:val="22"/>
        </w:rPr>
        <w:tab/>
        <w:t xml:space="preserve">Walker K, Herman M. </w:t>
      </w:r>
      <w:proofErr w:type="spellStart"/>
      <w:r w:rsidRPr="0007255D">
        <w:rPr>
          <w:rFonts w:ascii="Arial" w:hAnsi="Arial" w:cs="Arial"/>
          <w:sz w:val="22"/>
          <w:szCs w:val="22"/>
        </w:rPr>
        <w:t>Tidycensus</w:t>
      </w:r>
      <w:proofErr w:type="spellEnd"/>
      <w:r w:rsidRPr="0007255D">
        <w:rPr>
          <w:rFonts w:ascii="Arial" w:hAnsi="Arial" w:cs="Arial"/>
          <w:sz w:val="22"/>
          <w:szCs w:val="22"/>
        </w:rPr>
        <w:t>: Load US census boundary and attribute data as “</w:t>
      </w:r>
      <w:proofErr w:type="spellStart"/>
      <w:r w:rsidRPr="0007255D">
        <w:rPr>
          <w:rFonts w:ascii="Arial" w:hAnsi="Arial" w:cs="Arial"/>
          <w:sz w:val="22"/>
          <w:szCs w:val="22"/>
        </w:rPr>
        <w:t>tidyverse</w:t>
      </w:r>
      <w:proofErr w:type="spellEnd"/>
      <w:r w:rsidRPr="0007255D">
        <w:rPr>
          <w:rFonts w:ascii="Arial" w:hAnsi="Arial" w:cs="Arial"/>
          <w:sz w:val="22"/>
          <w:szCs w:val="22"/>
        </w:rPr>
        <w:t xml:space="preserve">” and “sf”-ready data frames [Internet]. 2024. Available from: </w:t>
      </w:r>
      <w:hyperlink r:id="rId16">
        <w:r w:rsidRPr="0007255D">
          <w:rPr>
            <w:rStyle w:val="Hyperlink"/>
            <w:rFonts w:ascii="Arial" w:hAnsi="Arial" w:cs="Arial"/>
            <w:sz w:val="22"/>
            <w:szCs w:val="22"/>
          </w:rPr>
          <w:t>https://CRAN.R-project.org/package=tidycensus</w:t>
        </w:r>
      </w:hyperlink>
    </w:p>
    <w:p w14:paraId="18C8727C" w14:textId="77777777" w:rsidR="00182D80" w:rsidRPr="0007255D" w:rsidRDefault="00182D80" w:rsidP="00182D80">
      <w:pPr>
        <w:rPr>
          <w:rFonts w:ascii="Arial" w:hAnsi="Arial" w:cs="Arial"/>
          <w:sz w:val="22"/>
          <w:szCs w:val="22"/>
        </w:rPr>
      </w:pPr>
      <w:r w:rsidRPr="0007255D">
        <w:rPr>
          <w:rFonts w:ascii="Arial" w:hAnsi="Arial" w:cs="Arial"/>
          <w:sz w:val="22"/>
          <w:szCs w:val="22"/>
        </w:rPr>
        <w:lastRenderedPageBreak/>
        <w:t xml:space="preserve">8. </w:t>
      </w:r>
      <w:r w:rsidRPr="0007255D">
        <w:rPr>
          <w:rFonts w:ascii="Arial" w:hAnsi="Arial" w:cs="Arial"/>
          <w:sz w:val="22"/>
          <w:szCs w:val="22"/>
        </w:rPr>
        <w:tab/>
        <w:t xml:space="preserve">US Customs and Border Protection. Monthly arrivals by country of residence (I-94 data). </w:t>
      </w:r>
      <w:hyperlink r:id="rId17">
        <w:r w:rsidRPr="0007255D">
          <w:rPr>
            <w:rStyle w:val="Hyperlink"/>
            <w:rFonts w:ascii="Arial" w:hAnsi="Arial" w:cs="Arial"/>
            <w:sz w:val="22"/>
            <w:szCs w:val="22"/>
          </w:rPr>
          <w:t>https://travel.trade.gov</w:t>
        </w:r>
      </w:hyperlink>
      <w:r w:rsidRPr="0007255D">
        <w:rPr>
          <w:rFonts w:ascii="Arial" w:hAnsi="Arial" w:cs="Arial"/>
          <w:sz w:val="22"/>
          <w:szCs w:val="22"/>
        </w:rPr>
        <w:t>; 2026.</w:t>
      </w:r>
    </w:p>
    <w:p w14:paraId="5CDCC51A"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9. </w:t>
      </w:r>
      <w:r w:rsidRPr="0007255D">
        <w:rPr>
          <w:rFonts w:ascii="Arial" w:hAnsi="Arial" w:cs="Arial"/>
          <w:sz w:val="22"/>
          <w:szCs w:val="22"/>
        </w:rPr>
        <w:tab/>
        <w:t xml:space="preserve">Bureau of Transportation Statistics. T-100 international segment (all carriers) — form 41 traffic data. </w:t>
      </w:r>
      <w:hyperlink r:id="rId18">
        <w:r w:rsidRPr="0007255D">
          <w:rPr>
            <w:rStyle w:val="Hyperlink"/>
            <w:rFonts w:ascii="Arial" w:hAnsi="Arial" w:cs="Arial"/>
            <w:sz w:val="22"/>
            <w:szCs w:val="22"/>
          </w:rPr>
          <w:t>https://www.transtats.bts.gov/DL_SelectFields.aspx?gnoyr_VQ=FJE</w:t>
        </w:r>
      </w:hyperlink>
      <w:r w:rsidRPr="0007255D">
        <w:rPr>
          <w:rFonts w:ascii="Arial" w:hAnsi="Arial" w:cs="Arial"/>
          <w:sz w:val="22"/>
          <w:szCs w:val="22"/>
        </w:rPr>
        <w:t>; 2026.</w:t>
      </w:r>
    </w:p>
    <w:p w14:paraId="1C827048"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10. </w:t>
      </w:r>
      <w:r w:rsidRPr="0007255D">
        <w:rPr>
          <w:rFonts w:ascii="Arial" w:hAnsi="Arial" w:cs="Arial"/>
          <w:sz w:val="22"/>
          <w:szCs w:val="22"/>
        </w:rPr>
        <w:tab/>
      </w:r>
      <w:proofErr w:type="spellStart"/>
      <w:r w:rsidRPr="0007255D">
        <w:rPr>
          <w:rFonts w:ascii="Arial" w:hAnsi="Arial" w:cs="Arial"/>
          <w:sz w:val="22"/>
          <w:szCs w:val="22"/>
        </w:rPr>
        <w:t>Worldometers</w:t>
      </w:r>
      <w:proofErr w:type="spellEnd"/>
      <w:r w:rsidRPr="0007255D">
        <w:rPr>
          <w:rFonts w:ascii="Arial" w:hAnsi="Arial" w:cs="Arial"/>
          <w:sz w:val="22"/>
          <w:szCs w:val="22"/>
        </w:rPr>
        <w:t xml:space="preserve">. Population by country (2026). </w:t>
      </w:r>
      <w:hyperlink r:id="rId19">
        <w:r w:rsidRPr="0007255D">
          <w:rPr>
            <w:rStyle w:val="Hyperlink"/>
            <w:rFonts w:ascii="Arial" w:hAnsi="Arial" w:cs="Arial"/>
            <w:sz w:val="22"/>
            <w:szCs w:val="22"/>
          </w:rPr>
          <w:t>https://www.worldometers.info/world-population/population-by-country/</w:t>
        </w:r>
      </w:hyperlink>
      <w:r w:rsidRPr="0007255D">
        <w:rPr>
          <w:rFonts w:ascii="Arial" w:hAnsi="Arial" w:cs="Arial"/>
          <w:sz w:val="22"/>
          <w:szCs w:val="22"/>
        </w:rPr>
        <w:t>; 2026.</w:t>
      </w:r>
    </w:p>
    <w:p w14:paraId="531A3AF8"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11. </w:t>
      </w:r>
      <w:r w:rsidRPr="0007255D">
        <w:rPr>
          <w:rFonts w:ascii="Arial" w:hAnsi="Arial" w:cs="Arial"/>
          <w:sz w:val="22"/>
          <w:szCs w:val="22"/>
        </w:rPr>
        <w:tab/>
        <w:t xml:space="preserve">World Health Organization. Global dengue surveillance dataset. </w:t>
      </w:r>
      <w:hyperlink r:id="rId20">
        <w:r w:rsidRPr="0007255D">
          <w:rPr>
            <w:rStyle w:val="Hyperlink"/>
            <w:rFonts w:ascii="Arial" w:hAnsi="Arial" w:cs="Arial"/>
            <w:sz w:val="22"/>
            <w:szCs w:val="22"/>
          </w:rPr>
          <w:t>https://www.who.int/data/gho</w:t>
        </w:r>
      </w:hyperlink>
      <w:r w:rsidRPr="0007255D">
        <w:rPr>
          <w:rFonts w:ascii="Arial" w:hAnsi="Arial" w:cs="Arial"/>
          <w:sz w:val="22"/>
          <w:szCs w:val="22"/>
        </w:rPr>
        <w:t>; 2025.</w:t>
      </w:r>
    </w:p>
    <w:p w14:paraId="30551A81"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12. </w:t>
      </w:r>
      <w:r w:rsidRPr="0007255D">
        <w:rPr>
          <w:rFonts w:ascii="Arial" w:hAnsi="Arial" w:cs="Arial"/>
          <w:sz w:val="22"/>
          <w:szCs w:val="22"/>
        </w:rPr>
        <w:tab/>
        <w:t xml:space="preserve">World Health Organization. World malaria report 2024. </w:t>
      </w:r>
      <w:hyperlink r:id="rId21">
        <w:r w:rsidRPr="0007255D">
          <w:rPr>
            <w:rStyle w:val="Hyperlink"/>
            <w:rFonts w:ascii="Arial" w:hAnsi="Arial" w:cs="Arial"/>
            <w:sz w:val="22"/>
            <w:szCs w:val="22"/>
          </w:rPr>
          <w:t>https://www.who.int/teams/global-malaria-programme/reports/world-malaria-report-2024</w:t>
        </w:r>
      </w:hyperlink>
      <w:r w:rsidRPr="0007255D">
        <w:rPr>
          <w:rFonts w:ascii="Arial" w:hAnsi="Arial" w:cs="Arial"/>
          <w:sz w:val="22"/>
          <w:szCs w:val="22"/>
        </w:rPr>
        <w:t>; 2024.</w:t>
      </w:r>
    </w:p>
    <w:p w14:paraId="4BE69B9B"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13. </w:t>
      </w:r>
      <w:r w:rsidRPr="0007255D">
        <w:rPr>
          <w:rFonts w:ascii="Arial" w:hAnsi="Arial" w:cs="Arial"/>
          <w:sz w:val="22"/>
          <w:szCs w:val="22"/>
        </w:rPr>
        <w:tab/>
        <w:t xml:space="preserve">World Health Organization. Immunization data: Reported cases and incidence. </w:t>
      </w:r>
      <w:hyperlink r:id="rId22">
        <w:r w:rsidRPr="0007255D">
          <w:rPr>
            <w:rStyle w:val="Hyperlink"/>
            <w:rFonts w:ascii="Arial" w:hAnsi="Arial" w:cs="Arial"/>
            <w:sz w:val="22"/>
            <w:szCs w:val="22"/>
          </w:rPr>
          <w:t>https://immunizationdata.who.int</w:t>
        </w:r>
      </w:hyperlink>
      <w:r w:rsidRPr="0007255D">
        <w:rPr>
          <w:rFonts w:ascii="Arial" w:hAnsi="Arial" w:cs="Arial"/>
          <w:sz w:val="22"/>
          <w:szCs w:val="22"/>
        </w:rPr>
        <w:t>; 2025.</w:t>
      </w:r>
    </w:p>
    <w:p w14:paraId="68EC73DB"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14. </w:t>
      </w:r>
      <w:r w:rsidRPr="0007255D">
        <w:rPr>
          <w:rFonts w:ascii="Arial" w:hAnsi="Arial" w:cs="Arial"/>
          <w:sz w:val="22"/>
          <w:szCs w:val="22"/>
        </w:rPr>
        <w:tab/>
        <w:t xml:space="preserve">Bhatt S, Gething PW, Brady OJ, Messina JP, Farlow AW, Moyes CL, et al. The global distribution and burden of dengue. Nature [Internet]. 2013;496(7446):504–7. Available from: </w:t>
      </w:r>
      <w:hyperlink r:id="rId23">
        <w:r w:rsidRPr="0007255D">
          <w:rPr>
            <w:rStyle w:val="Hyperlink"/>
            <w:rFonts w:ascii="Arial" w:hAnsi="Arial" w:cs="Arial"/>
            <w:sz w:val="22"/>
            <w:szCs w:val="22"/>
          </w:rPr>
          <w:t>https://doi.org/10.1038/nature12060</w:t>
        </w:r>
      </w:hyperlink>
    </w:p>
    <w:p w14:paraId="52257DA3"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15. </w:t>
      </w:r>
      <w:r w:rsidRPr="0007255D">
        <w:rPr>
          <w:rFonts w:ascii="Arial" w:hAnsi="Arial" w:cs="Arial"/>
          <w:sz w:val="22"/>
          <w:szCs w:val="22"/>
        </w:rPr>
        <w:tab/>
      </w:r>
      <w:proofErr w:type="spellStart"/>
      <w:r w:rsidRPr="0007255D">
        <w:rPr>
          <w:rFonts w:ascii="Arial" w:hAnsi="Arial" w:cs="Arial"/>
          <w:sz w:val="22"/>
          <w:szCs w:val="22"/>
        </w:rPr>
        <w:t>Undurraga</w:t>
      </w:r>
      <w:proofErr w:type="spellEnd"/>
      <w:r w:rsidRPr="0007255D">
        <w:rPr>
          <w:rFonts w:ascii="Arial" w:hAnsi="Arial" w:cs="Arial"/>
          <w:sz w:val="22"/>
          <w:szCs w:val="22"/>
        </w:rPr>
        <w:t xml:space="preserve"> EA, </w:t>
      </w:r>
      <w:proofErr w:type="spellStart"/>
      <w:r w:rsidRPr="0007255D">
        <w:rPr>
          <w:rFonts w:ascii="Arial" w:hAnsi="Arial" w:cs="Arial"/>
          <w:sz w:val="22"/>
          <w:szCs w:val="22"/>
        </w:rPr>
        <w:t>Halasa</w:t>
      </w:r>
      <w:proofErr w:type="spellEnd"/>
      <w:r w:rsidRPr="0007255D">
        <w:rPr>
          <w:rFonts w:ascii="Arial" w:hAnsi="Arial" w:cs="Arial"/>
          <w:sz w:val="22"/>
          <w:szCs w:val="22"/>
        </w:rPr>
        <w:t xml:space="preserve"> YA, Shepard DS. </w:t>
      </w:r>
      <w:hyperlink r:id="rId24">
        <w:r w:rsidRPr="0007255D">
          <w:rPr>
            <w:rStyle w:val="Hyperlink"/>
            <w:rFonts w:ascii="Arial" w:hAnsi="Arial" w:cs="Arial"/>
            <w:sz w:val="22"/>
            <w:szCs w:val="22"/>
          </w:rPr>
          <w:t>Use of expansion factors to estimate the burden of dengue in Southeast Asia: A systematic analysis</w:t>
        </w:r>
      </w:hyperlink>
      <w:r w:rsidRPr="0007255D">
        <w:rPr>
          <w:rFonts w:ascii="Arial" w:hAnsi="Arial" w:cs="Arial"/>
          <w:sz w:val="22"/>
          <w:szCs w:val="22"/>
        </w:rPr>
        <w:t>. PLOS Neglected Tropical Diseases. 2013;7(2</w:t>
      </w:r>
      <w:proofErr w:type="gramStart"/>
      <w:r w:rsidRPr="0007255D">
        <w:rPr>
          <w:rFonts w:ascii="Arial" w:hAnsi="Arial" w:cs="Arial"/>
          <w:sz w:val="22"/>
          <w:szCs w:val="22"/>
        </w:rPr>
        <w:t>):e</w:t>
      </w:r>
      <w:proofErr w:type="gramEnd"/>
      <w:r w:rsidRPr="0007255D">
        <w:rPr>
          <w:rFonts w:ascii="Arial" w:hAnsi="Arial" w:cs="Arial"/>
          <w:sz w:val="22"/>
          <w:szCs w:val="22"/>
        </w:rPr>
        <w:t>2056.</w:t>
      </w:r>
    </w:p>
    <w:p w14:paraId="0351B155"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16. </w:t>
      </w:r>
      <w:r w:rsidRPr="0007255D">
        <w:rPr>
          <w:rFonts w:ascii="Arial" w:hAnsi="Arial" w:cs="Arial"/>
          <w:sz w:val="22"/>
          <w:szCs w:val="22"/>
        </w:rPr>
        <w:tab/>
        <w:t xml:space="preserve">Lindblade KA, Steinhardt L, Samuels A, Kachur SP, Slutsker L. </w:t>
      </w:r>
      <w:hyperlink r:id="rId25">
        <w:r w:rsidRPr="0007255D">
          <w:rPr>
            <w:rStyle w:val="Hyperlink"/>
            <w:rFonts w:ascii="Arial" w:hAnsi="Arial" w:cs="Arial"/>
            <w:sz w:val="22"/>
            <w:szCs w:val="22"/>
          </w:rPr>
          <w:t>The silent threat: Asymptomatic parasitemia and malaria transmission</w:t>
        </w:r>
      </w:hyperlink>
      <w:r w:rsidRPr="0007255D">
        <w:rPr>
          <w:rFonts w:ascii="Arial" w:hAnsi="Arial" w:cs="Arial"/>
          <w:sz w:val="22"/>
          <w:szCs w:val="22"/>
        </w:rPr>
        <w:t>. Expert Review of Anti-Infective Therapy. 2013;11(6):623–39.</w:t>
      </w:r>
    </w:p>
    <w:p w14:paraId="700CB88E"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17. </w:t>
      </w:r>
      <w:r w:rsidRPr="0007255D">
        <w:rPr>
          <w:rFonts w:ascii="Arial" w:hAnsi="Arial" w:cs="Arial"/>
          <w:sz w:val="22"/>
          <w:szCs w:val="22"/>
        </w:rPr>
        <w:tab/>
      </w:r>
      <w:proofErr w:type="spellStart"/>
      <w:r w:rsidRPr="0007255D">
        <w:rPr>
          <w:rFonts w:ascii="Arial" w:hAnsi="Arial" w:cs="Arial"/>
          <w:sz w:val="22"/>
          <w:szCs w:val="22"/>
        </w:rPr>
        <w:t>Topazian</w:t>
      </w:r>
      <w:proofErr w:type="spellEnd"/>
      <w:r w:rsidRPr="0007255D">
        <w:rPr>
          <w:rFonts w:ascii="Arial" w:hAnsi="Arial" w:cs="Arial"/>
          <w:sz w:val="22"/>
          <w:szCs w:val="22"/>
        </w:rPr>
        <w:t xml:space="preserve"> HM, Gumbo A, Puerto-Meredith S, et al. </w:t>
      </w:r>
      <w:hyperlink r:id="rId26">
        <w:r w:rsidRPr="0007255D">
          <w:rPr>
            <w:rStyle w:val="Hyperlink"/>
            <w:rFonts w:ascii="Arial" w:hAnsi="Arial" w:cs="Arial"/>
            <w:sz w:val="22"/>
            <w:szCs w:val="22"/>
          </w:rPr>
          <w:t xml:space="preserve">Asymptomatic </w:t>
        </w:r>
        <w:r w:rsidRPr="0007255D">
          <w:rPr>
            <w:rStyle w:val="Hyperlink"/>
            <w:rFonts w:ascii="Arial" w:hAnsi="Arial" w:cs="Arial"/>
            <w:i/>
            <w:iCs/>
            <w:sz w:val="22"/>
            <w:szCs w:val="22"/>
          </w:rPr>
          <w:t>plasmodium falciparum</w:t>
        </w:r>
        <w:r w:rsidRPr="0007255D">
          <w:rPr>
            <w:rStyle w:val="Hyperlink"/>
            <w:rFonts w:ascii="Arial" w:hAnsi="Arial" w:cs="Arial"/>
            <w:sz w:val="22"/>
            <w:szCs w:val="22"/>
          </w:rPr>
          <w:t xml:space="preserve"> malaria prevalence among adolescents and adults in Malawi, 2015–2016</w:t>
        </w:r>
      </w:hyperlink>
      <w:r w:rsidRPr="0007255D">
        <w:rPr>
          <w:rFonts w:ascii="Arial" w:hAnsi="Arial" w:cs="Arial"/>
          <w:sz w:val="22"/>
          <w:szCs w:val="22"/>
        </w:rPr>
        <w:t xml:space="preserve">. Scientific Reports. </w:t>
      </w:r>
      <w:proofErr w:type="gramStart"/>
      <w:r w:rsidRPr="0007255D">
        <w:rPr>
          <w:rFonts w:ascii="Arial" w:hAnsi="Arial" w:cs="Arial"/>
          <w:sz w:val="22"/>
          <w:szCs w:val="22"/>
        </w:rPr>
        <w:t>2020;10:18740</w:t>
      </w:r>
      <w:proofErr w:type="gramEnd"/>
      <w:r w:rsidRPr="0007255D">
        <w:rPr>
          <w:rFonts w:ascii="Arial" w:hAnsi="Arial" w:cs="Arial"/>
          <w:sz w:val="22"/>
          <w:szCs w:val="22"/>
        </w:rPr>
        <w:t>.</w:t>
      </w:r>
    </w:p>
    <w:p w14:paraId="33112603"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18. </w:t>
      </w:r>
      <w:r w:rsidRPr="0007255D">
        <w:rPr>
          <w:rFonts w:ascii="Arial" w:hAnsi="Arial" w:cs="Arial"/>
          <w:sz w:val="22"/>
          <w:szCs w:val="22"/>
        </w:rPr>
        <w:tab/>
        <w:t xml:space="preserve">Simons E, Ferrari M, </w:t>
      </w:r>
      <w:proofErr w:type="spellStart"/>
      <w:r w:rsidRPr="0007255D">
        <w:rPr>
          <w:rFonts w:ascii="Arial" w:hAnsi="Arial" w:cs="Arial"/>
          <w:sz w:val="22"/>
          <w:szCs w:val="22"/>
        </w:rPr>
        <w:t>Fricks</w:t>
      </w:r>
      <w:proofErr w:type="spellEnd"/>
      <w:r w:rsidRPr="0007255D">
        <w:rPr>
          <w:rFonts w:ascii="Arial" w:hAnsi="Arial" w:cs="Arial"/>
          <w:sz w:val="22"/>
          <w:szCs w:val="22"/>
        </w:rPr>
        <w:t xml:space="preserve"> J, et al. </w:t>
      </w:r>
      <w:hyperlink r:id="rId27">
        <w:r w:rsidRPr="0007255D">
          <w:rPr>
            <w:rStyle w:val="Hyperlink"/>
            <w:rFonts w:ascii="Arial" w:hAnsi="Arial" w:cs="Arial"/>
            <w:sz w:val="22"/>
            <w:szCs w:val="22"/>
          </w:rPr>
          <w:t>Assessment of the 2010 global measles mortality reduction goal: Results from a model of surveillance data</w:t>
        </w:r>
      </w:hyperlink>
      <w:r w:rsidRPr="0007255D">
        <w:rPr>
          <w:rFonts w:ascii="Arial" w:hAnsi="Arial" w:cs="Arial"/>
          <w:sz w:val="22"/>
          <w:szCs w:val="22"/>
        </w:rPr>
        <w:t>. The Lancet. 2012;379(9832):2173–8.</w:t>
      </w:r>
    </w:p>
    <w:p w14:paraId="33EC0640"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19. </w:t>
      </w:r>
      <w:r w:rsidRPr="0007255D">
        <w:rPr>
          <w:rFonts w:ascii="Arial" w:hAnsi="Arial" w:cs="Arial"/>
          <w:sz w:val="22"/>
          <w:szCs w:val="22"/>
        </w:rPr>
        <w:tab/>
        <w:t xml:space="preserve">Whittle HC, Aaby P, Samb B, Jensen H, Bennett J, </w:t>
      </w:r>
      <w:proofErr w:type="spellStart"/>
      <w:r w:rsidRPr="0007255D">
        <w:rPr>
          <w:rFonts w:ascii="Arial" w:hAnsi="Arial" w:cs="Arial"/>
          <w:sz w:val="22"/>
          <w:szCs w:val="22"/>
        </w:rPr>
        <w:t>Simondon</w:t>
      </w:r>
      <w:proofErr w:type="spellEnd"/>
      <w:r w:rsidRPr="0007255D">
        <w:rPr>
          <w:rFonts w:ascii="Arial" w:hAnsi="Arial" w:cs="Arial"/>
          <w:sz w:val="22"/>
          <w:szCs w:val="22"/>
        </w:rPr>
        <w:t xml:space="preserve"> F. </w:t>
      </w:r>
      <w:hyperlink r:id="rId28">
        <w:r w:rsidRPr="0007255D">
          <w:rPr>
            <w:rStyle w:val="Hyperlink"/>
            <w:rFonts w:ascii="Arial" w:hAnsi="Arial" w:cs="Arial"/>
            <w:sz w:val="22"/>
            <w:szCs w:val="22"/>
          </w:rPr>
          <w:t>Effect of subclinical infection on maintaining immunity against measles in vaccinated children in West Africa</w:t>
        </w:r>
      </w:hyperlink>
      <w:r w:rsidRPr="0007255D">
        <w:rPr>
          <w:rFonts w:ascii="Arial" w:hAnsi="Arial" w:cs="Arial"/>
          <w:sz w:val="22"/>
          <w:szCs w:val="22"/>
        </w:rPr>
        <w:t>. The Lancet. 1999;353(9147):98–102.</w:t>
      </w:r>
    </w:p>
    <w:p w14:paraId="00B891D5"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20. </w:t>
      </w:r>
      <w:r w:rsidRPr="0007255D">
        <w:rPr>
          <w:rFonts w:ascii="Arial" w:hAnsi="Arial" w:cs="Arial"/>
          <w:sz w:val="22"/>
          <w:szCs w:val="22"/>
        </w:rPr>
        <w:tab/>
        <w:t xml:space="preserve">Helfand RF, Kim DK, Gary HE, et al. </w:t>
      </w:r>
      <w:hyperlink r:id="rId29">
        <w:proofErr w:type="spellStart"/>
        <w:r w:rsidRPr="0007255D">
          <w:rPr>
            <w:rStyle w:val="Hyperlink"/>
            <w:rFonts w:ascii="Arial" w:hAnsi="Arial" w:cs="Arial"/>
            <w:sz w:val="22"/>
            <w:szCs w:val="22"/>
          </w:rPr>
          <w:t>Nonclassic</w:t>
        </w:r>
        <w:proofErr w:type="spellEnd"/>
        <w:r w:rsidRPr="0007255D">
          <w:rPr>
            <w:rStyle w:val="Hyperlink"/>
            <w:rFonts w:ascii="Arial" w:hAnsi="Arial" w:cs="Arial"/>
            <w:sz w:val="22"/>
            <w:szCs w:val="22"/>
          </w:rPr>
          <w:t xml:space="preserve"> measles infections in an immune population exposed to measles during a college bus trip</w:t>
        </w:r>
      </w:hyperlink>
      <w:r w:rsidRPr="0007255D">
        <w:rPr>
          <w:rFonts w:ascii="Arial" w:hAnsi="Arial" w:cs="Arial"/>
          <w:sz w:val="22"/>
          <w:szCs w:val="22"/>
        </w:rPr>
        <w:t>. Journal of Medical Virology. 1998;56(4):337–41.</w:t>
      </w:r>
    </w:p>
    <w:p w14:paraId="43BF3DEB"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21. </w:t>
      </w:r>
      <w:r w:rsidRPr="0007255D">
        <w:rPr>
          <w:rFonts w:ascii="Arial" w:hAnsi="Arial" w:cs="Arial"/>
          <w:sz w:val="22"/>
          <w:szCs w:val="22"/>
        </w:rPr>
        <w:tab/>
        <w:t xml:space="preserve">Chen D, Balderston McGuiness C, </w:t>
      </w:r>
      <w:proofErr w:type="spellStart"/>
      <w:r w:rsidRPr="0007255D">
        <w:rPr>
          <w:rFonts w:ascii="Arial" w:hAnsi="Arial" w:cs="Arial"/>
          <w:sz w:val="22"/>
          <w:szCs w:val="22"/>
        </w:rPr>
        <w:t>Krishnarajah</w:t>
      </w:r>
      <w:proofErr w:type="spellEnd"/>
      <w:r w:rsidRPr="0007255D">
        <w:rPr>
          <w:rFonts w:ascii="Arial" w:hAnsi="Arial" w:cs="Arial"/>
          <w:sz w:val="22"/>
          <w:szCs w:val="22"/>
        </w:rPr>
        <w:t xml:space="preserve"> G, et al. </w:t>
      </w:r>
      <w:hyperlink r:id="rId30">
        <w:r w:rsidRPr="0007255D">
          <w:rPr>
            <w:rStyle w:val="Hyperlink"/>
            <w:rFonts w:ascii="Arial" w:hAnsi="Arial" w:cs="Arial"/>
            <w:sz w:val="22"/>
            <w:szCs w:val="22"/>
          </w:rPr>
          <w:t xml:space="preserve">Estimated incidence of pertussis in people aged </w:t>
        </w:r>
        <m:oMath>
          <m:r>
            <m:rPr>
              <m:sty m:val="p"/>
            </m:rPr>
            <w:rPr>
              <w:rFonts w:ascii="Cambria Math" w:hAnsi="Cambria Math" w:cs="Arial"/>
              <w:sz w:val="22"/>
              <w:szCs w:val="22"/>
            </w:rPr>
            <m:t>&lt;</m:t>
          </m:r>
        </m:oMath>
        <w:r w:rsidRPr="0007255D">
          <w:rPr>
            <w:rStyle w:val="Hyperlink"/>
            <w:rFonts w:ascii="Arial" w:hAnsi="Arial" w:cs="Arial"/>
            <w:sz w:val="22"/>
            <w:szCs w:val="22"/>
          </w:rPr>
          <w:t>50 years in the United States</w:t>
        </w:r>
      </w:hyperlink>
      <w:r w:rsidRPr="0007255D">
        <w:rPr>
          <w:rFonts w:ascii="Arial" w:hAnsi="Arial" w:cs="Arial"/>
          <w:sz w:val="22"/>
          <w:szCs w:val="22"/>
        </w:rPr>
        <w:t>. Human Vaccines &amp; Immunotherapeutics. 2016;12(10):2536–45.</w:t>
      </w:r>
    </w:p>
    <w:p w14:paraId="1AB73A4A"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22. </w:t>
      </w:r>
      <w:r w:rsidRPr="0007255D">
        <w:rPr>
          <w:rFonts w:ascii="Arial" w:hAnsi="Arial" w:cs="Arial"/>
          <w:sz w:val="22"/>
          <w:szCs w:val="22"/>
        </w:rPr>
        <w:tab/>
        <w:t xml:space="preserve">Craig R, Kunkel E, Crowcroft NS, et al. </w:t>
      </w:r>
      <w:hyperlink r:id="rId31">
        <w:r w:rsidRPr="0007255D">
          <w:rPr>
            <w:rStyle w:val="Hyperlink"/>
            <w:rFonts w:ascii="Arial" w:hAnsi="Arial" w:cs="Arial"/>
            <w:sz w:val="22"/>
            <w:szCs w:val="22"/>
          </w:rPr>
          <w:t>Asymptomatic infection and transmission of pertussis in households: A systematic review</w:t>
        </w:r>
      </w:hyperlink>
      <w:r w:rsidRPr="0007255D">
        <w:rPr>
          <w:rFonts w:ascii="Arial" w:hAnsi="Arial" w:cs="Arial"/>
          <w:sz w:val="22"/>
          <w:szCs w:val="22"/>
        </w:rPr>
        <w:t>. Clinical Infectious Diseases. 2020;70(1):152–61.</w:t>
      </w:r>
    </w:p>
    <w:p w14:paraId="0243E6A1"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23. </w:t>
      </w:r>
      <w:r w:rsidRPr="0007255D">
        <w:rPr>
          <w:rFonts w:ascii="Arial" w:hAnsi="Arial" w:cs="Arial"/>
          <w:sz w:val="22"/>
          <w:szCs w:val="22"/>
        </w:rPr>
        <w:tab/>
        <w:t xml:space="preserve">Althouse BM, Scarpino SV. </w:t>
      </w:r>
      <w:hyperlink r:id="rId32">
        <w:r w:rsidRPr="0007255D">
          <w:rPr>
            <w:rStyle w:val="Hyperlink"/>
            <w:rFonts w:ascii="Arial" w:hAnsi="Arial" w:cs="Arial"/>
            <w:sz w:val="22"/>
            <w:szCs w:val="22"/>
          </w:rPr>
          <w:t xml:space="preserve">Asymptomatic transmission and the resurgence of </w:t>
        </w:r>
        <w:proofErr w:type="spellStart"/>
        <w:r w:rsidRPr="0007255D">
          <w:rPr>
            <w:rStyle w:val="Hyperlink"/>
            <w:rFonts w:ascii="Arial" w:hAnsi="Arial" w:cs="Arial"/>
            <w:i/>
            <w:iCs/>
            <w:sz w:val="22"/>
            <w:szCs w:val="22"/>
          </w:rPr>
          <w:t>bordetella</w:t>
        </w:r>
        <w:proofErr w:type="spellEnd"/>
        <w:r w:rsidRPr="0007255D">
          <w:rPr>
            <w:rStyle w:val="Hyperlink"/>
            <w:rFonts w:ascii="Arial" w:hAnsi="Arial" w:cs="Arial"/>
            <w:i/>
            <w:iCs/>
            <w:sz w:val="22"/>
            <w:szCs w:val="22"/>
          </w:rPr>
          <w:t xml:space="preserve"> pertussis</w:t>
        </w:r>
      </w:hyperlink>
      <w:r w:rsidRPr="0007255D">
        <w:rPr>
          <w:rFonts w:ascii="Arial" w:hAnsi="Arial" w:cs="Arial"/>
          <w:sz w:val="22"/>
          <w:szCs w:val="22"/>
        </w:rPr>
        <w:t xml:space="preserve">. BMC Medicine. </w:t>
      </w:r>
      <w:proofErr w:type="gramStart"/>
      <w:r w:rsidRPr="0007255D">
        <w:rPr>
          <w:rFonts w:ascii="Arial" w:hAnsi="Arial" w:cs="Arial"/>
          <w:sz w:val="22"/>
          <w:szCs w:val="22"/>
        </w:rPr>
        <w:t>2015;13:146</w:t>
      </w:r>
      <w:proofErr w:type="gramEnd"/>
      <w:r w:rsidRPr="0007255D">
        <w:rPr>
          <w:rFonts w:ascii="Arial" w:hAnsi="Arial" w:cs="Arial"/>
          <w:sz w:val="22"/>
          <w:szCs w:val="22"/>
        </w:rPr>
        <w:t>.</w:t>
      </w:r>
    </w:p>
    <w:p w14:paraId="01F35561" w14:textId="77777777" w:rsidR="00182D80" w:rsidRPr="0007255D" w:rsidRDefault="00182D80" w:rsidP="00182D80">
      <w:pPr>
        <w:rPr>
          <w:rFonts w:ascii="Arial" w:hAnsi="Arial" w:cs="Arial"/>
          <w:sz w:val="22"/>
          <w:szCs w:val="22"/>
        </w:rPr>
      </w:pPr>
      <w:r w:rsidRPr="0007255D">
        <w:rPr>
          <w:rFonts w:ascii="Arial" w:hAnsi="Arial" w:cs="Arial"/>
          <w:sz w:val="22"/>
          <w:szCs w:val="22"/>
        </w:rPr>
        <w:lastRenderedPageBreak/>
        <w:t xml:space="preserve">24. </w:t>
      </w:r>
      <w:r w:rsidRPr="0007255D">
        <w:rPr>
          <w:rFonts w:ascii="Arial" w:hAnsi="Arial" w:cs="Arial"/>
          <w:sz w:val="22"/>
          <w:szCs w:val="22"/>
        </w:rPr>
        <w:tab/>
        <w:t xml:space="preserve">McCarthy Z, Athar S, </w:t>
      </w:r>
      <w:proofErr w:type="spellStart"/>
      <w:r w:rsidRPr="0007255D">
        <w:rPr>
          <w:rFonts w:ascii="Arial" w:hAnsi="Arial" w:cs="Arial"/>
          <w:sz w:val="22"/>
          <w:szCs w:val="22"/>
        </w:rPr>
        <w:t>Alavinejad</w:t>
      </w:r>
      <w:proofErr w:type="spellEnd"/>
      <w:r w:rsidRPr="0007255D">
        <w:rPr>
          <w:rFonts w:ascii="Arial" w:hAnsi="Arial" w:cs="Arial"/>
          <w:sz w:val="22"/>
          <w:szCs w:val="22"/>
        </w:rPr>
        <w:t xml:space="preserve"> M, et al. </w:t>
      </w:r>
      <w:hyperlink r:id="rId33">
        <w:r w:rsidRPr="0007255D">
          <w:rPr>
            <w:rStyle w:val="Hyperlink"/>
            <w:rFonts w:ascii="Arial" w:hAnsi="Arial" w:cs="Arial"/>
            <w:sz w:val="22"/>
            <w:szCs w:val="22"/>
          </w:rPr>
          <w:t>Quantifying the annual incidence and underestimation of seasonal influenza: A modelling approach</w:t>
        </w:r>
      </w:hyperlink>
      <w:r w:rsidRPr="0007255D">
        <w:rPr>
          <w:rFonts w:ascii="Arial" w:hAnsi="Arial" w:cs="Arial"/>
          <w:sz w:val="22"/>
          <w:szCs w:val="22"/>
        </w:rPr>
        <w:t xml:space="preserve">. Theoretical Biology and Medical Modelling. </w:t>
      </w:r>
      <w:proofErr w:type="gramStart"/>
      <w:r w:rsidRPr="0007255D">
        <w:rPr>
          <w:rFonts w:ascii="Arial" w:hAnsi="Arial" w:cs="Arial"/>
          <w:sz w:val="22"/>
          <w:szCs w:val="22"/>
        </w:rPr>
        <w:t>2020;17:11</w:t>
      </w:r>
      <w:proofErr w:type="gramEnd"/>
      <w:r w:rsidRPr="0007255D">
        <w:rPr>
          <w:rFonts w:ascii="Arial" w:hAnsi="Arial" w:cs="Arial"/>
          <w:sz w:val="22"/>
          <w:szCs w:val="22"/>
        </w:rPr>
        <w:t>.</w:t>
      </w:r>
    </w:p>
    <w:p w14:paraId="6F1F2821"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25. </w:t>
      </w:r>
      <w:r w:rsidRPr="0007255D">
        <w:rPr>
          <w:rFonts w:ascii="Arial" w:hAnsi="Arial" w:cs="Arial"/>
          <w:sz w:val="22"/>
          <w:szCs w:val="22"/>
        </w:rPr>
        <w:tab/>
        <w:t xml:space="preserve">Hayward AC, </w:t>
      </w:r>
      <w:proofErr w:type="spellStart"/>
      <w:r w:rsidRPr="0007255D">
        <w:rPr>
          <w:rFonts w:ascii="Arial" w:hAnsi="Arial" w:cs="Arial"/>
          <w:sz w:val="22"/>
          <w:szCs w:val="22"/>
        </w:rPr>
        <w:t>Fragaszy</w:t>
      </w:r>
      <w:proofErr w:type="spellEnd"/>
      <w:r w:rsidRPr="0007255D">
        <w:rPr>
          <w:rFonts w:ascii="Arial" w:hAnsi="Arial" w:cs="Arial"/>
          <w:sz w:val="22"/>
          <w:szCs w:val="22"/>
        </w:rPr>
        <w:t xml:space="preserve"> EB, Bermingham A, et al. </w:t>
      </w:r>
      <w:hyperlink r:id="rId34">
        <w:r w:rsidRPr="0007255D">
          <w:rPr>
            <w:rStyle w:val="Hyperlink"/>
            <w:rFonts w:ascii="Arial" w:hAnsi="Arial" w:cs="Arial"/>
            <w:sz w:val="22"/>
            <w:szCs w:val="22"/>
          </w:rPr>
          <w:t>Comparative community burden and severity of seasonal and pandemic influenza: Results of the Flu Watch cohort study</w:t>
        </w:r>
      </w:hyperlink>
      <w:r w:rsidRPr="0007255D">
        <w:rPr>
          <w:rFonts w:ascii="Arial" w:hAnsi="Arial" w:cs="Arial"/>
          <w:sz w:val="22"/>
          <w:szCs w:val="22"/>
        </w:rPr>
        <w:t>. Lancet Respiratory Medicine. 2014;2(6):445–54.</w:t>
      </w:r>
    </w:p>
    <w:p w14:paraId="19536C2D"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26. </w:t>
      </w:r>
      <w:r w:rsidRPr="0007255D">
        <w:rPr>
          <w:rFonts w:ascii="Arial" w:hAnsi="Arial" w:cs="Arial"/>
          <w:sz w:val="22"/>
          <w:szCs w:val="22"/>
        </w:rPr>
        <w:tab/>
        <w:t xml:space="preserve">Carrat F, </w:t>
      </w:r>
      <w:proofErr w:type="spellStart"/>
      <w:r w:rsidRPr="0007255D">
        <w:rPr>
          <w:rFonts w:ascii="Arial" w:hAnsi="Arial" w:cs="Arial"/>
          <w:sz w:val="22"/>
          <w:szCs w:val="22"/>
        </w:rPr>
        <w:t>Vergu</w:t>
      </w:r>
      <w:proofErr w:type="spellEnd"/>
      <w:r w:rsidRPr="0007255D">
        <w:rPr>
          <w:rFonts w:ascii="Arial" w:hAnsi="Arial" w:cs="Arial"/>
          <w:sz w:val="22"/>
          <w:szCs w:val="22"/>
        </w:rPr>
        <w:t xml:space="preserve"> E, Ferguson NM, et al. </w:t>
      </w:r>
      <w:hyperlink r:id="rId35">
        <w:proofErr w:type="gramStart"/>
        <w:r w:rsidRPr="0007255D">
          <w:rPr>
            <w:rStyle w:val="Hyperlink"/>
            <w:rFonts w:ascii="Arial" w:hAnsi="Arial" w:cs="Arial"/>
            <w:sz w:val="22"/>
            <w:szCs w:val="22"/>
          </w:rPr>
          <w:t>Time lines</w:t>
        </w:r>
        <w:proofErr w:type="gramEnd"/>
        <w:r w:rsidRPr="0007255D">
          <w:rPr>
            <w:rStyle w:val="Hyperlink"/>
            <w:rFonts w:ascii="Arial" w:hAnsi="Arial" w:cs="Arial"/>
            <w:sz w:val="22"/>
            <w:szCs w:val="22"/>
          </w:rPr>
          <w:t xml:space="preserve"> of infection and disease in human influenza: A review of volunteer challenge studies</w:t>
        </w:r>
      </w:hyperlink>
      <w:r w:rsidRPr="0007255D">
        <w:rPr>
          <w:rFonts w:ascii="Arial" w:hAnsi="Arial" w:cs="Arial"/>
          <w:sz w:val="22"/>
          <w:szCs w:val="22"/>
        </w:rPr>
        <w:t>. American Journal of Epidemiology. 2008;167(7):775–85.</w:t>
      </w:r>
    </w:p>
    <w:p w14:paraId="3069C5A7"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27. </w:t>
      </w:r>
      <w:r w:rsidRPr="0007255D">
        <w:rPr>
          <w:rFonts w:ascii="Arial" w:hAnsi="Arial" w:cs="Arial"/>
          <w:sz w:val="22"/>
          <w:szCs w:val="22"/>
        </w:rPr>
        <w:tab/>
        <w:t xml:space="preserve">Leung NHL, Xu C, Ip DKM, Cowling BJ. </w:t>
      </w:r>
      <w:hyperlink r:id="rId36">
        <w:r w:rsidRPr="0007255D">
          <w:rPr>
            <w:rStyle w:val="Hyperlink"/>
            <w:rFonts w:ascii="Arial" w:hAnsi="Arial" w:cs="Arial"/>
            <w:sz w:val="22"/>
            <w:szCs w:val="22"/>
          </w:rPr>
          <w:t>Review article: The fraction of influenza virus infections that are asymptomatic: A systematic review and meta-analysis</w:t>
        </w:r>
      </w:hyperlink>
      <w:r w:rsidRPr="0007255D">
        <w:rPr>
          <w:rFonts w:ascii="Arial" w:hAnsi="Arial" w:cs="Arial"/>
          <w:sz w:val="22"/>
          <w:szCs w:val="22"/>
        </w:rPr>
        <w:t>. Epidemiology. 2015;26(6):862–72.</w:t>
      </w:r>
    </w:p>
    <w:p w14:paraId="64D06032"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28. </w:t>
      </w:r>
      <w:r w:rsidRPr="0007255D">
        <w:rPr>
          <w:rFonts w:ascii="Arial" w:hAnsi="Arial" w:cs="Arial"/>
          <w:sz w:val="22"/>
          <w:szCs w:val="22"/>
        </w:rPr>
        <w:tab/>
        <w:t xml:space="preserve">Kiplagat SJ, Rodriguez DM, Rivera A, Paz-Bailey G, Wong JM, Adams LE. </w:t>
      </w:r>
      <w:hyperlink r:id="rId37">
        <w:r w:rsidRPr="0007255D">
          <w:rPr>
            <w:rStyle w:val="Hyperlink"/>
            <w:rFonts w:ascii="Arial" w:hAnsi="Arial" w:cs="Arial"/>
            <w:sz w:val="22"/>
            <w:szCs w:val="22"/>
          </w:rPr>
          <w:t>Increase in travel-associated and locally acquired dengue cases — united states, 2024</w:t>
        </w:r>
      </w:hyperlink>
      <w:r w:rsidRPr="0007255D">
        <w:rPr>
          <w:rFonts w:ascii="Arial" w:hAnsi="Arial" w:cs="Arial"/>
          <w:sz w:val="22"/>
          <w:szCs w:val="22"/>
        </w:rPr>
        <w:t xml:space="preserve">. MMWR Morbidity and Mortality Weekly Report. </w:t>
      </w:r>
      <w:proofErr w:type="gramStart"/>
      <w:r w:rsidRPr="0007255D">
        <w:rPr>
          <w:rFonts w:ascii="Arial" w:hAnsi="Arial" w:cs="Arial"/>
          <w:sz w:val="22"/>
          <w:szCs w:val="22"/>
        </w:rPr>
        <w:t>2026;75:227</w:t>
      </w:r>
      <w:proofErr w:type="gramEnd"/>
      <w:r w:rsidRPr="0007255D">
        <w:rPr>
          <w:rFonts w:ascii="Arial" w:hAnsi="Arial" w:cs="Arial"/>
          <w:sz w:val="22"/>
          <w:szCs w:val="22"/>
        </w:rPr>
        <w:t>–33.</w:t>
      </w:r>
    </w:p>
    <w:p w14:paraId="290757C6" w14:textId="77777777" w:rsidR="00182D80" w:rsidRPr="0007255D" w:rsidRDefault="00182D80" w:rsidP="00182D80">
      <w:pPr>
        <w:rPr>
          <w:rFonts w:ascii="Arial" w:hAnsi="Arial" w:cs="Arial"/>
          <w:sz w:val="22"/>
          <w:szCs w:val="22"/>
        </w:rPr>
      </w:pPr>
      <w:r w:rsidRPr="0007255D">
        <w:rPr>
          <w:rFonts w:ascii="Arial" w:hAnsi="Arial" w:cs="Arial"/>
          <w:sz w:val="22"/>
          <w:szCs w:val="22"/>
        </w:rPr>
        <w:t xml:space="preserve">29. </w:t>
      </w:r>
      <w:r w:rsidRPr="0007255D">
        <w:rPr>
          <w:rFonts w:ascii="Arial" w:hAnsi="Arial" w:cs="Arial"/>
          <w:sz w:val="22"/>
          <w:szCs w:val="22"/>
        </w:rPr>
        <w:tab/>
        <w:t>Ross SM. Introduction to probability models. 10th ed. Burlington, MA: Academic Press; 2010.</w:t>
      </w:r>
    </w:p>
    <w:p w14:paraId="19BF1934" w14:textId="77777777" w:rsidR="00182D80" w:rsidRPr="0007255D" w:rsidRDefault="00182D80" w:rsidP="00182D80">
      <w:pPr>
        <w:spacing w:after="160" w:line="278" w:lineRule="auto"/>
        <w:rPr>
          <w:rFonts w:ascii="Arial" w:hAnsi="Arial" w:cs="Arial"/>
          <w:sz w:val="22"/>
          <w:szCs w:val="22"/>
        </w:rPr>
      </w:pPr>
      <w:r w:rsidRPr="0007255D">
        <w:rPr>
          <w:rFonts w:ascii="Arial" w:hAnsi="Arial" w:cs="Arial"/>
          <w:sz w:val="22"/>
          <w:szCs w:val="22"/>
        </w:rPr>
        <w:br w:type="page"/>
      </w:r>
    </w:p>
    <w:p w14:paraId="5336A44D" w14:textId="77777777" w:rsidR="00182D80" w:rsidRPr="0007255D" w:rsidRDefault="00182D80" w:rsidP="00182D80">
      <w:pPr>
        <w:pStyle w:val="BodyText"/>
        <w:rPr>
          <w:rFonts w:ascii="Arial" w:hAnsi="Arial" w:cs="Arial"/>
          <w:b/>
          <w:bCs/>
          <w:sz w:val="22"/>
          <w:szCs w:val="22"/>
        </w:rPr>
      </w:pPr>
      <w:r w:rsidRPr="0007255D">
        <w:rPr>
          <w:rFonts w:ascii="Arial" w:hAnsi="Arial" w:cs="Arial"/>
          <w:b/>
          <w:bCs/>
          <w:sz w:val="22"/>
          <w:szCs w:val="22"/>
        </w:rPr>
        <w:lastRenderedPageBreak/>
        <w:t>Supplementary Material</w:t>
      </w:r>
      <w:bookmarkStart w:id="1" w:name="Xfe65931d81df5b83781c68b721100c277b3e331"/>
    </w:p>
    <w:p w14:paraId="7249F197" w14:textId="77777777" w:rsidR="00182D80" w:rsidRPr="0007255D" w:rsidRDefault="00182D80" w:rsidP="00182D80">
      <w:pPr>
        <w:pStyle w:val="BodyText"/>
        <w:rPr>
          <w:rFonts w:ascii="Arial" w:hAnsi="Arial" w:cs="Arial"/>
          <w:b/>
          <w:bCs/>
          <w:sz w:val="22"/>
          <w:szCs w:val="22"/>
        </w:rPr>
      </w:pPr>
      <w:r w:rsidRPr="0007255D">
        <w:rPr>
          <w:rFonts w:ascii="Arial" w:hAnsi="Arial" w:cs="Arial"/>
          <w:b/>
          <w:bCs/>
          <w:sz w:val="22"/>
          <w:szCs w:val="22"/>
        </w:rPr>
        <w:t xml:space="preserve">Appendix A. Mathematical specification of travel flow estimates </w:t>
      </w:r>
      <m:oMath>
        <m:sSub>
          <m:sSubPr>
            <m:ctrlPr>
              <w:rPr>
                <w:rFonts w:ascii="Cambria Math" w:hAnsi="Cambria Math" w:cs="Arial"/>
                <w:b/>
                <w:bCs/>
                <w:sz w:val="22"/>
                <w:szCs w:val="22"/>
              </w:rPr>
            </m:ctrlPr>
          </m:sSubPr>
          <m:e>
            <m:r>
              <m:rPr>
                <m:sty m:val="bi"/>
              </m:rPr>
              <w:rPr>
                <w:rFonts w:ascii="Cambria Math" w:hAnsi="Cambria Math" w:cs="Arial"/>
                <w:sz w:val="22"/>
                <w:szCs w:val="22"/>
              </w:rPr>
              <m:t>N</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Sub>
      </m:oMath>
      <w:bookmarkStart w:id="2" w:name="a.1-notation"/>
    </w:p>
    <w:p w14:paraId="19C622F9" w14:textId="77777777" w:rsidR="00182D80" w:rsidRPr="0007255D" w:rsidRDefault="00182D80" w:rsidP="00182D80">
      <w:pPr>
        <w:pStyle w:val="BodyText"/>
        <w:rPr>
          <w:rFonts w:ascii="Arial" w:hAnsi="Arial" w:cs="Arial"/>
          <w:b/>
          <w:bCs/>
          <w:sz w:val="22"/>
          <w:szCs w:val="22"/>
        </w:rPr>
      </w:pPr>
      <w:r w:rsidRPr="0007255D">
        <w:rPr>
          <w:rFonts w:ascii="Arial" w:hAnsi="Arial" w:cs="Arial"/>
          <w:b/>
          <w:bCs/>
          <w:sz w:val="22"/>
          <w:szCs w:val="22"/>
        </w:rPr>
        <w:t>A.1 Notation</w:t>
      </w:r>
    </w:p>
    <w:tbl>
      <w:tblPr>
        <w:tblStyle w:val="Table"/>
        <w:tblW w:w="0" w:type="auto"/>
        <w:tblLook w:val="0020" w:firstRow="1" w:lastRow="0" w:firstColumn="0" w:lastColumn="0" w:noHBand="0" w:noVBand="0"/>
      </w:tblPr>
      <w:tblGrid>
        <w:gridCol w:w="1011"/>
        <w:gridCol w:w="8349"/>
      </w:tblGrid>
      <w:tr w:rsidR="00182D80" w:rsidRPr="0007255D" w14:paraId="5B8CE5C6" w14:textId="77777777" w:rsidTr="005E3B61">
        <w:trPr>
          <w:cnfStyle w:val="100000000000" w:firstRow="1" w:lastRow="0" w:firstColumn="0" w:lastColumn="0" w:oddVBand="0" w:evenVBand="0" w:oddHBand="0" w:evenHBand="0" w:firstRowFirstColumn="0" w:firstRowLastColumn="0" w:lastRowFirstColumn="0" w:lastRowLastColumn="0"/>
          <w:tblHeader/>
        </w:trPr>
        <w:tc>
          <w:tcPr>
            <w:tcW w:w="0" w:type="auto"/>
          </w:tcPr>
          <w:p w14:paraId="61385A56" w14:textId="77777777" w:rsidR="00182D80" w:rsidRPr="0007255D" w:rsidRDefault="00182D80" w:rsidP="005E3B61">
            <w:pPr>
              <w:pStyle w:val="Compact"/>
              <w:rPr>
                <w:rFonts w:ascii="Arial" w:hAnsi="Arial" w:cs="Arial"/>
                <w:sz w:val="22"/>
                <w:szCs w:val="22"/>
              </w:rPr>
            </w:pPr>
            <w:r w:rsidRPr="0007255D">
              <w:rPr>
                <w:rFonts w:ascii="Arial" w:hAnsi="Arial" w:cs="Arial"/>
                <w:b/>
                <w:bCs/>
                <w:sz w:val="22"/>
                <w:szCs w:val="22"/>
              </w:rPr>
              <w:t>Symbol</w:t>
            </w:r>
          </w:p>
        </w:tc>
        <w:tc>
          <w:tcPr>
            <w:tcW w:w="0" w:type="auto"/>
          </w:tcPr>
          <w:p w14:paraId="49EE71B4" w14:textId="77777777" w:rsidR="00182D80" w:rsidRPr="0007255D" w:rsidRDefault="00182D80" w:rsidP="005E3B61">
            <w:pPr>
              <w:pStyle w:val="Compact"/>
              <w:rPr>
                <w:rFonts w:ascii="Arial" w:hAnsi="Arial" w:cs="Arial"/>
                <w:sz w:val="22"/>
                <w:szCs w:val="22"/>
              </w:rPr>
            </w:pPr>
            <w:r w:rsidRPr="0007255D">
              <w:rPr>
                <w:rFonts w:ascii="Arial" w:hAnsi="Arial" w:cs="Arial"/>
                <w:b/>
                <w:bCs/>
                <w:sz w:val="22"/>
                <w:szCs w:val="22"/>
              </w:rPr>
              <w:t>Definition</w:t>
            </w:r>
          </w:p>
        </w:tc>
      </w:tr>
      <w:tr w:rsidR="00182D80" w:rsidRPr="0007255D" w14:paraId="37CBE3C2" w14:textId="77777777" w:rsidTr="005E3B61">
        <w:tc>
          <w:tcPr>
            <w:tcW w:w="0" w:type="auto"/>
          </w:tcPr>
          <w:p w14:paraId="4757BF89" w14:textId="77777777" w:rsidR="00182D80" w:rsidRPr="0007255D" w:rsidRDefault="00182D80" w:rsidP="005E3B61">
            <w:pPr>
              <w:pStyle w:val="Compact"/>
              <w:rPr>
                <w:rFonts w:ascii="Arial" w:hAnsi="Arial" w:cs="Arial"/>
                <w:sz w:val="22"/>
                <w:szCs w:val="22"/>
              </w:rPr>
            </w:pPr>
            <m:oMathPara>
              <m:oMath>
                <m:r>
                  <w:rPr>
                    <w:rFonts w:ascii="Cambria Math" w:hAnsi="Cambria Math" w:cs="Arial"/>
                    <w:sz w:val="22"/>
                    <w:szCs w:val="22"/>
                  </w:rPr>
                  <m:t>c</m:t>
                </m:r>
              </m:oMath>
            </m:oMathPara>
          </w:p>
        </w:tc>
        <w:tc>
          <w:tcPr>
            <w:tcW w:w="0" w:type="auto"/>
          </w:tcPr>
          <w:p w14:paraId="0C5BC61C"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Source country (</w:t>
            </w:r>
            <m:oMath>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C</m:t>
              </m:r>
            </m:oMath>
            <w:r w:rsidRPr="0007255D">
              <w:rPr>
                <w:rFonts w:ascii="Arial" w:hAnsi="Arial" w:cs="Arial"/>
                <w:sz w:val="22"/>
                <w:szCs w:val="22"/>
              </w:rPr>
              <w:t>)</w:t>
            </w:r>
          </w:p>
        </w:tc>
      </w:tr>
      <w:tr w:rsidR="00182D80" w:rsidRPr="0007255D" w14:paraId="296B6970" w14:textId="77777777" w:rsidTr="005E3B61">
        <w:tc>
          <w:tcPr>
            <w:tcW w:w="0" w:type="auto"/>
          </w:tcPr>
          <w:p w14:paraId="23ED5D2C" w14:textId="77777777" w:rsidR="00182D80" w:rsidRPr="0007255D" w:rsidRDefault="00182D80" w:rsidP="005E3B61">
            <w:pPr>
              <w:pStyle w:val="Compact"/>
              <w:rPr>
                <w:rFonts w:ascii="Arial" w:hAnsi="Arial" w:cs="Arial"/>
                <w:sz w:val="22"/>
                <w:szCs w:val="22"/>
              </w:rPr>
            </w:pPr>
            <m:oMathPara>
              <m:oMath>
                <m:r>
                  <w:rPr>
                    <w:rFonts w:ascii="Cambria Math" w:hAnsi="Cambria Math" w:cs="Arial"/>
                    <w:sz w:val="22"/>
                    <w:szCs w:val="22"/>
                  </w:rPr>
                  <m:t>v</m:t>
                </m:r>
              </m:oMath>
            </m:oMathPara>
          </w:p>
        </w:tc>
        <w:tc>
          <w:tcPr>
            <w:tcW w:w="0" w:type="auto"/>
          </w:tcPr>
          <w:p w14:paraId="641C36B3"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US venue city (</w:t>
            </w:r>
            <m:oMath>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11</m:t>
              </m:r>
            </m:oMath>
            <w:r w:rsidRPr="0007255D">
              <w:rPr>
                <w:rFonts w:ascii="Arial" w:hAnsi="Arial" w:cs="Arial"/>
                <w:sz w:val="22"/>
                <w:szCs w:val="22"/>
              </w:rPr>
              <w:t>)</w:t>
            </w:r>
          </w:p>
        </w:tc>
      </w:tr>
      <w:tr w:rsidR="00182D80" w:rsidRPr="0007255D" w14:paraId="565CF4AA" w14:textId="77777777" w:rsidTr="005E3B61">
        <w:tc>
          <w:tcPr>
            <w:tcW w:w="0" w:type="auto"/>
          </w:tcPr>
          <w:p w14:paraId="18B8C38F" w14:textId="77777777" w:rsidR="00182D80" w:rsidRPr="0007255D" w:rsidRDefault="00000000" w:rsidP="005E3B61">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oMath>
            </m:oMathPara>
          </w:p>
        </w:tc>
        <w:tc>
          <w:tcPr>
            <w:tcW w:w="0" w:type="auto"/>
          </w:tcPr>
          <w:p w14:paraId="0332FE93"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 xml:space="preserve">June 2024 COR arrivals from country </w:t>
            </w:r>
            <m:oMath>
              <m:r>
                <w:rPr>
                  <w:rFonts w:ascii="Cambria Math" w:hAnsi="Cambria Math" w:cs="Arial"/>
                  <w:sz w:val="22"/>
                  <w:szCs w:val="22"/>
                </w:rPr>
                <m:t>c</m:t>
              </m:r>
            </m:oMath>
            <w:r w:rsidRPr="0007255D">
              <w:rPr>
                <w:rFonts w:ascii="Arial" w:hAnsi="Arial" w:cs="Arial"/>
                <w:sz w:val="22"/>
                <w:szCs w:val="22"/>
              </w:rPr>
              <w:t xml:space="preserve"> to the US (I-94 programme, CBP)</w:t>
            </w:r>
          </w:p>
        </w:tc>
      </w:tr>
      <w:tr w:rsidR="00182D80" w:rsidRPr="0007255D" w14:paraId="5DFC6F3D" w14:textId="77777777" w:rsidTr="005E3B61">
        <w:tc>
          <w:tcPr>
            <w:tcW w:w="0" w:type="auto"/>
          </w:tcPr>
          <w:p w14:paraId="4722FE7E" w14:textId="77777777" w:rsidR="00182D80" w:rsidRPr="0007255D" w:rsidRDefault="00000000" w:rsidP="005E3B61">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T</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m:oMathPara>
          </w:p>
        </w:tc>
        <w:tc>
          <w:tcPr>
            <w:tcW w:w="0" w:type="auto"/>
          </w:tcPr>
          <w:p w14:paraId="248A055C"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 xml:space="preserve">Mean June passengers from country </w:t>
            </w:r>
            <m:oMath>
              <m:r>
                <w:rPr>
                  <w:rFonts w:ascii="Cambria Math" w:hAnsi="Cambria Math" w:cs="Arial"/>
                  <w:sz w:val="22"/>
                  <w:szCs w:val="22"/>
                </w:rPr>
                <m:t>c</m:t>
              </m:r>
            </m:oMath>
            <w:r w:rsidRPr="0007255D">
              <w:rPr>
                <w:rFonts w:ascii="Arial" w:hAnsi="Arial" w:cs="Arial"/>
                <w:sz w:val="22"/>
                <w:szCs w:val="22"/>
              </w:rPr>
              <w:t xml:space="preserve"> to US city </w:t>
            </w:r>
            <m:oMath>
              <m:r>
                <w:rPr>
                  <w:rFonts w:ascii="Cambria Math" w:hAnsi="Cambria Math" w:cs="Arial"/>
                  <w:sz w:val="22"/>
                  <w:szCs w:val="22"/>
                </w:rPr>
                <m:t>v</m:t>
              </m:r>
            </m:oMath>
            <w:r w:rsidRPr="0007255D">
              <w:rPr>
                <w:rFonts w:ascii="Arial" w:hAnsi="Arial" w:cs="Arial"/>
                <w:sz w:val="22"/>
                <w:szCs w:val="22"/>
              </w:rPr>
              <w:t>, averaged over June 2023–2025 (BTS T-100 Form 41 data)</w:t>
            </w:r>
          </w:p>
        </w:tc>
      </w:tr>
      <w:tr w:rsidR="00182D80" w:rsidRPr="0007255D" w14:paraId="012FDB54" w14:textId="77777777" w:rsidTr="005E3B61">
        <w:tc>
          <w:tcPr>
            <w:tcW w:w="0" w:type="auto"/>
          </w:tcPr>
          <w:p w14:paraId="384468AD" w14:textId="77777777" w:rsidR="00182D80" w:rsidRPr="0007255D" w:rsidRDefault="00000000" w:rsidP="005E3B61">
            <w:pPr>
              <w:pStyle w:val="Compact"/>
              <w:rPr>
                <w:rFonts w:ascii="Arial" w:hAnsi="Arial" w:cs="Arial"/>
                <w:sz w:val="22"/>
                <w:szCs w:val="22"/>
              </w:rPr>
            </w:pPr>
            <m:oMathPara>
              <m:oMath>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oMath>
            </m:oMathPara>
          </w:p>
        </w:tc>
        <w:tc>
          <w:tcPr>
            <w:tcW w:w="0" w:type="auto"/>
          </w:tcPr>
          <w:p w14:paraId="337095CE"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 xml:space="preserve">T-100 routing fraction: share of country </w:t>
            </w:r>
            <m:oMath>
              <m:r>
                <w:rPr>
                  <w:rFonts w:ascii="Cambria Math" w:hAnsi="Cambria Math" w:cs="Arial"/>
                  <w:sz w:val="22"/>
                  <w:szCs w:val="22"/>
                </w:rPr>
                <m:t>c</m:t>
              </m:r>
            </m:oMath>
            <w:r w:rsidRPr="0007255D">
              <w:rPr>
                <w:rFonts w:ascii="Arial" w:hAnsi="Arial" w:cs="Arial"/>
                <w:sz w:val="22"/>
                <w:szCs w:val="22"/>
              </w:rPr>
              <w:t xml:space="preserve">’s US-bound passengers landing at city </w:t>
            </w:r>
            <m:oMath>
              <m:r>
                <w:rPr>
                  <w:rFonts w:ascii="Cambria Math" w:hAnsi="Cambria Math" w:cs="Arial"/>
                  <w:sz w:val="22"/>
                  <w:szCs w:val="22"/>
                </w:rPr>
                <m:t>v</m:t>
              </m:r>
            </m:oMath>
            <w:r w:rsidRPr="0007255D">
              <w:rPr>
                <w:rFonts w:ascii="Arial" w:hAnsi="Arial" w:cs="Arial"/>
                <w:sz w:val="22"/>
                <w:szCs w:val="22"/>
              </w:rPr>
              <w:t xml:space="preserve"> (see A.2). By construction </w:t>
            </w:r>
            <m:oMath>
              <m:nary>
                <m:naryPr>
                  <m:chr m:val="∑"/>
                  <m:limLoc m:val="undOvr"/>
                  <m:supHide m:val="1"/>
                  <m:ctrlPr>
                    <w:rPr>
                      <w:rFonts w:ascii="Cambria Math" w:hAnsi="Cambria Math" w:cs="Arial"/>
                      <w:sz w:val="22"/>
                      <w:szCs w:val="22"/>
                    </w:rPr>
                  </m:ctrlPr>
                </m:naryPr>
                <m:sub>
                  <m:r>
                    <w:rPr>
                      <w:rFonts w:ascii="Cambria Math" w:hAnsi="Cambria Math" w:cs="Arial"/>
                      <w:sz w:val="22"/>
                      <w:szCs w:val="22"/>
                    </w:rPr>
                    <m:t>v</m:t>
                  </m:r>
                </m:sub>
                <m:sup/>
                <m:e>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e>
              </m:nary>
              <m:r>
                <m:rPr>
                  <m:sty m:val="p"/>
                </m:rPr>
                <w:rPr>
                  <w:rFonts w:ascii="Cambria Math" w:hAnsi="Cambria Math" w:cs="Arial"/>
                  <w:sz w:val="22"/>
                  <w:szCs w:val="22"/>
                </w:rPr>
                <m:t>=</m:t>
              </m:r>
              <m:r>
                <w:rPr>
                  <w:rFonts w:ascii="Cambria Math" w:hAnsi="Cambria Math" w:cs="Arial"/>
                  <w:sz w:val="22"/>
                  <w:szCs w:val="22"/>
                </w:rPr>
                <m:t>1</m:t>
              </m:r>
            </m:oMath>
            <w:r w:rsidRPr="0007255D">
              <w:rPr>
                <w:rFonts w:ascii="Arial" w:hAnsi="Arial" w:cs="Arial"/>
                <w:sz w:val="22"/>
                <w:szCs w:val="22"/>
              </w:rPr>
              <w:t>.</w:t>
            </w:r>
          </w:p>
        </w:tc>
      </w:tr>
      <w:tr w:rsidR="00182D80" w:rsidRPr="0007255D" w14:paraId="0C5193F2" w14:textId="77777777" w:rsidTr="005E3B61">
        <w:tc>
          <w:tcPr>
            <w:tcW w:w="0" w:type="auto"/>
          </w:tcPr>
          <w:p w14:paraId="23FDD0AD" w14:textId="77777777" w:rsidR="00182D80" w:rsidRPr="0007255D" w:rsidRDefault="00000000" w:rsidP="005E3B61">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oMath>
            </m:oMathPara>
          </w:p>
        </w:tc>
        <w:tc>
          <w:tcPr>
            <w:tcW w:w="0" w:type="auto"/>
          </w:tcPr>
          <w:p w14:paraId="5B3B484D"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Country-specific 2026 growth factor (see A.3)</w:t>
            </w:r>
          </w:p>
        </w:tc>
      </w:tr>
      <w:tr w:rsidR="00182D80" w:rsidRPr="0007255D" w14:paraId="226AA99C" w14:textId="77777777" w:rsidTr="005E3B61">
        <w:tc>
          <w:tcPr>
            <w:tcW w:w="0" w:type="auto"/>
          </w:tcPr>
          <w:p w14:paraId="30A55E3E" w14:textId="77777777" w:rsidR="00182D80" w:rsidRPr="0007255D" w:rsidRDefault="00000000" w:rsidP="005E3B61">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oMath>
            </m:oMathPara>
          </w:p>
        </w:tc>
        <w:tc>
          <w:tcPr>
            <w:tcW w:w="0" w:type="auto"/>
          </w:tcPr>
          <w:p w14:paraId="531D3442"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 xml:space="preserve">Background (non-WC) trend component of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oMath>
            <w:r w:rsidRPr="0007255D">
              <w:rPr>
                <w:rFonts w:ascii="Arial" w:hAnsi="Arial" w:cs="Arial"/>
                <w:sz w:val="22"/>
                <w:szCs w:val="22"/>
              </w:rPr>
              <w:t>, representing non-WC travel growth from 2024 to 2026</w:t>
            </w:r>
          </w:p>
        </w:tc>
      </w:tr>
      <w:tr w:rsidR="00182D80" w:rsidRPr="0007255D" w14:paraId="52F141D8" w14:textId="77777777" w:rsidTr="005E3B61">
        <w:tc>
          <w:tcPr>
            <w:tcW w:w="0" w:type="auto"/>
          </w:tcPr>
          <w:p w14:paraId="70F99325" w14:textId="77777777" w:rsidR="00182D80" w:rsidRPr="0007255D" w:rsidRDefault="00000000" w:rsidP="005E3B61">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m:oMathPara>
          </w:p>
        </w:tc>
        <w:tc>
          <w:tcPr>
            <w:tcW w:w="0" w:type="auto"/>
          </w:tcPr>
          <w:p w14:paraId="318EEB9A"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 xml:space="preserve">Number of group-stage matches that country </w:t>
            </w:r>
            <m:oMath>
              <m:r>
                <w:rPr>
                  <w:rFonts w:ascii="Cambria Math" w:hAnsi="Cambria Math" w:cs="Arial"/>
                  <w:sz w:val="22"/>
                  <w:szCs w:val="22"/>
                </w:rPr>
                <m:t>c</m:t>
              </m:r>
            </m:oMath>
            <w:r w:rsidRPr="0007255D">
              <w:rPr>
                <w:rFonts w:ascii="Arial" w:hAnsi="Arial" w:cs="Arial"/>
                <w:sz w:val="22"/>
                <w:szCs w:val="22"/>
              </w:rPr>
              <w:t xml:space="preserve"> plays at US venue </w:t>
            </w:r>
            <m:oMath>
              <m:r>
                <w:rPr>
                  <w:rFonts w:ascii="Cambria Math" w:hAnsi="Cambria Math" w:cs="Arial"/>
                  <w:sz w:val="22"/>
                  <w:szCs w:val="22"/>
                </w:rPr>
                <m:t>v</m:t>
              </m:r>
            </m:oMath>
          </w:p>
        </w:tc>
      </w:tr>
      <w:tr w:rsidR="00182D80" w:rsidRPr="0007255D" w14:paraId="4D0605EC" w14:textId="77777777" w:rsidTr="005E3B61">
        <w:tc>
          <w:tcPr>
            <w:tcW w:w="0" w:type="auto"/>
          </w:tcPr>
          <w:p w14:paraId="0C77DF94" w14:textId="77777777" w:rsidR="00182D80" w:rsidRPr="0007255D" w:rsidRDefault="00000000" w:rsidP="005E3B61">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sub>
                </m:sSub>
              </m:oMath>
            </m:oMathPara>
          </w:p>
        </w:tc>
        <w:tc>
          <w:tcPr>
            <w:tcW w:w="0" w:type="auto"/>
          </w:tcPr>
          <w:p w14:paraId="6DC8D7A7"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 xml:space="preserve">Total group-stage matches for country </w:t>
            </w:r>
            <m:oMath>
              <m:r>
                <w:rPr>
                  <w:rFonts w:ascii="Cambria Math" w:hAnsi="Cambria Math" w:cs="Arial"/>
                  <w:sz w:val="22"/>
                  <w:szCs w:val="22"/>
                </w:rPr>
                <m:t>c</m:t>
              </m:r>
            </m:oMath>
            <w:r w:rsidRPr="0007255D">
              <w:rPr>
                <w:rFonts w:ascii="Arial" w:hAnsi="Arial" w:cs="Arial"/>
                <w:sz w:val="22"/>
                <w:szCs w:val="22"/>
              </w:rPr>
              <w:t xml:space="preserve"> across all WC venues (</w:t>
            </w:r>
            <m:oMath>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sub>
              </m:sSub>
              <m:r>
                <m:rPr>
                  <m:sty m:val="p"/>
                </m:rPr>
                <w:rPr>
                  <w:rFonts w:ascii="Cambria Math" w:hAnsi="Cambria Math" w:cs="Arial"/>
                  <w:sz w:val="22"/>
                  <w:szCs w:val="22"/>
                </w:rPr>
                <m:t>=</m:t>
              </m:r>
              <m:r>
                <w:rPr>
                  <w:rFonts w:ascii="Cambria Math" w:hAnsi="Cambria Math" w:cs="Arial"/>
                  <w:sz w:val="22"/>
                  <w:szCs w:val="22"/>
                </w:rPr>
                <m:t>3</m:t>
              </m:r>
            </m:oMath>
            <w:r w:rsidRPr="0007255D">
              <w:rPr>
                <w:rFonts w:ascii="Arial" w:hAnsi="Arial" w:cs="Arial"/>
                <w:sz w:val="22"/>
                <w:szCs w:val="22"/>
              </w:rPr>
              <w:t xml:space="preserve"> for all qualified teams)</w:t>
            </w:r>
          </w:p>
        </w:tc>
      </w:tr>
      <w:tr w:rsidR="00182D80" w:rsidRPr="0007255D" w14:paraId="325E4153" w14:textId="77777777" w:rsidTr="005E3B61">
        <w:tc>
          <w:tcPr>
            <w:tcW w:w="0" w:type="auto"/>
          </w:tcPr>
          <w:p w14:paraId="7B1E09EB" w14:textId="77777777" w:rsidR="00182D80" w:rsidRPr="0007255D" w:rsidRDefault="00000000" w:rsidP="005E3B61">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m:oMathPara>
          </w:p>
        </w:tc>
        <w:tc>
          <w:tcPr>
            <w:tcW w:w="0" w:type="auto"/>
          </w:tcPr>
          <w:p w14:paraId="4A6F7EBF"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 xml:space="preserve">Schedule-driven routing fraction for WC fans from country </w:t>
            </w:r>
            <m:oMath>
              <m:r>
                <w:rPr>
                  <w:rFonts w:ascii="Cambria Math" w:hAnsi="Cambria Math" w:cs="Arial"/>
                  <w:sz w:val="22"/>
                  <w:szCs w:val="22"/>
                </w:rPr>
                <m:t>c</m:t>
              </m:r>
            </m:oMath>
            <w:r w:rsidRPr="0007255D">
              <w:rPr>
                <w:rFonts w:ascii="Arial" w:hAnsi="Arial" w:cs="Arial"/>
                <w:sz w:val="22"/>
                <w:szCs w:val="22"/>
              </w:rPr>
              <w:t xml:space="preserve"> to US venue </w:t>
            </w:r>
            <m:oMath>
              <m:r>
                <w:rPr>
                  <w:rFonts w:ascii="Cambria Math" w:hAnsi="Cambria Math" w:cs="Arial"/>
                  <w:sz w:val="22"/>
                  <w:szCs w:val="22"/>
                </w:rPr>
                <m:t>v</m:t>
              </m:r>
            </m:oMath>
            <w:r w:rsidRPr="0007255D">
              <w:rPr>
                <w:rFonts w:ascii="Arial" w:hAnsi="Arial" w:cs="Arial"/>
                <w:sz w:val="22"/>
                <w:szCs w:val="22"/>
              </w:rPr>
              <w:t xml:space="preserve"> (see A.4)</w:t>
            </w:r>
          </w:p>
        </w:tc>
      </w:tr>
      <w:tr w:rsidR="00182D80" w:rsidRPr="0007255D" w14:paraId="24908D6A" w14:textId="77777777" w:rsidTr="005E3B61">
        <w:tc>
          <w:tcPr>
            <w:tcW w:w="0" w:type="auto"/>
          </w:tcPr>
          <w:p w14:paraId="64FCE21E" w14:textId="77777777" w:rsidR="00182D80" w:rsidRPr="0007255D" w:rsidRDefault="00000000" w:rsidP="005E3B61">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m:oMathPara>
          </w:p>
        </w:tc>
        <w:tc>
          <w:tcPr>
            <w:tcW w:w="0" w:type="auto"/>
          </w:tcPr>
          <w:p w14:paraId="547B985A"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 xml:space="preserve">Projected June 2026 arrivals from country </w:t>
            </w:r>
            <m:oMath>
              <m:r>
                <w:rPr>
                  <w:rFonts w:ascii="Cambria Math" w:hAnsi="Cambria Math" w:cs="Arial"/>
                  <w:sz w:val="22"/>
                  <w:szCs w:val="22"/>
                </w:rPr>
                <m:t>c</m:t>
              </m:r>
            </m:oMath>
            <w:r w:rsidRPr="0007255D">
              <w:rPr>
                <w:rFonts w:ascii="Arial" w:hAnsi="Arial" w:cs="Arial"/>
                <w:sz w:val="22"/>
                <w:szCs w:val="22"/>
              </w:rPr>
              <w:t xml:space="preserve"> to venue city </w:t>
            </w:r>
            <m:oMath>
              <m:r>
                <w:rPr>
                  <w:rFonts w:ascii="Cambria Math" w:hAnsi="Cambria Math" w:cs="Arial"/>
                  <w:sz w:val="22"/>
                  <w:szCs w:val="22"/>
                </w:rPr>
                <m:t>v</m:t>
              </m:r>
            </m:oMath>
            <w:r w:rsidRPr="0007255D">
              <w:rPr>
                <w:rFonts w:ascii="Arial" w:hAnsi="Arial" w:cs="Arial"/>
                <w:sz w:val="22"/>
                <w:szCs w:val="22"/>
              </w:rPr>
              <w:t xml:space="preserve"> (model-tier specific)</w:t>
            </w:r>
          </w:p>
        </w:tc>
      </w:tr>
    </w:tbl>
    <w:p w14:paraId="588DD161" w14:textId="77777777" w:rsidR="00182D80" w:rsidRPr="0007255D" w:rsidRDefault="00182D80" w:rsidP="00182D80">
      <w:pPr>
        <w:pStyle w:val="FirstParagraph"/>
        <w:rPr>
          <w:rFonts w:ascii="Arial" w:hAnsi="Arial" w:cs="Arial"/>
          <w:b/>
          <w:bCs/>
          <w:sz w:val="22"/>
          <w:szCs w:val="22"/>
        </w:rPr>
      </w:pPr>
      <w:bookmarkStart w:id="3" w:name="a.2-t-100-routing-fraction-f_cvt"/>
      <w:bookmarkEnd w:id="2"/>
      <w:r w:rsidRPr="0007255D">
        <w:rPr>
          <w:rFonts w:ascii="Arial" w:hAnsi="Arial" w:cs="Arial"/>
          <w:b/>
          <w:bCs/>
          <w:sz w:val="22"/>
          <w:szCs w:val="22"/>
        </w:rPr>
        <w:t xml:space="preserve">A.2 T-100 routing fraction </w:t>
      </w:r>
      <m:oMath>
        <m:sSubSup>
          <m:sSubSupPr>
            <m:ctrlPr>
              <w:rPr>
                <w:rFonts w:ascii="Cambria Math" w:hAnsi="Cambria Math" w:cs="Arial"/>
                <w:b/>
                <w:bCs/>
                <w:sz w:val="22"/>
                <w:szCs w:val="22"/>
              </w:rPr>
            </m:ctrlPr>
          </m:sSubSupPr>
          <m:e>
            <m:r>
              <m:rPr>
                <m:sty m:val="bi"/>
              </m:rPr>
              <w:rPr>
                <w:rFonts w:ascii="Cambria Math" w:hAnsi="Cambria Math" w:cs="Arial"/>
                <w:sz w:val="22"/>
                <w:szCs w:val="22"/>
              </w:rPr>
              <m:t>f</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up>
            <m:r>
              <m:rPr>
                <m:sty m:val="bi"/>
              </m:rPr>
              <w:rPr>
                <w:rFonts w:ascii="Cambria Math" w:hAnsi="Cambria Math" w:cs="Arial"/>
                <w:sz w:val="22"/>
                <w:szCs w:val="22"/>
              </w:rPr>
              <m:t>T</m:t>
            </m:r>
          </m:sup>
        </m:sSubSup>
      </m:oMath>
    </w:p>
    <w:p w14:paraId="53A66714"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The T-100 routing fraction gives the proportion of country </w:t>
      </w:r>
      <m:oMath>
        <m:r>
          <w:rPr>
            <w:rFonts w:ascii="Cambria Math" w:hAnsi="Cambria Math" w:cs="Arial"/>
            <w:sz w:val="22"/>
            <w:szCs w:val="22"/>
          </w:rPr>
          <m:t>c</m:t>
        </m:r>
      </m:oMath>
      <w:r w:rsidRPr="0007255D">
        <w:rPr>
          <w:rFonts w:ascii="Arial" w:hAnsi="Arial" w:cs="Arial"/>
          <w:sz w:val="22"/>
          <w:szCs w:val="22"/>
        </w:rPr>
        <w:t xml:space="preserve">’s US-bound passengers that land at each venue city </w:t>
      </w:r>
      <m:oMath>
        <m:r>
          <w:rPr>
            <w:rFonts w:ascii="Cambria Math" w:hAnsi="Cambria Math" w:cs="Arial"/>
            <w:sz w:val="22"/>
            <w:szCs w:val="22"/>
          </w:rPr>
          <m:t>v</m:t>
        </m:r>
      </m:oMath>
      <w:r w:rsidRPr="0007255D">
        <w:rPr>
          <w:rFonts w:ascii="Arial" w:hAnsi="Arial" w:cs="Arial"/>
          <w:sz w:val="22"/>
          <w:szCs w:val="22"/>
        </w:rPr>
        <w:t>:</w:t>
      </w:r>
    </w:p>
    <w:p w14:paraId="31CD593C" w14:textId="77777777" w:rsidR="00182D80" w:rsidRPr="0007255D" w:rsidRDefault="00000000" w:rsidP="00182D80">
      <w:pPr>
        <w:pStyle w:val="BodyText"/>
        <w:rPr>
          <w:rFonts w:ascii="Arial" w:hAnsi="Arial" w:cs="Arial"/>
          <w:sz w:val="22"/>
          <w:szCs w:val="22"/>
        </w:rPr>
      </w:pPr>
      <m:oMathPara>
        <m:oMathParaPr>
          <m:jc m:val="center"/>
        </m:oMathParaPr>
        <m:oMath>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T</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num>
            <m:den>
              <m:nary>
                <m:naryPr>
                  <m:chr m:val="∑"/>
                  <m:limLoc m:val="undOvr"/>
                  <m:ctrlPr>
                    <w:rPr>
                      <w:rFonts w:ascii="Cambria Math" w:hAnsi="Cambria Math" w:cs="Arial"/>
                      <w:sz w:val="22"/>
                      <w:szCs w:val="22"/>
                    </w:rPr>
                  </m:ctrlPr>
                </m:naryPr>
                <m:sub>
                  <m:sSup>
                    <m:sSupPr>
                      <m:ctrlPr>
                        <w:rPr>
                          <w:rFonts w:ascii="Cambria Math" w:hAnsi="Cambria Math" w:cs="Arial"/>
                          <w:sz w:val="22"/>
                          <w:szCs w:val="22"/>
                        </w:rPr>
                      </m:ctrlPr>
                    </m:sSupPr>
                    <m:e>
                      <m:r>
                        <w:rPr>
                          <w:rFonts w:ascii="Cambria Math" w:hAnsi="Cambria Math" w:cs="Arial"/>
                          <w:sz w:val="22"/>
                          <w:szCs w:val="22"/>
                        </w:rPr>
                        <m:t>v</m:t>
                      </m:r>
                    </m:e>
                    <m:sup>
                      <m:r>
                        <m:rPr>
                          <m:sty m:val="p"/>
                        </m:rPr>
                        <w:rPr>
                          <w:rFonts w:ascii="Cambria Math" w:hAnsi="Cambria Math" w:cs="Arial"/>
                          <w:sz w:val="22"/>
                          <w:szCs w:val="22"/>
                        </w:rPr>
                        <m:t>'</m:t>
                      </m:r>
                    </m:sup>
                  </m:sSup>
                  <m:r>
                    <m:rPr>
                      <m:sty m:val="p"/>
                    </m:rPr>
                    <w:rPr>
                      <w:rFonts w:ascii="Cambria Math" w:hAnsi="Cambria Math" w:cs="Arial"/>
                      <w:sz w:val="22"/>
                      <w:szCs w:val="22"/>
                    </w:rPr>
                    <m:t>=</m:t>
                  </m:r>
                  <m:r>
                    <w:rPr>
                      <w:rFonts w:ascii="Cambria Math" w:hAnsi="Cambria Math" w:cs="Arial"/>
                      <w:sz w:val="22"/>
                      <w:szCs w:val="22"/>
                    </w:rPr>
                    <m:t>1</m:t>
                  </m:r>
                </m:sub>
                <m:sup>
                  <m:r>
                    <w:rPr>
                      <w:rFonts w:ascii="Cambria Math" w:hAnsi="Cambria Math" w:cs="Arial"/>
                      <w:sz w:val="22"/>
                      <w:szCs w:val="22"/>
                    </w:rPr>
                    <m:t>11</m:t>
                  </m:r>
                </m:sup>
                <m:e>
                  <m:sSub>
                    <m:sSubPr>
                      <m:ctrlPr>
                        <w:rPr>
                          <w:rFonts w:ascii="Cambria Math" w:hAnsi="Cambria Math" w:cs="Arial"/>
                          <w:sz w:val="22"/>
                          <w:szCs w:val="22"/>
                        </w:rPr>
                      </m:ctrlPr>
                    </m:sSubPr>
                    <m:e>
                      <m:r>
                        <w:rPr>
                          <w:rFonts w:ascii="Cambria Math" w:hAnsi="Cambria Math" w:cs="Arial"/>
                          <w:sz w:val="22"/>
                          <w:szCs w:val="22"/>
                        </w:rPr>
                        <m:t>T</m:t>
                      </m:r>
                    </m:e>
                    <m:sub>
                      <m:r>
                        <w:rPr>
                          <w:rFonts w:ascii="Cambria Math" w:hAnsi="Cambria Math" w:cs="Arial"/>
                          <w:sz w:val="22"/>
                          <w:szCs w:val="22"/>
                        </w:rPr>
                        <m:t>c</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v</m:t>
                          </m:r>
                        </m:e>
                        <m:sup>
                          <m:r>
                            <m:rPr>
                              <m:sty m:val="p"/>
                            </m:rPr>
                            <w:rPr>
                              <w:rFonts w:ascii="Cambria Math" w:hAnsi="Cambria Math" w:cs="Arial"/>
                              <w:sz w:val="22"/>
                              <w:szCs w:val="22"/>
                            </w:rPr>
                            <m:t>'</m:t>
                          </m:r>
                        </m:sup>
                      </m:sSup>
                    </m:sub>
                  </m:sSub>
                </m:e>
              </m:nary>
            </m:den>
          </m:f>
        </m:oMath>
      </m:oMathPara>
    </w:p>
    <w:p w14:paraId="2DE52D03"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where </w:t>
      </w:r>
      <m:oMath>
        <m:sSub>
          <m:sSubPr>
            <m:ctrlPr>
              <w:rPr>
                <w:rFonts w:ascii="Cambria Math" w:hAnsi="Cambria Math" w:cs="Arial"/>
                <w:sz w:val="22"/>
                <w:szCs w:val="22"/>
              </w:rPr>
            </m:ctrlPr>
          </m:sSubPr>
          <m:e>
            <m:r>
              <w:rPr>
                <w:rFonts w:ascii="Cambria Math" w:hAnsi="Cambria Math" w:cs="Arial"/>
                <w:sz w:val="22"/>
                <w:szCs w:val="22"/>
              </w:rPr>
              <m:t>T</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xml:space="preserve"> is the mean number of June passengers from country </w:t>
      </w:r>
      <m:oMath>
        <m:r>
          <w:rPr>
            <w:rFonts w:ascii="Cambria Math" w:hAnsi="Cambria Math" w:cs="Arial"/>
            <w:sz w:val="22"/>
            <w:szCs w:val="22"/>
          </w:rPr>
          <m:t>c</m:t>
        </m:r>
      </m:oMath>
      <w:r w:rsidRPr="0007255D">
        <w:rPr>
          <w:rFonts w:ascii="Arial" w:hAnsi="Arial" w:cs="Arial"/>
          <w:sz w:val="22"/>
          <w:szCs w:val="22"/>
        </w:rPr>
        <w:t xml:space="preserve"> to US city </w:t>
      </w:r>
      <m:oMath>
        <m:r>
          <w:rPr>
            <w:rFonts w:ascii="Cambria Math" w:hAnsi="Cambria Math" w:cs="Arial"/>
            <w:sz w:val="22"/>
            <w:szCs w:val="22"/>
          </w:rPr>
          <m:t>v</m:t>
        </m:r>
      </m:oMath>
      <w:r w:rsidRPr="0007255D">
        <w:rPr>
          <w:rFonts w:ascii="Arial" w:hAnsi="Arial" w:cs="Arial"/>
          <w:sz w:val="22"/>
          <w:szCs w:val="22"/>
        </w:rPr>
        <w:t xml:space="preserve"> over 2023–2025 (BTS T-100 Form 41 data). By construction, </w:t>
      </w:r>
      <m:oMath>
        <m:nary>
          <m:naryPr>
            <m:chr m:val="∑"/>
            <m:limLoc m:val="undOvr"/>
            <m:supHide m:val="1"/>
            <m:ctrlPr>
              <w:rPr>
                <w:rFonts w:ascii="Cambria Math" w:hAnsi="Cambria Math" w:cs="Arial"/>
                <w:sz w:val="22"/>
                <w:szCs w:val="22"/>
              </w:rPr>
            </m:ctrlPr>
          </m:naryPr>
          <m:sub>
            <m:r>
              <w:rPr>
                <w:rFonts w:ascii="Cambria Math" w:hAnsi="Cambria Math" w:cs="Arial"/>
                <w:sz w:val="22"/>
                <w:szCs w:val="22"/>
              </w:rPr>
              <m:t>v</m:t>
            </m:r>
          </m:sub>
          <m:sup/>
          <m:e>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e>
        </m:nary>
        <m:r>
          <m:rPr>
            <m:sty m:val="p"/>
          </m:rPr>
          <w:rPr>
            <w:rFonts w:ascii="Cambria Math" w:hAnsi="Cambria Math" w:cs="Arial"/>
            <w:sz w:val="22"/>
            <w:szCs w:val="22"/>
          </w:rPr>
          <m:t>=</m:t>
        </m:r>
        <m:r>
          <w:rPr>
            <w:rFonts w:ascii="Cambria Math" w:hAnsi="Cambria Math" w:cs="Arial"/>
            <w:sz w:val="22"/>
            <w:szCs w:val="22"/>
          </w:rPr>
          <m:t>1</m:t>
        </m:r>
      </m:oMath>
      <w:r w:rsidRPr="0007255D">
        <w:rPr>
          <w:rFonts w:ascii="Arial" w:hAnsi="Arial" w:cs="Arial"/>
          <w:sz w:val="22"/>
          <w:szCs w:val="22"/>
        </w:rPr>
        <w:t xml:space="preserve"> for every country </w:t>
      </w:r>
      <m:oMath>
        <m:r>
          <w:rPr>
            <w:rFonts w:ascii="Cambria Math" w:hAnsi="Cambria Math" w:cs="Arial"/>
            <w:sz w:val="22"/>
            <w:szCs w:val="22"/>
          </w:rPr>
          <m:t>c</m:t>
        </m:r>
      </m:oMath>
      <w:r w:rsidRPr="0007255D">
        <w:rPr>
          <w:rFonts w:ascii="Arial" w:hAnsi="Arial" w:cs="Arial"/>
          <w:sz w:val="22"/>
          <w:szCs w:val="22"/>
        </w:rPr>
        <w:t xml:space="preserve">. These fractions are held fixed across all three model tiers; only the total volume </w:t>
      </w:r>
      <m:oMath>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oMath>
      <w:r w:rsidRPr="0007255D">
        <w:rPr>
          <w:rFonts w:ascii="Arial" w:hAnsi="Arial" w:cs="Arial"/>
          <w:sz w:val="22"/>
          <w:szCs w:val="22"/>
        </w:rPr>
        <w:t xml:space="preserve"> changes between M1, M2, and M3.</w:t>
      </w:r>
      <w:bookmarkStart w:id="4" w:name="Xf613268fbfd6766bd08a2181cc20bc2a5cf9581"/>
      <w:bookmarkEnd w:id="3"/>
    </w:p>
    <w:p w14:paraId="4BFC9A3D" w14:textId="77777777" w:rsidR="00182D80" w:rsidRPr="0007255D" w:rsidRDefault="00182D80" w:rsidP="00182D80">
      <w:pPr>
        <w:pStyle w:val="FirstParagraph"/>
        <w:rPr>
          <w:rFonts w:ascii="Arial" w:hAnsi="Arial" w:cs="Arial"/>
          <w:b/>
          <w:bCs/>
          <w:sz w:val="22"/>
          <w:szCs w:val="22"/>
        </w:rPr>
      </w:pPr>
      <w:r w:rsidRPr="0007255D">
        <w:rPr>
          <w:rFonts w:ascii="Arial" w:hAnsi="Arial" w:cs="Arial"/>
          <w:b/>
          <w:bCs/>
          <w:sz w:val="22"/>
          <w:szCs w:val="22"/>
        </w:rPr>
        <w:t xml:space="preserve">A.3 Growth factor </w:t>
      </w:r>
      <m:oMath>
        <m:sSub>
          <m:sSubPr>
            <m:ctrlPr>
              <w:rPr>
                <w:rFonts w:ascii="Cambria Math" w:hAnsi="Cambria Math" w:cs="Arial"/>
                <w:b/>
                <w:bCs/>
                <w:sz w:val="22"/>
                <w:szCs w:val="22"/>
              </w:rPr>
            </m:ctrlPr>
          </m:sSubPr>
          <m:e>
            <m:r>
              <m:rPr>
                <m:sty m:val="bi"/>
              </m:rPr>
              <w:rPr>
                <w:rFonts w:ascii="Cambria Math" w:hAnsi="Cambria Math" w:cs="Arial"/>
                <w:sz w:val="22"/>
                <w:szCs w:val="22"/>
              </w:rPr>
              <m:t>ϕ</m:t>
            </m:r>
          </m:e>
          <m:sub>
            <m:r>
              <m:rPr>
                <m:sty m:val="bi"/>
              </m:rPr>
              <w:rPr>
                <w:rFonts w:ascii="Cambria Math" w:hAnsi="Cambria Math" w:cs="Arial"/>
                <w:sz w:val="22"/>
                <w:szCs w:val="22"/>
              </w:rPr>
              <m:t>c</m:t>
            </m:r>
          </m:sub>
        </m:sSub>
      </m:oMath>
      <w:r w:rsidRPr="0007255D">
        <w:rPr>
          <w:rFonts w:ascii="Arial" w:hAnsi="Arial" w:cs="Arial"/>
          <w:b/>
          <w:bCs/>
          <w:sz w:val="22"/>
          <w:szCs w:val="22"/>
        </w:rPr>
        <w:t xml:space="preserve"> and its components</w:t>
      </w:r>
    </w:p>
    <w:p w14:paraId="34B6014F"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The growth factor</w:t>
      </w:r>
    </w:p>
    <w:p w14:paraId="455D03CC" w14:textId="77777777" w:rsidR="00182D80" w:rsidRPr="0007255D" w:rsidRDefault="00000000" w:rsidP="00182D8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2026</m:t>
                  </m:r>
                </m:sub>
              </m:sSub>
            </m:num>
            <m:den>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2024</m:t>
                  </m:r>
                </m:sub>
              </m:sSub>
            </m:den>
          </m:f>
        </m:oMath>
      </m:oMathPara>
    </w:p>
    <w:p w14:paraId="1C67899F"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scales June 2024 baseline arrivals to projected June 2026 levels, where </w:t>
      </w:r>
      <m:oMath>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t</m:t>
            </m:r>
          </m:sub>
        </m:sSub>
      </m:oMath>
      <w:r w:rsidRPr="0007255D">
        <w:rPr>
          <w:rFonts w:ascii="Arial" w:hAnsi="Arial" w:cs="Arial"/>
          <w:sz w:val="22"/>
          <w:szCs w:val="22"/>
        </w:rPr>
        <w:t xml:space="preserve"> denotes projected total June visitors from country </w:t>
      </w:r>
      <m:oMath>
        <m:r>
          <w:rPr>
            <w:rFonts w:ascii="Cambria Math" w:hAnsi="Cambria Math" w:cs="Arial"/>
            <w:sz w:val="22"/>
            <w:szCs w:val="22"/>
          </w:rPr>
          <m:t>c</m:t>
        </m:r>
      </m:oMath>
      <w:r w:rsidRPr="0007255D">
        <w:rPr>
          <w:rFonts w:ascii="Arial" w:hAnsi="Arial" w:cs="Arial"/>
          <w:sz w:val="22"/>
          <w:szCs w:val="22"/>
        </w:rPr>
        <w:t xml:space="preserve"> in year </w:t>
      </w:r>
      <m:oMath>
        <m:r>
          <w:rPr>
            <w:rFonts w:ascii="Cambria Math" w:hAnsi="Cambria Math" w:cs="Arial"/>
            <w:sz w:val="22"/>
            <w:szCs w:val="22"/>
          </w:rPr>
          <m:t>t</m:t>
        </m:r>
      </m:oMath>
      <w:r w:rsidRPr="0007255D">
        <w:rPr>
          <w:rFonts w:ascii="Arial" w:hAnsi="Arial" w:cs="Arial"/>
          <w:sz w:val="22"/>
          <w:szCs w:val="22"/>
        </w:rPr>
        <w:t>. Three country classes are distinguished:</w:t>
      </w:r>
    </w:p>
    <w:p w14:paraId="4B174A70" w14:textId="77777777" w:rsidR="00182D80" w:rsidRPr="0007255D" w:rsidRDefault="00182D80" w:rsidP="00182D80">
      <w:pPr>
        <w:numPr>
          <w:ilvl w:val="0"/>
          <w:numId w:val="2"/>
        </w:numPr>
        <w:rPr>
          <w:rFonts w:ascii="Arial" w:hAnsi="Arial" w:cs="Arial"/>
          <w:sz w:val="22"/>
          <w:szCs w:val="22"/>
        </w:rPr>
      </w:pPr>
      <w:proofErr w:type="gramStart"/>
      <w:r w:rsidRPr="0007255D">
        <w:rPr>
          <w:rFonts w:ascii="Arial" w:hAnsi="Arial" w:cs="Arial"/>
          <w:b/>
          <w:bCs/>
          <w:sz w:val="22"/>
          <w:szCs w:val="22"/>
        </w:rPr>
        <w:t>Top-12</w:t>
      </w:r>
      <w:proofErr w:type="gramEnd"/>
      <w:r w:rsidRPr="0007255D">
        <w:rPr>
          <w:rFonts w:ascii="Arial" w:hAnsi="Arial" w:cs="Arial"/>
          <w:b/>
          <w:bCs/>
          <w:sz w:val="22"/>
          <w:szCs w:val="22"/>
        </w:rPr>
        <w:t xml:space="preserve"> inbound markets</w:t>
      </w:r>
      <w:r w:rsidRPr="0007255D">
        <w:rPr>
          <w:rFonts w:ascii="Arial" w:hAnsi="Arial" w:cs="Arial"/>
          <w:sz w:val="22"/>
          <w:szCs w:val="22"/>
        </w:rPr>
        <w:t xml:space="preserve"> (Australia, Brazil, Canada, China, France, Germany, India, Italy, Japan, Mexico, South Korea, UK) — NTTO country-specific projections:</w:t>
      </w:r>
    </w:p>
    <w:p w14:paraId="578F94EF" w14:textId="77777777" w:rsidR="00182D80" w:rsidRPr="0007255D" w:rsidRDefault="00000000" w:rsidP="00182D8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f>
            <m:fPr>
              <m:ctrlPr>
                <w:rPr>
                  <w:rFonts w:ascii="Cambria Math" w:hAnsi="Cambria Math" w:cs="Arial"/>
                  <w:sz w:val="22"/>
                  <w:szCs w:val="22"/>
                </w:rPr>
              </m:ctrlPr>
            </m:fPr>
            <m:num>
              <m:sSubSup>
                <m:sSubSupPr>
                  <m:ctrlPr>
                    <w:rPr>
                      <w:rFonts w:ascii="Cambria Math" w:hAnsi="Cambria Math" w:cs="Arial"/>
                      <w:sz w:val="22"/>
                      <w:szCs w:val="22"/>
                    </w:rPr>
                  </m:ctrlPr>
                </m:sSubSupPr>
                <m:e>
                  <m:r>
                    <w:rPr>
                      <w:rFonts w:ascii="Cambria Math" w:hAnsi="Cambria Math" w:cs="Arial"/>
                      <w:sz w:val="22"/>
                      <w:szCs w:val="22"/>
                    </w:rPr>
                    <m:t>A</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2026</m:t>
                  </m:r>
                </m:sub>
                <m:sup>
                  <m:r>
                    <m:rPr>
                      <m:nor/>
                    </m:rPr>
                    <w:rPr>
                      <w:rFonts w:ascii="Arial" w:hAnsi="Arial" w:cs="Arial"/>
                      <w:sz w:val="22"/>
                      <w:szCs w:val="22"/>
                    </w:rPr>
                    <m:t>NTTO</m:t>
                  </m:r>
                </m:sup>
              </m:sSubSup>
            </m:num>
            <m:den>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2024</m:t>
                  </m:r>
                </m:sub>
              </m:sSub>
            </m:den>
          </m:f>
        </m:oMath>
      </m:oMathPara>
    </w:p>
    <w:p w14:paraId="3A518465" w14:textId="77777777" w:rsidR="00182D80" w:rsidRPr="0007255D" w:rsidRDefault="00182D80" w:rsidP="00182D80">
      <w:pPr>
        <w:numPr>
          <w:ilvl w:val="0"/>
          <w:numId w:val="1"/>
        </w:numPr>
        <w:rPr>
          <w:rFonts w:ascii="Arial" w:hAnsi="Arial" w:cs="Arial"/>
          <w:sz w:val="22"/>
          <w:szCs w:val="22"/>
        </w:rPr>
      </w:pPr>
      <w:r w:rsidRPr="0007255D">
        <w:rPr>
          <w:rFonts w:ascii="Arial" w:hAnsi="Arial" w:cs="Arial"/>
          <w:sz w:val="22"/>
          <w:szCs w:val="22"/>
        </w:rPr>
        <w:t xml:space="preserve">The World Cup effect is already embedded in the NTTO forecast. The background (non-WC) trend component </w:t>
      </w:r>
      <m:oMath>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oMath>
      <w:r w:rsidRPr="0007255D">
        <w:rPr>
          <w:rFonts w:ascii="Arial" w:hAnsi="Arial" w:cs="Arial"/>
          <w:sz w:val="22"/>
          <w:szCs w:val="22"/>
        </w:rPr>
        <w:t xml:space="preserve"> is derived from the pre-tournament NTTO trend excluding the tournament increment.</w:t>
      </w:r>
    </w:p>
    <w:p w14:paraId="6450DBEC" w14:textId="77777777" w:rsidR="00182D80" w:rsidRPr="0007255D" w:rsidRDefault="00182D80" w:rsidP="00182D80">
      <w:pPr>
        <w:numPr>
          <w:ilvl w:val="0"/>
          <w:numId w:val="2"/>
        </w:numPr>
        <w:rPr>
          <w:rFonts w:ascii="Arial" w:hAnsi="Arial" w:cs="Arial"/>
          <w:sz w:val="22"/>
          <w:szCs w:val="22"/>
        </w:rPr>
      </w:pPr>
      <w:r w:rsidRPr="0007255D">
        <w:rPr>
          <w:rFonts w:ascii="Arial" w:hAnsi="Arial" w:cs="Arial"/>
          <w:b/>
          <w:bCs/>
          <w:sz w:val="22"/>
          <w:szCs w:val="22"/>
        </w:rPr>
        <w:t>Other WC-qualified nations</w:t>
      </w:r>
      <w:r w:rsidRPr="0007255D">
        <w:rPr>
          <w:rFonts w:ascii="Arial" w:hAnsi="Arial" w:cs="Arial"/>
          <w:sz w:val="22"/>
          <w:szCs w:val="22"/>
        </w:rPr>
        <w:t xml:space="preserve"> — a uniform World Cup growth factor is applied:</w:t>
      </w:r>
    </w:p>
    <w:p w14:paraId="0D11E6A5" w14:textId="77777777" w:rsidR="00182D80" w:rsidRPr="0007255D" w:rsidRDefault="00000000" w:rsidP="00182D8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ϕ</m:t>
              </m:r>
            </m:e>
            <m:sup>
              <m:r>
                <m:rPr>
                  <m:nor/>
                </m:rPr>
                <w:rPr>
                  <w:rFonts w:ascii="Arial" w:hAnsi="Arial" w:cs="Arial"/>
                  <w:sz w:val="22"/>
                  <w:szCs w:val="22"/>
                </w:rPr>
                <m:t>WC</m:t>
              </m:r>
            </m:sup>
          </m:sSup>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85</m:t>
              </m:r>
              <m:r>
                <m:rPr>
                  <m:sty m:val="p"/>
                </m:rPr>
                <w:rPr>
                  <w:rFonts w:ascii="Cambria Math" w:hAnsi="Cambria Math" w:cs="Arial"/>
                  <w:sz w:val="22"/>
                  <w:szCs w:val="22"/>
                </w:rPr>
                <m:t>,</m:t>
              </m:r>
              <m:r>
                <w:rPr>
                  <w:rFonts w:ascii="Cambria Math" w:hAnsi="Cambria Math" w:cs="Arial"/>
                  <w:sz w:val="22"/>
                  <w:szCs w:val="22"/>
                </w:rPr>
                <m:t>017</m:t>
              </m:r>
            </m:num>
            <m:den>
              <m:r>
                <w:rPr>
                  <w:rFonts w:ascii="Cambria Math" w:hAnsi="Cambria Math" w:cs="Arial"/>
                  <w:sz w:val="22"/>
                  <w:szCs w:val="22"/>
                </w:rPr>
                <m:t>72</m:t>
              </m:r>
              <m:r>
                <m:rPr>
                  <m:sty m:val="p"/>
                </m:rPr>
                <w:rPr>
                  <w:rFonts w:ascii="Cambria Math" w:hAnsi="Cambria Math" w:cs="Arial"/>
                  <w:sz w:val="22"/>
                  <w:szCs w:val="22"/>
                </w:rPr>
                <m:t>,</m:t>
              </m:r>
              <m:r>
                <w:rPr>
                  <w:rFonts w:ascii="Cambria Math" w:hAnsi="Cambria Math" w:cs="Arial"/>
                  <w:sz w:val="22"/>
                  <w:szCs w:val="22"/>
                </w:rPr>
                <m:t>390</m:t>
              </m:r>
            </m:den>
          </m:f>
          <m:r>
            <m:rPr>
              <m:sty m:val="p"/>
            </m:rPr>
            <w:rPr>
              <w:rFonts w:ascii="Cambria Math" w:hAnsi="Cambria Math" w:cs="Arial"/>
              <w:sz w:val="22"/>
              <w:szCs w:val="22"/>
            </w:rPr>
            <m:t>=</m:t>
          </m:r>
          <m:r>
            <w:rPr>
              <w:rFonts w:ascii="Cambria Math" w:hAnsi="Cambria Math" w:cs="Arial"/>
              <w:sz w:val="22"/>
              <w:szCs w:val="22"/>
            </w:rPr>
            <m:t>1.174</m:t>
          </m:r>
        </m:oMath>
      </m:oMathPara>
    </w:p>
    <w:p w14:paraId="02CA0FBA" w14:textId="77777777" w:rsidR="00182D80" w:rsidRPr="0007255D" w:rsidRDefault="00182D80" w:rsidP="00182D80">
      <w:pPr>
        <w:numPr>
          <w:ilvl w:val="0"/>
          <w:numId w:val="1"/>
        </w:numPr>
        <w:rPr>
          <w:rFonts w:ascii="Arial" w:hAnsi="Arial" w:cs="Arial"/>
          <w:sz w:val="22"/>
          <w:szCs w:val="22"/>
        </w:rPr>
      </w:pPr>
      <w:r w:rsidRPr="0007255D">
        <w:rPr>
          <w:rFonts w:ascii="Arial" w:hAnsi="Arial" w:cs="Arial"/>
          <w:sz w:val="22"/>
          <w:szCs w:val="22"/>
        </w:rPr>
        <w:t xml:space="preserve">reflecting the aggregate fan-travel surge for smaller qualified markets (NTTO 2025 report). The background trend component is </w:t>
      </w:r>
      <m:oMath>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ϕ</m:t>
            </m:r>
          </m:e>
          <m:sup>
            <m:r>
              <m:rPr>
                <m:nor/>
              </m:rPr>
              <w:rPr>
                <w:rFonts w:ascii="Arial" w:hAnsi="Arial" w:cs="Arial"/>
                <w:sz w:val="22"/>
                <w:szCs w:val="22"/>
              </w:rPr>
              <m:t>bg</m:t>
            </m:r>
          </m:sup>
        </m:sSup>
        <m:r>
          <m:rPr>
            <m:sty m:val="p"/>
          </m:rPr>
          <w:rPr>
            <w:rFonts w:ascii="Cambria Math" w:hAnsi="Cambria Math" w:cs="Arial"/>
            <w:sz w:val="22"/>
            <w:szCs w:val="22"/>
          </w:rPr>
          <m:t>=</m:t>
        </m:r>
        <m:r>
          <w:rPr>
            <w:rFonts w:ascii="Cambria Math" w:hAnsi="Cambria Math" w:cs="Arial"/>
            <w:sz w:val="22"/>
            <w:szCs w:val="22"/>
          </w:rPr>
          <m:t>1.077</m:t>
        </m:r>
      </m:oMath>
      <w:r w:rsidRPr="0007255D">
        <w:rPr>
          <w:rFonts w:ascii="Arial" w:hAnsi="Arial" w:cs="Arial"/>
          <w:sz w:val="22"/>
          <w:szCs w:val="22"/>
        </w:rPr>
        <w:t xml:space="preserve">, so the WC-specific fan increment is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r>
          <w:rPr>
            <w:rFonts w:ascii="Cambria Math" w:hAnsi="Cambria Math" w:cs="Arial"/>
            <w:sz w:val="22"/>
            <w:szCs w:val="22"/>
          </w:rPr>
          <m:t>0.097</m:t>
        </m:r>
      </m:oMath>
      <w:r w:rsidRPr="0007255D">
        <w:rPr>
          <w:rFonts w:ascii="Arial" w:hAnsi="Arial" w:cs="Arial"/>
          <w:sz w:val="22"/>
          <w:szCs w:val="22"/>
        </w:rPr>
        <w:t>.</w:t>
      </w:r>
    </w:p>
    <w:p w14:paraId="1CCA0680" w14:textId="77777777" w:rsidR="00182D80" w:rsidRPr="0007255D" w:rsidRDefault="00182D80" w:rsidP="00182D80">
      <w:pPr>
        <w:numPr>
          <w:ilvl w:val="0"/>
          <w:numId w:val="2"/>
        </w:numPr>
        <w:rPr>
          <w:rFonts w:ascii="Arial" w:hAnsi="Arial" w:cs="Arial"/>
          <w:sz w:val="22"/>
          <w:szCs w:val="22"/>
        </w:rPr>
      </w:pPr>
      <w:r w:rsidRPr="0007255D">
        <w:rPr>
          <w:rFonts w:ascii="Arial" w:hAnsi="Arial" w:cs="Arial"/>
          <w:b/>
          <w:bCs/>
          <w:sz w:val="22"/>
          <w:szCs w:val="22"/>
        </w:rPr>
        <w:t>Non-qualified nations</w:t>
      </w:r>
      <w:r w:rsidRPr="0007255D">
        <w:rPr>
          <w:rFonts w:ascii="Arial" w:hAnsi="Arial" w:cs="Arial"/>
          <w:sz w:val="22"/>
          <w:szCs w:val="22"/>
        </w:rPr>
        <w:t xml:space="preserve"> — no WC adjustment is made:</w:t>
      </w:r>
    </w:p>
    <w:p w14:paraId="0D680B43" w14:textId="77777777" w:rsidR="00182D80" w:rsidRPr="0007255D" w:rsidRDefault="00000000" w:rsidP="00182D8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ϕ</m:t>
              </m:r>
            </m:e>
            <m:sup>
              <m:r>
                <m:rPr>
                  <m:nor/>
                </m:rPr>
                <w:rPr>
                  <w:rFonts w:ascii="Arial" w:hAnsi="Arial" w:cs="Arial"/>
                  <w:sz w:val="22"/>
                  <w:szCs w:val="22"/>
                </w:rPr>
                <m:t>bg</m:t>
              </m:r>
            </m:sup>
          </m:sSup>
          <m:r>
            <m:rPr>
              <m:sty m:val="p"/>
            </m:rPr>
            <w:rPr>
              <w:rFonts w:ascii="Cambria Math" w:hAnsi="Cambria Math" w:cs="Arial"/>
              <w:sz w:val="22"/>
              <w:szCs w:val="22"/>
            </w:rPr>
            <m:t>=</m:t>
          </m:r>
          <m:r>
            <w:rPr>
              <w:rFonts w:ascii="Cambria Math" w:hAnsi="Cambria Math" w:cs="Arial"/>
              <w:sz w:val="22"/>
              <w:szCs w:val="22"/>
            </w:rPr>
            <m:t>1.077</m:t>
          </m:r>
        </m:oMath>
      </m:oMathPara>
    </w:p>
    <w:p w14:paraId="6B84BAA4" w14:textId="77777777" w:rsidR="00182D80" w:rsidRPr="0007255D" w:rsidRDefault="00182D80" w:rsidP="00182D80">
      <w:pPr>
        <w:numPr>
          <w:ilvl w:val="0"/>
          <w:numId w:val="1"/>
        </w:numPr>
        <w:rPr>
          <w:rFonts w:ascii="Arial" w:hAnsi="Arial" w:cs="Arial"/>
          <w:sz w:val="22"/>
          <w:szCs w:val="22"/>
        </w:rPr>
      </w:pPr>
      <w:r w:rsidRPr="0007255D">
        <w:rPr>
          <w:rFonts w:ascii="Arial" w:hAnsi="Arial" w:cs="Arial"/>
          <w:sz w:val="22"/>
          <w:szCs w:val="22"/>
        </w:rPr>
        <w:t xml:space="preserve">where </w:t>
      </w:r>
      <m:oMath>
        <m:sSup>
          <m:sSupPr>
            <m:ctrlPr>
              <w:rPr>
                <w:rFonts w:ascii="Cambria Math" w:hAnsi="Cambria Math" w:cs="Arial"/>
                <w:sz w:val="22"/>
                <w:szCs w:val="22"/>
              </w:rPr>
            </m:ctrlPr>
          </m:sSupPr>
          <m:e>
            <m:r>
              <w:rPr>
                <w:rFonts w:ascii="Cambria Math" w:hAnsi="Cambria Math" w:cs="Arial"/>
                <w:sz w:val="22"/>
                <w:szCs w:val="22"/>
              </w:rPr>
              <m:t>ϕ</m:t>
            </m:r>
          </m:e>
          <m:sup>
            <m:r>
              <m:rPr>
                <m:nor/>
              </m:rPr>
              <w:rPr>
                <w:rFonts w:ascii="Arial" w:hAnsi="Arial" w:cs="Arial"/>
                <w:sz w:val="22"/>
                <w:szCs w:val="22"/>
              </w:rPr>
              <m:t>bg</m:t>
            </m:r>
          </m:sup>
        </m:sSup>
      </m:oMath>
      <w:r w:rsidRPr="0007255D">
        <w:rPr>
          <w:rFonts w:ascii="Arial" w:hAnsi="Arial" w:cs="Arial"/>
          <w:sz w:val="22"/>
          <w:szCs w:val="22"/>
        </w:rPr>
        <w:t xml:space="preserve"> is the data-driven background growth rate estimated from COR and T-100 data (June 2023–2025). By construction,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r>
          <w:rPr>
            <w:rFonts w:ascii="Cambria Math" w:hAnsi="Cambria Math" w:cs="Arial"/>
            <w:sz w:val="22"/>
            <w:szCs w:val="22"/>
          </w:rPr>
          <m:t>0</m:t>
        </m:r>
      </m:oMath>
      <w:r w:rsidRPr="0007255D">
        <w:rPr>
          <w:rFonts w:ascii="Arial" w:hAnsi="Arial" w:cs="Arial"/>
          <w:sz w:val="22"/>
          <w:szCs w:val="22"/>
        </w:rPr>
        <w:t xml:space="preserve"> for non-qualified countries.</w:t>
      </w:r>
      <w:bookmarkStart w:id="5" w:name="X1da091c11d93f304ece00c136ce1d16176c30f8"/>
      <w:bookmarkEnd w:id="4"/>
    </w:p>
    <w:p w14:paraId="5DF91359" w14:textId="77777777" w:rsidR="00182D80" w:rsidRPr="0007255D" w:rsidRDefault="00182D80" w:rsidP="00182D80">
      <w:pPr>
        <w:rPr>
          <w:rFonts w:ascii="Arial" w:hAnsi="Arial" w:cs="Arial"/>
          <w:b/>
          <w:bCs/>
          <w:sz w:val="22"/>
          <w:szCs w:val="22"/>
        </w:rPr>
      </w:pPr>
      <w:r w:rsidRPr="0007255D">
        <w:rPr>
          <w:rFonts w:ascii="Arial" w:hAnsi="Arial" w:cs="Arial"/>
          <w:b/>
          <w:bCs/>
          <w:sz w:val="22"/>
          <w:szCs w:val="22"/>
        </w:rPr>
        <w:t xml:space="preserve">A.4 Schedule-driven routing fraction </w:t>
      </w:r>
      <m:oMath>
        <m:sSub>
          <m:sSubPr>
            <m:ctrlPr>
              <w:rPr>
                <w:rFonts w:ascii="Cambria Math" w:hAnsi="Cambria Math" w:cs="Arial"/>
                <w:b/>
                <w:bCs/>
                <w:sz w:val="22"/>
                <w:szCs w:val="22"/>
              </w:rPr>
            </m:ctrlPr>
          </m:sSubPr>
          <m:e>
            <m:r>
              <m:rPr>
                <m:sty m:val="bi"/>
              </m:rPr>
              <w:rPr>
                <w:rFonts w:ascii="Cambria Math" w:hAnsi="Cambria Math" w:cs="Arial"/>
                <w:sz w:val="22"/>
                <w:szCs w:val="22"/>
              </w:rPr>
              <m:t>ω</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Sub>
      </m:oMath>
    </w:p>
    <w:p w14:paraId="37681B38"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For WC-qualified nation </w:t>
      </w:r>
      <m:oMath>
        <m:r>
          <w:rPr>
            <w:rFonts w:ascii="Cambria Math" w:hAnsi="Cambria Math" w:cs="Arial"/>
            <w:sz w:val="22"/>
            <w:szCs w:val="22"/>
          </w:rPr>
          <m:t>c</m:t>
        </m:r>
      </m:oMath>
      <w:r w:rsidRPr="0007255D">
        <w:rPr>
          <w:rFonts w:ascii="Arial" w:hAnsi="Arial" w:cs="Arial"/>
          <w:sz w:val="22"/>
          <w:szCs w:val="22"/>
        </w:rPr>
        <w:t>, the fan stream is routed proportionally to the share of its group-stage matches played at each US venue:</w:t>
      </w:r>
    </w:p>
    <w:p w14:paraId="2FE8FDAD" w14:textId="77777777" w:rsidR="00182D80" w:rsidRPr="0007255D" w:rsidRDefault="00000000" w:rsidP="00182D8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num>
            <m:den>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sub>
              </m:sSub>
            </m:den>
          </m:f>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num>
            <m:den>
              <m:r>
                <w:rPr>
                  <w:rFonts w:ascii="Cambria Math" w:hAnsi="Cambria Math" w:cs="Arial"/>
                  <w:sz w:val="22"/>
                  <w:szCs w:val="22"/>
                </w:rPr>
                <m:t>3</m:t>
              </m:r>
            </m:den>
          </m:f>
          <m:r>
            <w:rPr>
              <w:rFonts w:ascii="Cambria Math" w:hAnsi="Cambria Math" w:cs="Arial"/>
              <w:sz w:val="22"/>
              <w:szCs w:val="22"/>
            </w:rPr>
            <m:t> </m:t>
          </m:r>
          <m:r>
            <m:rPr>
              <m:nor/>
            </m:rPr>
            <w:rPr>
              <w:rFonts w:ascii="Arial" w:hAnsi="Arial" w:cs="Arial"/>
              <w:sz w:val="22"/>
              <w:szCs w:val="22"/>
            </w:rPr>
            <m:t>(US venues only)</m:t>
          </m:r>
        </m:oMath>
      </m:oMathPara>
    </w:p>
    <w:p w14:paraId="18589085"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If country </w:t>
      </w:r>
      <m:oMath>
        <m:r>
          <w:rPr>
            <w:rFonts w:ascii="Cambria Math" w:hAnsi="Cambria Math" w:cs="Arial"/>
            <w:sz w:val="22"/>
            <w:szCs w:val="22"/>
          </w:rPr>
          <m:t>c</m:t>
        </m:r>
      </m:oMath>
      <w:r w:rsidRPr="0007255D">
        <w:rPr>
          <w:rFonts w:ascii="Arial" w:hAnsi="Arial" w:cs="Arial"/>
          <w:sz w:val="22"/>
          <w:szCs w:val="22"/>
        </w:rPr>
        <w:t xml:space="preserve"> plays no matches at US </w:t>
      </w:r>
      <w:proofErr w:type="gramStart"/>
      <w:r w:rsidRPr="0007255D">
        <w:rPr>
          <w:rFonts w:ascii="Arial" w:hAnsi="Arial" w:cs="Arial"/>
          <w:sz w:val="22"/>
          <w:szCs w:val="22"/>
        </w:rPr>
        <w:t>venue</w:t>
      </w:r>
      <w:proofErr w:type="gramEnd"/>
      <w:r w:rsidRPr="0007255D">
        <w:rPr>
          <w:rFonts w:ascii="Arial" w:hAnsi="Arial" w:cs="Arial"/>
          <w:sz w:val="22"/>
          <w:szCs w:val="22"/>
        </w:rPr>
        <w:t xml:space="preserve"> </w:t>
      </w:r>
      <m:oMath>
        <m:r>
          <w:rPr>
            <w:rFonts w:ascii="Cambria Math" w:hAnsi="Cambria Math" w:cs="Arial"/>
            <w:sz w:val="22"/>
            <w:szCs w:val="22"/>
          </w:rPr>
          <m:t>v</m:t>
        </m:r>
      </m:oMath>
      <w:r w:rsidRPr="0007255D">
        <w:rPr>
          <w:rFonts w:ascii="Arial" w:hAnsi="Arial" w:cs="Arial"/>
          <w:sz w:val="22"/>
          <w:szCs w:val="22"/>
        </w:rPr>
        <w:t xml:space="preserve"> then </w:t>
      </w:r>
      <m:oMath>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r>
          <w:rPr>
            <w:rFonts w:ascii="Cambria Math" w:hAnsi="Cambria Math" w:cs="Arial"/>
            <w:sz w:val="22"/>
            <w:szCs w:val="22"/>
          </w:rPr>
          <m:t>0</m:t>
        </m:r>
      </m:oMath>
      <w:r w:rsidRPr="0007255D">
        <w:rPr>
          <w:rFonts w:ascii="Arial" w:hAnsi="Arial" w:cs="Arial"/>
          <w:sz w:val="22"/>
          <w:szCs w:val="22"/>
        </w:rPr>
        <w:t xml:space="preserve">. Matches played at Canadian or Mexican venues contribute to </w:t>
      </w:r>
      <m:oMath>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sub>
        </m:sSub>
      </m:oMath>
      <w:r w:rsidRPr="0007255D">
        <w:rPr>
          <w:rFonts w:ascii="Arial" w:hAnsi="Arial" w:cs="Arial"/>
          <w:sz w:val="22"/>
          <w:szCs w:val="22"/>
        </w:rPr>
        <w:t xml:space="preserve"> but not to any US </w:t>
      </w:r>
      <m:oMath>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so:</w:t>
      </w:r>
    </w:p>
    <w:p w14:paraId="18ACFA69" w14:textId="77777777" w:rsidR="00182D80" w:rsidRPr="0007255D" w:rsidRDefault="00000000" w:rsidP="00182D80">
      <w:pPr>
        <w:pStyle w:val="BodyText"/>
        <w:rPr>
          <w:rFonts w:ascii="Arial" w:hAnsi="Arial" w:cs="Arial"/>
          <w:sz w:val="22"/>
          <w:szCs w:val="22"/>
        </w:rPr>
      </w:pPr>
      <m:oMathPara>
        <m:oMathParaPr>
          <m:jc m:val="center"/>
        </m:oMathParaPr>
        <m:oMath>
          <m:nary>
            <m:naryPr>
              <m:chr m:val="∑"/>
              <m:limLoc m:val="undOvr"/>
              <m:ctrlPr>
                <w:rPr>
                  <w:rFonts w:ascii="Cambria Math" w:hAnsi="Cambria Math" w:cs="Arial"/>
                  <w:sz w:val="22"/>
                  <w:szCs w:val="22"/>
                </w:rPr>
              </m:ctrlPr>
            </m:naryPr>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1</m:t>
              </m:r>
            </m:sub>
            <m:sup>
              <m:r>
                <w:rPr>
                  <w:rFonts w:ascii="Cambria Math" w:hAnsi="Cambria Math" w:cs="Arial"/>
                  <w:sz w:val="22"/>
                  <w:szCs w:val="22"/>
                </w:rPr>
                <m:t>11</m:t>
              </m:r>
            </m:sup>
            <m:e>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e>
          </m:nary>
          <m:r>
            <m:rPr>
              <m:sty m:val="p"/>
            </m:rPr>
            <w:rPr>
              <w:rFonts w:ascii="Cambria Math" w:hAnsi="Cambria Math" w:cs="Arial"/>
              <w:sz w:val="22"/>
              <w:szCs w:val="22"/>
            </w:rPr>
            <m:t>=</m:t>
          </m:r>
          <m:f>
            <m:fPr>
              <m:ctrlPr>
                <w:rPr>
                  <w:rFonts w:ascii="Cambria Math" w:hAnsi="Cambria Math" w:cs="Arial"/>
                  <w:sz w:val="22"/>
                  <w:szCs w:val="22"/>
                </w:rPr>
              </m:ctrlPr>
            </m:fPr>
            <m:num>
              <m:r>
                <m:rPr>
                  <m:nor/>
                </m:rPr>
                <w:rPr>
                  <w:rFonts w:ascii="Arial" w:hAnsi="Arial" w:cs="Arial"/>
                  <w:sz w:val="22"/>
                  <w:szCs w:val="22"/>
                </w:rPr>
                <m:t xml:space="preserve">(US matches of </m:t>
              </m:r>
              <m:r>
                <w:rPr>
                  <w:rFonts w:ascii="Cambria Math" w:hAnsi="Cambria Math" w:cs="Arial"/>
                  <w:sz w:val="22"/>
                  <w:szCs w:val="22"/>
                </w:rPr>
                <m:t>c</m:t>
              </m:r>
              <m:r>
                <m:rPr>
                  <m:sty m:val="p"/>
                </m:rPr>
                <w:rPr>
                  <w:rFonts w:ascii="Cambria Math" w:hAnsi="Cambria Math" w:cs="Arial"/>
                  <w:sz w:val="22"/>
                  <w:szCs w:val="22"/>
                </w:rPr>
                <m:t>)</m:t>
              </m:r>
            </m:num>
            <m:den>
              <m:r>
                <w:rPr>
                  <w:rFonts w:ascii="Cambria Math" w:hAnsi="Cambria Math" w:cs="Arial"/>
                  <w:sz w:val="22"/>
                  <w:szCs w:val="22"/>
                </w:rPr>
                <m:t>3</m:t>
              </m:r>
            </m:den>
          </m:f>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 1</m:t>
          </m:r>
        </m:oMath>
      </m:oMathPara>
    </w:p>
    <w:p w14:paraId="3F0F5B8C"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with strict inequality for nations playing one or more matches outside the US. For non-qualified nations no WC fan stream exists and </w:t>
      </w:r>
      <m:oMath>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xml:space="preserve"> is not used.</w:t>
      </w:r>
      <w:bookmarkStart w:id="6" w:name="a.5-travel-decomposition-for-m3"/>
      <w:bookmarkEnd w:id="5"/>
    </w:p>
    <w:p w14:paraId="4B37D5B0" w14:textId="77777777" w:rsidR="00182D80" w:rsidRPr="0007255D" w:rsidRDefault="00182D80" w:rsidP="00182D80">
      <w:pPr>
        <w:pStyle w:val="FirstParagraph"/>
        <w:rPr>
          <w:rFonts w:ascii="Arial" w:hAnsi="Arial" w:cs="Arial"/>
          <w:b/>
          <w:bCs/>
          <w:sz w:val="22"/>
          <w:szCs w:val="22"/>
        </w:rPr>
      </w:pPr>
      <w:r w:rsidRPr="0007255D">
        <w:rPr>
          <w:rFonts w:ascii="Arial" w:hAnsi="Arial" w:cs="Arial"/>
          <w:b/>
          <w:bCs/>
          <w:sz w:val="22"/>
          <w:szCs w:val="22"/>
        </w:rPr>
        <w:t>A.5 Travel decomposition for M3</w:t>
      </w:r>
    </w:p>
    <w:p w14:paraId="380D93E2"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Model 3 separates total projected 2026 arrivals from country </w:t>
      </w:r>
      <m:oMath>
        <m:r>
          <w:rPr>
            <w:rFonts w:ascii="Cambria Math" w:hAnsi="Cambria Math" w:cs="Arial"/>
            <w:sz w:val="22"/>
            <w:szCs w:val="22"/>
          </w:rPr>
          <m:t>c</m:t>
        </m:r>
      </m:oMath>
      <w:r w:rsidRPr="0007255D">
        <w:rPr>
          <w:rFonts w:ascii="Arial" w:hAnsi="Arial" w:cs="Arial"/>
          <w:sz w:val="22"/>
          <w:szCs w:val="22"/>
        </w:rPr>
        <w:t xml:space="preserve"> into a background stream and a WC fan stream:</w:t>
      </w:r>
    </w:p>
    <w:p w14:paraId="7BEF21DC" w14:textId="77777777" w:rsidR="00182D80" w:rsidRPr="0007255D" w:rsidRDefault="00000000" w:rsidP="00182D80">
      <w:pPr>
        <w:pStyle w:val="BodyText"/>
        <w:rPr>
          <w:rFonts w:ascii="Arial" w:hAnsi="Arial" w:cs="Arial"/>
          <w:sz w:val="22"/>
          <w:szCs w:val="22"/>
        </w:rPr>
      </w:pPr>
      <m:oMathPara>
        <m:oMathParaPr>
          <m:jc m:val="center"/>
        </m:oMathParaPr>
        <m:oMath>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WC</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⋅max</m:t>
          </m:r>
          <m:d>
            <m:dPr>
              <m:ctrlPr>
                <w:rPr>
                  <w:rFonts w:ascii="Cambria Math" w:hAnsi="Cambria Math" w:cs="Arial"/>
                  <w:sz w:val="22"/>
                  <w:szCs w:val="22"/>
                </w:rPr>
              </m:ctrlPr>
            </m:dPr>
            <m:e>
              <m:r>
                <w:rPr>
                  <w:rFonts w:ascii="Cambria Math" w:hAnsi="Cambria Math" w:cs="Arial"/>
                  <w:sz w:val="22"/>
                  <w:szCs w:val="22"/>
                </w:rPr>
                <m:t>0</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e>
          </m:d>
          <m:r>
            <w:rPr>
              <w:rFonts w:ascii="Cambria Math" w:hAnsi="Cambria Math" w:cs="Arial"/>
              <w:sz w:val="22"/>
              <w:szCs w:val="22"/>
            </w:rPr>
            <m:t>  </m:t>
          </m:r>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bg</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oMath>
      </m:oMathPara>
    </w:p>
    <w:p w14:paraId="1FF2F02E"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Note that </w:t>
      </w:r>
      <m:oMath>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WC</m:t>
            </m:r>
          </m:sup>
        </m:sSubSup>
        <m:r>
          <m:rPr>
            <m:sty m:val="p"/>
          </m:rP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bg</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oMath>
      <w:r w:rsidRPr="0007255D">
        <w:rPr>
          <w:rFonts w:ascii="Arial" w:hAnsi="Arial" w:cs="Arial"/>
          <w:sz w:val="22"/>
          <w:szCs w:val="22"/>
        </w:rPr>
        <w:t xml:space="preserve">, so the decomposition is exact and exhaustive. For non-qualified countries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oMath>
      <w:r w:rsidRPr="0007255D">
        <w:rPr>
          <w:rFonts w:ascii="Arial" w:hAnsi="Arial" w:cs="Arial"/>
          <w:sz w:val="22"/>
          <w:szCs w:val="22"/>
        </w:rPr>
        <w:t xml:space="preserve">, giving </w:t>
      </w:r>
      <m:oMath>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WC</m:t>
            </m:r>
          </m:sup>
        </m:sSubSup>
        <m:r>
          <m:rPr>
            <m:sty m:val="p"/>
          </m:rPr>
          <w:rPr>
            <w:rFonts w:ascii="Cambria Math" w:hAnsi="Cambria Math" w:cs="Arial"/>
            <w:sz w:val="22"/>
            <w:szCs w:val="22"/>
          </w:rPr>
          <m:t>=</m:t>
        </m:r>
        <m:r>
          <w:rPr>
            <w:rFonts w:ascii="Cambria Math" w:hAnsi="Cambria Math" w:cs="Arial"/>
            <w:sz w:val="22"/>
            <w:szCs w:val="22"/>
          </w:rPr>
          <m:t>0</m:t>
        </m:r>
      </m:oMath>
      <w:r w:rsidRPr="0007255D">
        <w:rPr>
          <w:rFonts w:ascii="Arial" w:hAnsi="Arial" w:cs="Arial"/>
          <w:sz w:val="22"/>
          <w:szCs w:val="22"/>
        </w:rPr>
        <w:t xml:space="preserve">. For typical WC-qualified nations the fan increment represents approximately </w:t>
      </w:r>
      <m:oMath>
        <m:r>
          <m:rPr>
            <m:sty m:val="p"/>
          </m:rPr>
          <w:rPr>
            <w:rFonts w:ascii="Cambria Math" w:hAnsi="Cambria Math" w:cs="Arial"/>
            <w:sz w:val="22"/>
            <w:szCs w:val="22"/>
          </w:rPr>
          <m:t>(</m:t>
        </m:r>
        <m:r>
          <w:rPr>
            <w:rFonts w:ascii="Cambria Math" w:hAnsi="Cambria Math" w:cs="Arial"/>
            <w:sz w:val="22"/>
            <w:szCs w:val="22"/>
          </w:rPr>
          <m:t>1.174</m:t>
        </m:r>
        <m:r>
          <m:rPr>
            <m:sty m:val="p"/>
          </m:rPr>
          <w:rPr>
            <w:rFonts w:ascii="Cambria Math" w:hAnsi="Cambria Math" w:cs="Arial"/>
            <w:sz w:val="22"/>
            <w:szCs w:val="22"/>
          </w:rPr>
          <m:t>-</m:t>
        </m:r>
        <m:r>
          <w:rPr>
            <w:rFonts w:ascii="Cambria Math" w:hAnsi="Cambria Math" w:cs="Arial"/>
            <w:sz w:val="22"/>
            <w:szCs w:val="22"/>
          </w:rPr>
          <m:t>1.077</m:t>
        </m:r>
        <m:r>
          <m:rPr>
            <m:sty m:val="p"/>
          </m:rPr>
          <w:rPr>
            <w:rFonts w:ascii="Cambria Math" w:hAnsi="Cambria Math" w:cs="Arial"/>
            <w:sz w:val="22"/>
            <w:szCs w:val="22"/>
          </w:rPr>
          <m:t>)/</m:t>
        </m:r>
        <m:r>
          <w:rPr>
            <w:rFonts w:ascii="Cambria Math" w:hAnsi="Cambria Math" w:cs="Arial"/>
            <w:sz w:val="22"/>
            <w:szCs w:val="22"/>
          </w:rPr>
          <m:t>1.174</m:t>
        </m:r>
        <m:r>
          <m:rPr>
            <m:sty m:val="p"/>
          </m:rPr>
          <w:rPr>
            <w:rFonts w:ascii="Cambria Math" w:hAnsi="Cambria Math" w:cs="Arial"/>
            <w:sz w:val="22"/>
            <w:szCs w:val="22"/>
          </w:rPr>
          <m:t>≈</m:t>
        </m:r>
        <m:r>
          <w:rPr>
            <w:rFonts w:ascii="Cambria Math" w:hAnsi="Cambria Math" w:cs="Arial"/>
            <w:sz w:val="22"/>
            <w:szCs w:val="22"/>
          </w:rPr>
          <m:t>8.3</m:t>
        </m:r>
        <m:r>
          <m:rPr>
            <m:sty m:val="p"/>
          </m:rPr>
          <w:rPr>
            <w:rFonts w:ascii="Cambria Math" w:hAnsi="Cambria Math" w:cs="Arial"/>
            <w:sz w:val="22"/>
            <w:szCs w:val="22"/>
          </w:rPr>
          <m:t>%</m:t>
        </m:r>
      </m:oMath>
      <w:r w:rsidRPr="0007255D">
        <w:rPr>
          <w:rFonts w:ascii="Arial" w:hAnsi="Arial" w:cs="Arial"/>
          <w:sz w:val="22"/>
          <w:szCs w:val="22"/>
        </w:rPr>
        <w:t xml:space="preserve"> of total projected 2026 arrivals.</w:t>
      </w:r>
      <w:bookmarkStart w:id="7" w:name="a.6-travel-flow-n_cv-by-model-tier"/>
      <w:bookmarkEnd w:id="6"/>
    </w:p>
    <w:p w14:paraId="45F4E6E8" w14:textId="77777777" w:rsidR="00182D80" w:rsidRPr="0007255D" w:rsidRDefault="00182D80" w:rsidP="00182D80">
      <w:pPr>
        <w:pStyle w:val="FirstParagraph"/>
        <w:rPr>
          <w:rFonts w:ascii="Arial" w:hAnsi="Arial" w:cs="Arial"/>
          <w:b/>
          <w:bCs/>
          <w:sz w:val="22"/>
          <w:szCs w:val="22"/>
        </w:rPr>
      </w:pPr>
      <w:r w:rsidRPr="0007255D">
        <w:rPr>
          <w:rFonts w:ascii="Arial" w:hAnsi="Arial" w:cs="Arial"/>
          <w:b/>
          <w:bCs/>
          <w:sz w:val="22"/>
          <w:szCs w:val="22"/>
        </w:rPr>
        <w:t xml:space="preserve">A.6 Travel flow </w:t>
      </w:r>
      <m:oMath>
        <m:sSub>
          <m:sSubPr>
            <m:ctrlPr>
              <w:rPr>
                <w:rFonts w:ascii="Cambria Math" w:hAnsi="Cambria Math" w:cs="Arial"/>
                <w:b/>
                <w:bCs/>
                <w:sz w:val="22"/>
                <w:szCs w:val="22"/>
              </w:rPr>
            </m:ctrlPr>
          </m:sSubPr>
          <m:e>
            <m:r>
              <m:rPr>
                <m:sty m:val="bi"/>
              </m:rPr>
              <w:rPr>
                <w:rFonts w:ascii="Cambria Math" w:hAnsi="Cambria Math" w:cs="Arial"/>
                <w:sz w:val="22"/>
                <w:szCs w:val="22"/>
              </w:rPr>
              <m:t>N</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Sub>
      </m:oMath>
      <w:r w:rsidRPr="0007255D">
        <w:rPr>
          <w:rFonts w:ascii="Arial" w:hAnsi="Arial" w:cs="Arial"/>
          <w:b/>
          <w:bCs/>
          <w:sz w:val="22"/>
          <w:szCs w:val="22"/>
        </w:rPr>
        <w:t xml:space="preserve"> by model tier</w:t>
      </w:r>
      <w:bookmarkStart w:id="8" w:name="m1-baseline."/>
    </w:p>
    <w:p w14:paraId="5F4B3616" w14:textId="77777777" w:rsidR="00182D80" w:rsidRPr="0007255D" w:rsidRDefault="00182D80" w:rsidP="00182D80">
      <w:pPr>
        <w:pStyle w:val="FirstParagraph"/>
        <w:rPr>
          <w:rFonts w:ascii="Arial" w:hAnsi="Arial" w:cs="Arial"/>
          <w:b/>
          <w:bCs/>
          <w:sz w:val="22"/>
          <w:szCs w:val="22"/>
        </w:rPr>
      </w:pPr>
      <w:r w:rsidRPr="0007255D">
        <w:rPr>
          <w:rFonts w:ascii="Arial" w:hAnsi="Arial" w:cs="Arial"/>
          <w:b/>
          <w:bCs/>
          <w:sz w:val="22"/>
          <w:szCs w:val="22"/>
        </w:rPr>
        <w:lastRenderedPageBreak/>
        <w:t>M1 — Baseline.</w:t>
      </w:r>
    </w:p>
    <w:p w14:paraId="6366C1BB"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Raw June 2024 arrivals distributed by T-100 routing fractions; no growth factor applied.</w:t>
      </w:r>
    </w:p>
    <w:p w14:paraId="782317AB" w14:textId="77777777" w:rsidR="00182D80" w:rsidRPr="0007255D" w:rsidRDefault="00000000" w:rsidP="00182D80">
      <w:pPr>
        <w:pStyle w:val="BodyText"/>
        <w:rPr>
          <w:rFonts w:ascii="Arial" w:hAnsi="Arial" w:cs="Arial"/>
          <w:sz w:val="22"/>
          <w:szCs w:val="22"/>
        </w:rPr>
      </w:pPr>
      <m:oMathPara>
        <m:oMath>
          <m:borderBox>
            <m:borderBoxPr>
              <m:ctrlPr>
                <w:rPr>
                  <w:rFonts w:ascii="Cambria Math" w:hAnsi="Cambria Math" w:cs="Arial"/>
                  <w:sz w:val="22"/>
                  <w:szCs w:val="22"/>
                </w:rPr>
              </m:ctrlPr>
            </m:borderBoxPr>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M1</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e>
          </m:borderBox>
        </m:oMath>
      </m:oMathPara>
      <w:bookmarkStart w:id="9" w:name="m2-wc-adjusted."/>
      <w:bookmarkEnd w:id="8"/>
    </w:p>
    <w:p w14:paraId="754FFB2C" w14:textId="77777777" w:rsidR="00182D80" w:rsidRPr="0007255D" w:rsidRDefault="00182D80" w:rsidP="00182D80">
      <w:pPr>
        <w:pStyle w:val="BodyText"/>
        <w:rPr>
          <w:rFonts w:ascii="Arial" w:hAnsi="Arial" w:cs="Arial"/>
          <w:b/>
          <w:bCs/>
          <w:sz w:val="22"/>
          <w:szCs w:val="22"/>
        </w:rPr>
      </w:pPr>
      <w:r w:rsidRPr="0007255D">
        <w:rPr>
          <w:rFonts w:ascii="Arial" w:hAnsi="Arial" w:cs="Arial"/>
          <w:b/>
          <w:bCs/>
          <w:sz w:val="22"/>
          <w:szCs w:val="22"/>
        </w:rPr>
        <w:t>M2 — WC-adjusted.</w:t>
      </w:r>
    </w:p>
    <w:p w14:paraId="1863B129"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Projected 2026 arrivals (incorporating the full growth factor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oMath>
      <w:r w:rsidRPr="0007255D">
        <w:rPr>
          <w:rFonts w:ascii="Arial" w:hAnsi="Arial" w:cs="Arial"/>
          <w:sz w:val="22"/>
          <w:szCs w:val="22"/>
        </w:rPr>
        <w:t>) distributed by T-100 routing fractions. All WC fan travel is assigned to US cities regardless of whether matches are played in Canada or Mexico.</w:t>
      </w:r>
    </w:p>
    <w:p w14:paraId="43903435" w14:textId="77777777" w:rsidR="00182D80" w:rsidRPr="0007255D" w:rsidRDefault="00000000" w:rsidP="00182D80">
      <w:pPr>
        <w:pStyle w:val="BodyText"/>
        <w:rPr>
          <w:rFonts w:ascii="Arial" w:hAnsi="Arial" w:cs="Arial"/>
          <w:sz w:val="22"/>
          <w:szCs w:val="22"/>
        </w:rPr>
      </w:pPr>
      <m:oMathPara>
        <m:oMath>
          <m:borderBox>
            <m:borderBoxPr>
              <m:ctrlPr>
                <w:rPr>
                  <w:rFonts w:ascii="Cambria Math" w:hAnsi="Cambria Math" w:cs="Arial"/>
                  <w:sz w:val="22"/>
                  <w:szCs w:val="22"/>
                </w:rPr>
              </m:ctrlPr>
            </m:borderBoxPr>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M2</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e>
          </m:borderBox>
        </m:oMath>
      </m:oMathPara>
      <w:bookmarkStart w:id="10" w:name="m3-schedule-driven."/>
      <w:bookmarkEnd w:id="9"/>
    </w:p>
    <w:p w14:paraId="0E2FA595" w14:textId="77777777" w:rsidR="00182D80" w:rsidRPr="0007255D" w:rsidRDefault="00182D80" w:rsidP="00182D80">
      <w:pPr>
        <w:pStyle w:val="BodyText"/>
        <w:rPr>
          <w:rFonts w:ascii="Arial" w:hAnsi="Arial" w:cs="Arial"/>
          <w:b/>
          <w:bCs/>
          <w:sz w:val="22"/>
          <w:szCs w:val="22"/>
        </w:rPr>
      </w:pPr>
      <w:r w:rsidRPr="0007255D">
        <w:rPr>
          <w:rFonts w:ascii="Arial" w:hAnsi="Arial" w:cs="Arial"/>
          <w:b/>
          <w:bCs/>
          <w:sz w:val="22"/>
          <w:szCs w:val="22"/>
        </w:rPr>
        <w:t>M3 — Schedule-driven.</w:t>
      </w:r>
    </w:p>
    <w:p w14:paraId="54EFEDD0"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The background stream is T-100 routed; the WC fan stream is routed by the match schedule:</w:t>
      </w:r>
    </w:p>
    <w:p w14:paraId="1383369B" w14:textId="77777777" w:rsidR="00182D80" w:rsidRPr="0007255D" w:rsidRDefault="00000000" w:rsidP="00182D80">
      <w:pPr>
        <w:pStyle w:val="BodyText"/>
        <w:rPr>
          <w:rFonts w:ascii="Arial" w:hAnsi="Arial" w:cs="Arial"/>
          <w:sz w:val="22"/>
          <w:szCs w:val="22"/>
        </w:rPr>
      </w:pPr>
      <m:oMathPara>
        <m:oMathParaPr>
          <m:jc m:val="center"/>
        </m:oMathParaPr>
        <m:oMath>
          <m:borderBox>
            <m:borderBoxPr>
              <m:ctrlPr>
                <w:rPr>
                  <w:rFonts w:ascii="Cambria Math" w:hAnsi="Cambria Math" w:cs="Arial"/>
                  <w:sz w:val="22"/>
                  <w:szCs w:val="22"/>
                </w:rPr>
              </m:ctrlPr>
            </m:borderBoxPr>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M3</m:t>
                  </m:r>
                </m:sup>
              </m:sSubSup>
              <m:r>
                <m:rPr>
                  <m:sty m:val="p"/>
                </m:rPr>
                <w:rPr>
                  <w:rFonts w:ascii="Cambria Math" w:hAnsi="Cambria Math" w:cs="Arial"/>
                  <w:sz w:val="22"/>
                  <w:szCs w:val="22"/>
                </w:rPr>
                <m:t>=</m:t>
              </m:r>
              <m:limLow>
                <m:limLowPr>
                  <m:ctrlPr>
                    <w:rPr>
                      <w:rFonts w:ascii="Cambria Math" w:hAnsi="Cambria Math" w:cs="Arial"/>
                      <w:sz w:val="22"/>
                      <w:szCs w:val="22"/>
                    </w:rPr>
                  </m:ctrlPr>
                </m:limLowPr>
                <m:e>
                  <m:limLow>
                    <m:limLowPr>
                      <m:ctrlPr>
                        <w:rPr>
                          <w:rFonts w:ascii="Cambria Math" w:hAnsi="Cambria Math" w:cs="Arial"/>
                          <w:sz w:val="22"/>
                          <w:szCs w:val="22"/>
                        </w:rPr>
                      </m:ctrlPr>
                    </m:limLowPr>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bg</m:t>
                          </m:r>
                        </m:sup>
                      </m:sSubSup>
                      <m:r>
                        <m:rPr>
                          <m:sty m:val="p"/>
                        </m:rP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e>
                    <m:lim>
                      <m:r>
                        <m:rPr>
                          <m:sty m:val="p"/>
                        </m:rPr>
                        <w:rPr>
                          <w:rFonts w:ascii="Cambria Math" w:hAnsi="Cambria Math" w:cs="Arial"/>
                          <w:sz w:val="22"/>
                          <w:szCs w:val="22"/>
                        </w:rPr>
                        <m:t>⏟</m:t>
                      </m:r>
                    </m:lim>
                  </m:limLow>
                </m:e>
                <m:lim>
                  <m:r>
                    <m:rPr>
                      <m:nor/>
                    </m:rPr>
                    <w:rPr>
                      <w:rFonts w:ascii="Arial" w:hAnsi="Arial" w:cs="Arial"/>
                      <w:sz w:val="22"/>
                      <w:szCs w:val="22"/>
                    </w:rPr>
                    <m:t>background stream</m:t>
                  </m:r>
                </m:lim>
              </m:limLow>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m:t>
              </m:r>
              <m:limLow>
                <m:limLowPr>
                  <m:ctrlPr>
                    <w:rPr>
                      <w:rFonts w:ascii="Cambria Math" w:hAnsi="Cambria Math" w:cs="Arial"/>
                      <w:sz w:val="22"/>
                      <w:szCs w:val="22"/>
                    </w:rPr>
                  </m:ctrlPr>
                </m:limLowPr>
                <m:e>
                  <m:limLow>
                    <m:limLowPr>
                      <m:ctrlPr>
                        <w:rPr>
                          <w:rFonts w:ascii="Cambria Math" w:hAnsi="Cambria Math" w:cs="Arial"/>
                          <w:sz w:val="22"/>
                          <w:szCs w:val="22"/>
                        </w:rPr>
                      </m:ctrlPr>
                    </m:limLowPr>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WC</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e>
                    <m:lim>
                      <m:r>
                        <m:rPr>
                          <m:sty m:val="p"/>
                        </m:rPr>
                        <w:rPr>
                          <w:rFonts w:ascii="Cambria Math" w:hAnsi="Cambria Math" w:cs="Arial"/>
                          <w:sz w:val="22"/>
                          <w:szCs w:val="22"/>
                        </w:rPr>
                        <m:t>⏟</m:t>
                      </m:r>
                    </m:lim>
                  </m:limLow>
                </m:e>
                <m:lim>
                  <m:r>
                    <m:rPr>
                      <m:nor/>
                    </m:rPr>
                    <w:rPr>
                      <w:rFonts w:ascii="Arial" w:hAnsi="Arial" w:cs="Arial"/>
                      <w:sz w:val="22"/>
                      <w:szCs w:val="22"/>
                    </w:rPr>
                    <m:t>WC fan stream</m:t>
                  </m:r>
                </m:lim>
              </m:limLow>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d>
                <m:dPr>
                  <m:begChr m:val="["/>
                  <m:endChr m:val="]"/>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e>
              </m:d>
            </m:e>
          </m:borderBox>
        </m:oMath>
      </m:oMathPara>
    </w:p>
    <w:p w14:paraId="2BD29D52"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For non-qualified nations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oMath>
      <w:r w:rsidRPr="0007255D">
        <w:rPr>
          <w:rFonts w:ascii="Arial" w:hAnsi="Arial" w:cs="Arial"/>
          <w:sz w:val="22"/>
          <w:szCs w:val="22"/>
        </w:rPr>
        <w:t xml:space="preserve">, so the fan stream vanishes and </w:t>
      </w:r>
      <m:oMath>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M3</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oMath>
      <w:r w:rsidRPr="0007255D">
        <w:rPr>
          <w:rFonts w:ascii="Arial" w:hAnsi="Arial" w:cs="Arial"/>
          <w:sz w:val="22"/>
          <w:szCs w:val="22"/>
        </w:rPr>
        <w:t>.</w:t>
      </w:r>
      <w:bookmarkStart w:id="11" w:name="a.7-why-n_cvm3-leq-n_cvm2-for-us-cities"/>
      <w:bookmarkEnd w:id="7"/>
      <w:bookmarkEnd w:id="10"/>
    </w:p>
    <w:p w14:paraId="49EA116E" w14:textId="77777777" w:rsidR="00182D80" w:rsidRPr="0007255D" w:rsidRDefault="00182D80" w:rsidP="00182D80">
      <w:pPr>
        <w:pStyle w:val="FirstParagraph"/>
        <w:rPr>
          <w:rFonts w:ascii="Arial" w:hAnsi="Arial" w:cs="Arial"/>
          <w:b/>
          <w:bCs/>
          <w:sz w:val="22"/>
          <w:szCs w:val="22"/>
        </w:rPr>
      </w:pPr>
      <w:r w:rsidRPr="0007255D">
        <w:rPr>
          <w:rFonts w:ascii="Arial" w:hAnsi="Arial" w:cs="Arial"/>
          <w:b/>
          <w:bCs/>
          <w:sz w:val="22"/>
          <w:szCs w:val="22"/>
        </w:rPr>
        <w:t xml:space="preserve">A.7 Why </w:t>
      </w:r>
      <m:oMath>
        <m:sSubSup>
          <m:sSubSupPr>
            <m:ctrlPr>
              <w:rPr>
                <w:rFonts w:ascii="Cambria Math" w:hAnsi="Cambria Math" w:cs="Arial"/>
                <w:b/>
                <w:bCs/>
                <w:sz w:val="22"/>
                <w:szCs w:val="22"/>
              </w:rPr>
            </m:ctrlPr>
          </m:sSubSupPr>
          <m:e>
            <m:r>
              <m:rPr>
                <m:sty m:val="bi"/>
              </m:rPr>
              <w:rPr>
                <w:rFonts w:ascii="Cambria Math" w:hAnsi="Cambria Math" w:cs="Arial"/>
                <w:sz w:val="22"/>
                <w:szCs w:val="22"/>
              </w:rPr>
              <m:t>N</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up>
            <m:r>
              <m:rPr>
                <m:sty m:val="bi"/>
              </m:rPr>
              <w:rPr>
                <w:rFonts w:ascii="Cambria Math" w:hAnsi="Cambria Math" w:cs="Arial"/>
                <w:sz w:val="22"/>
                <w:szCs w:val="22"/>
              </w:rPr>
              <m:t>M</m:t>
            </m:r>
            <m:r>
              <m:rPr>
                <m:sty m:val="bi"/>
              </m:rPr>
              <w:rPr>
                <w:rFonts w:ascii="Cambria Math" w:hAnsi="Cambria Math" w:cs="Arial"/>
                <w:sz w:val="22"/>
                <w:szCs w:val="22"/>
              </w:rPr>
              <m:t>3</m:t>
            </m:r>
          </m:sup>
        </m:sSubSup>
        <m:r>
          <m:rPr>
            <m:sty m:val="b"/>
          </m:rPr>
          <w:rPr>
            <w:rFonts w:ascii="Cambria Math" w:hAnsi="Cambria Math" w:cs="Arial"/>
            <w:sz w:val="22"/>
            <w:szCs w:val="22"/>
          </w:rPr>
          <m:t>≤</m:t>
        </m:r>
        <m:sSubSup>
          <m:sSubSupPr>
            <m:ctrlPr>
              <w:rPr>
                <w:rFonts w:ascii="Cambria Math" w:hAnsi="Cambria Math" w:cs="Arial"/>
                <w:b/>
                <w:bCs/>
                <w:sz w:val="22"/>
                <w:szCs w:val="22"/>
              </w:rPr>
            </m:ctrlPr>
          </m:sSubSupPr>
          <m:e>
            <m:r>
              <m:rPr>
                <m:sty m:val="bi"/>
              </m:rPr>
              <w:rPr>
                <w:rFonts w:ascii="Cambria Math" w:hAnsi="Cambria Math" w:cs="Arial"/>
                <w:sz w:val="22"/>
                <w:szCs w:val="22"/>
              </w:rPr>
              <m:t>N</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up>
            <m:r>
              <m:rPr>
                <m:sty m:val="bi"/>
              </m:rPr>
              <w:rPr>
                <w:rFonts w:ascii="Cambria Math" w:hAnsi="Cambria Math" w:cs="Arial"/>
                <w:sz w:val="22"/>
                <w:szCs w:val="22"/>
              </w:rPr>
              <m:t>M</m:t>
            </m:r>
            <m:r>
              <m:rPr>
                <m:sty m:val="bi"/>
              </m:rPr>
              <w:rPr>
                <w:rFonts w:ascii="Cambria Math" w:hAnsi="Cambria Math" w:cs="Arial"/>
                <w:sz w:val="22"/>
                <w:szCs w:val="22"/>
              </w:rPr>
              <m:t>2</m:t>
            </m:r>
          </m:sup>
        </m:sSubSup>
      </m:oMath>
      <w:r w:rsidRPr="0007255D">
        <w:rPr>
          <w:rFonts w:ascii="Arial" w:hAnsi="Arial" w:cs="Arial"/>
          <w:b/>
          <w:bCs/>
          <w:sz w:val="22"/>
          <w:szCs w:val="22"/>
        </w:rPr>
        <w:t xml:space="preserve"> for US cities</w:t>
      </w:r>
    </w:p>
    <w:p w14:paraId="33AB7D1B"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M2 routes the entire WC increment </w:t>
      </w:r>
      <m:oMath>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oMath>
      <w:r w:rsidRPr="0007255D">
        <w:rPr>
          <w:rFonts w:ascii="Arial" w:hAnsi="Arial" w:cs="Arial"/>
          <w:sz w:val="22"/>
          <w:szCs w:val="22"/>
        </w:rPr>
        <w:t xml:space="preserve"> through T-100 fractions, which sum to 1 over US cities. M3 routes the same increment through schedule fractions, which sum to </w:t>
      </w:r>
      <m:oMath>
        <m:r>
          <m:rPr>
            <m:sty m:val="p"/>
          </m:rPr>
          <w:rPr>
            <w:rFonts w:ascii="Cambria Math" w:hAnsi="Cambria Math" w:cs="Arial"/>
            <w:sz w:val="22"/>
            <w:szCs w:val="22"/>
          </w:rPr>
          <m:t>≤</m:t>
        </m:r>
        <m:r>
          <w:rPr>
            <w:rFonts w:ascii="Cambria Math" w:hAnsi="Cambria Math" w:cs="Arial"/>
            <w:sz w:val="22"/>
            <w:szCs w:val="22"/>
          </w:rPr>
          <m:t>1</m:t>
        </m:r>
      </m:oMath>
      <w:r w:rsidRPr="0007255D">
        <w:rPr>
          <w:rFonts w:ascii="Arial" w:hAnsi="Arial" w:cs="Arial"/>
          <w:sz w:val="22"/>
          <w:szCs w:val="22"/>
        </w:rPr>
        <w:t xml:space="preserve"> over US cities (strictly </w:t>
      </w:r>
      <m:oMath>
        <m:r>
          <m:rPr>
            <m:sty m:val="p"/>
          </m:rPr>
          <w:rPr>
            <w:rFonts w:ascii="Cambria Math" w:hAnsi="Cambria Math" w:cs="Arial"/>
            <w:sz w:val="22"/>
            <w:szCs w:val="22"/>
          </w:rPr>
          <m:t>&lt;</m:t>
        </m:r>
        <m:r>
          <w:rPr>
            <w:rFonts w:ascii="Cambria Math" w:hAnsi="Cambria Math" w:cs="Arial"/>
            <w:sz w:val="22"/>
            <w:szCs w:val="22"/>
          </w:rPr>
          <m:t>1</m:t>
        </m:r>
      </m:oMath>
      <w:r w:rsidRPr="0007255D">
        <w:rPr>
          <w:rFonts w:ascii="Arial" w:hAnsi="Arial" w:cs="Arial"/>
          <w:sz w:val="22"/>
          <w:szCs w:val="22"/>
        </w:rPr>
        <w:t xml:space="preserve"> whenever country </w:t>
      </w:r>
      <m:oMath>
        <m:r>
          <w:rPr>
            <w:rFonts w:ascii="Cambria Math" w:hAnsi="Cambria Math" w:cs="Arial"/>
            <w:sz w:val="22"/>
            <w:szCs w:val="22"/>
          </w:rPr>
          <m:t>c</m:t>
        </m:r>
      </m:oMath>
      <w:r w:rsidRPr="0007255D">
        <w:rPr>
          <w:rFonts w:ascii="Arial" w:hAnsi="Arial" w:cs="Arial"/>
          <w:sz w:val="22"/>
          <w:szCs w:val="22"/>
        </w:rPr>
        <w:t xml:space="preserve"> plays matches in Canada or Mexico). Therefore:</w:t>
      </w:r>
    </w:p>
    <w:p w14:paraId="54EB4DF9" w14:textId="77777777" w:rsidR="00182D80" w:rsidRPr="0007255D" w:rsidRDefault="00000000" w:rsidP="00182D80">
      <w:pPr>
        <w:pStyle w:val="BodyText"/>
        <w:rPr>
          <w:rFonts w:ascii="Arial" w:hAnsi="Arial" w:cs="Arial"/>
          <w:sz w:val="22"/>
          <w:szCs w:val="22"/>
        </w:rPr>
      </w:pPr>
      <m:oMathPara>
        <m:oMathParaPr>
          <m:jc m:val="center"/>
        </m:oMathParaPr>
        <m:oMath>
          <m:nary>
            <m:naryPr>
              <m:chr m:val="∑"/>
              <m:limLoc m:val="undOvr"/>
              <m:supHide m:val="1"/>
              <m:ctrlPr>
                <w:rPr>
                  <w:rFonts w:ascii="Cambria Math" w:hAnsi="Cambria Math" w:cs="Arial"/>
                  <w:sz w:val="22"/>
                  <w:szCs w:val="22"/>
                </w:rPr>
              </m:ctrlPr>
            </m:naryPr>
            <m:sub>
              <m:r>
                <w:rPr>
                  <w:rFonts w:ascii="Cambria Math" w:hAnsi="Cambria Math" w:cs="Arial"/>
                  <w:sz w:val="22"/>
                  <w:szCs w:val="22"/>
                </w:rPr>
                <m:t>v</m:t>
              </m:r>
            </m:sub>
            <m:sup/>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M3</m:t>
                  </m:r>
                </m:sup>
              </m:sSubSup>
            </m:e>
          </m:nary>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d>
            <m:dPr>
              <m:begChr m:val="["/>
              <m:endChr m:val="]"/>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limLow>
                <m:limLowPr>
                  <m:ctrlPr>
                    <w:rPr>
                      <w:rFonts w:ascii="Cambria Math" w:hAnsi="Cambria Math" w:cs="Arial"/>
                      <w:sz w:val="22"/>
                      <w:szCs w:val="22"/>
                    </w:rPr>
                  </m:ctrlPr>
                </m:limLowPr>
                <m:e>
                  <m:limLow>
                    <m:limLowPr>
                      <m:ctrlPr>
                        <w:rPr>
                          <w:rFonts w:ascii="Cambria Math" w:hAnsi="Cambria Math" w:cs="Arial"/>
                          <w:sz w:val="22"/>
                          <w:szCs w:val="22"/>
                        </w:rPr>
                      </m:ctrlPr>
                    </m:limLowPr>
                    <m:e>
                      <m:nary>
                        <m:naryPr>
                          <m:chr m:val="∑"/>
                          <m:limLoc m:val="undOvr"/>
                          <m:supHide m:val="1"/>
                          <m:ctrlPr>
                            <w:rPr>
                              <w:rFonts w:ascii="Cambria Math" w:hAnsi="Cambria Math" w:cs="Arial"/>
                              <w:sz w:val="22"/>
                              <w:szCs w:val="22"/>
                            </w:rPr>
                          </m:ctrlPr>
                        </m:naryPr>
                        <m:sub>
                          <m:r>
                            <w:rPr>
                              <w:rFonts w:ascii="Cambria Math" w:hAnsi="Cambria Math" w:cs="Arial"/>
                              <w:sz w:val="22"/>
                              <w:szCs w:val="22"/>
                            </w:rPr>
                            <m:t>v</m:t>
                          </m:r>
                        </m:sub>
                        <m:sup/>
                        <m:e>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e>
                      </m:nary>
                    </m:e>
                    <m:lim>
                      <m:r>
                        <m:rPr>
                          <m:sty m:val="p"/>
                        </m:rPr>
                        <w:rPr>
                          <w:rFonts w:ascii="Cambria Math" w:hAnsi="Cambria Math" w:cs="Arial"/>
                          <w:sz w:val="22"/>
                          <w:szCs w:val="22"/>
                        </w:rPr>
                        <m:t>⏟</m:t>
                      </m:r>
                    </m:lim>
                  </m:limLow>
                </m:e>
                <m:lim>
                  <m:r>
                    <m:rPr>
                      <m:sty m:val="p"/>
                    </m:rPr>
                    <w:rPr>
                      <w:rFonts w:ascii="Cambria Math" w:hAnsi="Cambria Math" w:cs="Arial"/>
                      <w:sz w:val="22"/>
                      <w:szCs w:val="22"/>
                    </w:rPr>
                    <m:t>=</m:t>
                  </m:r>
                  <m:r>
                    <w:rPr>
                      <w:rFonts w:ascii="Cambria Math" w:hAnsi="Cambria Math" w:cs="Arial"/>
                      <w:sz w:val="22"/>
                      <w:szCs w:val="22"/>
                    </w:rPr>
                    <m:t>1</m:t>
                  </m:r>
                </m:lim>
              </m:limLow>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limLow>
                <m:limLowPr>
                  <m:ctrlPr>
                    <w:rPr>
                      <w:rFonts w:ascii="Cambria Math" w:hAnsi="Cambria Math" w:cs="Arial"/>
                      <w:sz w:val="22"/>
                      <w:szCs w:val="22"/>
                    </w:rPr>
                  </m:ctrlPr>
                </m:limLowPr>
                <m:e>
                  <m:limLow>
                    <m:limLowPr>
                      <m:ctrlPr>
                        <w:rPr>
                          <w:rFonts w:ascii="Cambria Math" w:hAnsi="Cambria Math" w:cs="Arial"/>
                          <w:sz w:val="22"/>
                          <w:szCs w:val="22"/>
                        </w:rPr>
                      </m:ctrlPr>
                    </m:limLowPr>
                    <m:e>
                      <m:nary>
                        <m:naryPr>
                          <m:chr m:val="∑"/>
                          <m:limLoc m:val="undOvr"/>
                          <m:supHide m:val="1"/>
                          <m:ctrlPr>
                            <w:rPr>
                              <w:rFonts w:ascii="Cambria Math" w:hAnsi="Cambria Math" w:cs="Arial"/>
                              <w:sz w:val="22"/>
                              <w:szCs w:val="22"/>
                            </w:rPr>
                          </m:ctrlPr>
                        </m:naryPr>
                        <m:sub>
                          <m:r>
                            <w:rPr>
                              <w:rFonts w:ascii="Cambria Math" w:hAnsi="Cambria Math" w:cs="Arial"/>
                              <w:sz w:val="22"/>
                              <w:szCs w:val="22"/>
                            </w:rPr>
                            <m:t>v</m:t>
                          </m:r>
                        </m:sub>
                        <m:sup/>
                        <m:e>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e>
                      </m:nary>
                    </m:e>
                    <m:lim>
                      <m:r>
                        <m:rPr>
                          <m:sty m:val="p"/>
                        </m:rPr>
                        <w:rPr>
                          <w:rFonts w:ascii="Cambria Math" w:hAnsi="Cambria Math" w:cs="Arial"/>
                          <w:sz w:val="22"/>
                          <w:szCs w:val="22"/>
                        </w:rPr>
                        <m:t>⏟</m:t>
                      </m:r>
                    </m:lim>
                  </m:limLow>
                </m:e>
                <m:lim>
                  <m:r>
                    <m:rPr>
                      <m:sty m:val="p"/>
                    </m:rPr>
                    <w:rPr>
                      <w:rFonts w:ascii="Cambria Math" w:hAnsi="Cambria Math" w:cs="Arial"/>
                      <w:sz w:val="22"/>
                      <w:szCs w:val="22"/>
                    </w:rPr>
                    <m:t>≤</m:t>
                  </m:r>
                  <m:r>
                    <w:rPr>
                      <w:rFonts w:ascii="Cambria Math" w:hAnsi="Cambria Math" w:cs="Arial"/>
                      <w:sz w:val="22"/>
                      <w:szCs w:val="22"/>
                    </w:rPr>
                    <m:t>1</m:t>
                  </m:r>
                </m:lim>
              </m:limLow>
            </m:e>
          </m:d>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nary>
            <m:naryPr>
              <m:chr m:val="∑"/>
              <m:limLoc m:val="undOvr"/>
              <m:supHide m:val="1"/>
              <m:ctrlPr>
                <w:rPr>
                  <w:rFonts w:ascii="Cambria Math" w:hAnsi="Cambria Math" w:cs="Arial"/>
                  <w:sz w:val="22"/>
                  <w:szCs w:val="22"/>
                </w:rPr>
              </m:ctrlPr>
            </m:naryPr>
            <m:sub>
              <m:r>
                <w:rPr>
                  <w:rFonts w:ascii="Cambria Math" w:hAnsi="Cambria Math" w:cs="Arial"/>
                  <w:sz w:val="22"/>
                  <w:szCs w:val="22"/>
                </w:rPr>
                <m:t>v</m:t>
              </m:r>
            </m:sub>
            <m:sup/>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M2</m:t>
                  </m:r>
                </m:sup>
              </m:sSubSup>
            </m:e>
          </m:nary>
        </m:oMath>
      </m:oMathPara>
    </w:p>
    <w:p w14:paraId="621B2924"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The gap equals the fan travel redirected to non-US WC venues (Canada, Mexico), which is why the M3 US-city total lies below M2 for all qualified nations with at least one non-US match. Importation probability heatmaps for M1 and M2 are shown in Supplementary Figures S1 and S2; these complement the M3 heatmap in Figure </w:t>
      </w:r>
      <w:hyperlink w:anchor="fig:heatmap">
        <w:r w:rsidRPr="0007255D">
          <w:rPr>
            <w:rStyle w:val="Hyperlink"/>
            <w:rFonts w:ascii="Arial" w:hAnsi="Arial" w:cs="Arial"/>
            <w:sz w:val="22"/>
            <w:szCs w:val="22"/>
          </w:rPr>
          <w:t>1</w:t>
        </w:r>
      </w:hyperlink>
      <w:r w:rsidRPr="0007255D">
        <w:rPr>
          <w:rFonts w:ascii="Arial" w:hAnsi="Arial" w:cs="Arial"/>
          <w:sz w:val="22"/>
          <w:szCs w:val="22"/>
        </w:rPr>
        <w:t xml:space="preserve"> and the three-model comparison in Figure </w:t>
      </w:r>
      <w:hyperlink w:anchor="fig:lambdaci">
        <w:r w:rsidRPr="0007255D">
          <w:rPr>
            <w:rStyle w:val="Hyperlink"/>
            <w:rFonts w:ascii="Arial" w:hAnsi="Arial" w:cs="Arial"/>
            <w:sz w:val="22"/>
            <w:szCs w:val="22"/>
          </w:rPr>
          <w:t>2</w:t>
        </w:r>
      </w:hyperlink>
      <w:r w:rsidRPr="0007255D">
        <w:rPr>
          <w:rFonts w:ascii="Arial" w:hAnsi="Arial" w:cs="Arial"/>
          <w:sz w:val="22"/>
          <w:szCs w:val="22"/>
        </w:rPr>
        <w:t>.</w:t>
      </w:r>
      <w:bookmarkStart w:id="12" w:name="X6a88062d990435d89a59e97767215353b9fef2e"/>
      <w:bookmarkEnd w:id="1"/>
      <w:bookmarkEnd w:id="11"/>
    </w:p>
    <w:p w14:paraId="47062232" w14:textId="77777777" w:rsidR="00182D80" w:rsidRPr="0007255D" w:rsidRDefault="00182D80" w:rsidP="00182D80">
      <w:pPr>
        <w:pStyle w:val="FirstParagraph"/>
        <w:rPr>
          <w:rFonts w:ascii="Arial" w:hAnsi="Arial" w:cs="Arial"/>
          <w:b/>
          <w:bCs/>
          <w:sz w:val="22"/>
          <w:szCs w:val="22"/>
        </w:rPr>
      </w:pPr>
      <w:r w:rsidRPr="0007255D">
        <w:rPr>
          <w:rFonts w:ascii="Arial" w:hAnsi="Arial" w:cs="Arial"/>
          <w:b/>
          <w:bCs/>
          <w:sz w:val="22"/>
          <w:szCs w:val="22"/>
        </w:rPr>
        <w:t>Appendix B. Mathematical specification of the diaspora network extension</w:t>
      </w:r>
      <w:bookmarkStart w:id="13" w:name="b.1-notation"/>
    </w:p>
    <w:p w14:paraId="515AA304" w14:textId="77777777" w:rsidR="00182D80" w:rsidRPr="0007255D" w:rsidRDefault="00182D80" w:rsidP="00182D80">
      <w:pPr>
        <w:pStyle w:val="FirstParagraph"/>
        <w:rPr>
          <w:rFonts w:ascii="Arial" w:hAnsi="Arial" w:cs="Arial"/>
          <w:b/>
          <w:bCs/>
          <w:sz w:val="22"/>
          <w:szCs w:val="22"/>
        </w:rPr>
      </w:pPr>
      <w:r w:rsidRPr="0007255D">
        <w:rPr>
          <w:rFonts w:ascii="Arial" w:hAnsi="Arial" w:cs="Arial"/>
          <w:b/>
          <w:bCs/>
          <w:sz w:val="22"/>
          <w:szCs w:val="22"/>
        </w:rPr>
        <w:t>B.1 Notation</w:t>
      </w:r>
    </w:p>
    <w:tbl>
      <w:tblPr>
        <w:tblStyle w:val="Table"/>
        <w:tblW w:w="0" w:type="auto"/>
        <w:tblLook w:val="0020" w:firstRow="1" w:lastRow="0" w:firstColumn="0" w:lastColumn="0" w:noHBand="0" w:noVBand="0"/>
      </w:tblPr>
      <w:tblGrid>
        <w:gridCol w:w="1196"/>
        <w:gridCol w:w="8164"/>
      </w:tblGrid>
      <w:tr w:rsidR="00182D80" w:rsidRPr="0007255D" w14:paraId="7737D510" w14:textId="77777777" w:rsidTr="005E3B61">
        <w:trPr>
          <w:cnfStyle w:val="100000000000" w:firstRow="1" w:lastRow="0" w:firstColumn="0" w:lastColumn="0" w:oddVBand="0" w:evenVBand="0" w:oddHBand="0" w:evenHBand="0" w:firstRowFirstColumn="0" w:firstRowLastColumn="0" w:lastRowFirstColumn="0" w:lastRowLastColumn="0"/>
          <w:tblHeader/>
        </w:trPr>
        <w:tc>
          <w:tcPr>
            <w:tcW w:w="0" w:type="auto"/>
          </w:tcPr>
          <w:p w14:paraId="1D2CBBE7" w14:textId="77777777" w:rsidR="00182D80" w:rsidRPr="0007255D" w:rsidRDefault="00182D80" w:rsidP="005E3B61">
            <w:pPr>
              <w:pStyle w:val="Compact"/>
              <w:rPr>
                <w:rFonts w:ascii="Arial" w:hAnsi="Arial" w:cs="Arial"/>
                <w:sz w:val="22"/>
                <w:szCs w:val="22"/>
              </w:rPr>
            </w:pPr>
            <w:r w:rsidRPr="0007255D">
              <w:rPr>
                <w:rFonts w:ascii="Arial" w:hAnsi="Arial" w:cs="Arial"/>
                <w:b/>
                <w:bCs/>
                <w:sz w:val="22"/>
                <w:szCs w:val="22"/>
              </w:rPr>
              <w:t>Symbol</w:t>
            </w:r>
          </w:p>
        </w:tc>
        <w:tc>
          <w:tcPr>
            <w:tcW w:w="0" w:type="auto"/>
          </w:tcPr>
          <w:p w14:paraId="58315286" w14:textId="77777777" w:rsidR="00182D80" w:rsidRPr="0007255D" w:rsidRDefault="00182D80" w:rsidP="005E3B61">
            <w:pPr>
              <w:pStyle w:val="Compact"/>
              <w:rPr>
                <w:rFonts w:ascii="Arial" w:hAnsi="Arial" w:cs="Arial"/>
                <w:sz w:val="22"/>
                <w:szCs w:val="22"/>
              </w:rPr>
            </w:pPr>
            <w:r w:rsidRPr="0007255D">
              <w:rPr>
                <w:rFonts w:ascii="Arial" w:hAnsi="Arial" w:cs="Arial"/>
                <w:b/>
                <w:bCs/>
                <w:sz w:val="22"/>
                <w:szCs w:val="22"/>
              </w:rPr>
              <w:t>Definition</w:t>
            </w:r>
          </w:p>
        </w:tc>
      </w:tr>
      <w:tr w:rsidR="00182D80" w:rsidRPr="0007255D" w14:paraId="6CA0FB52" w14:textId="77777777" w:rsidTr="005E3B61">
        <w:tc>
          <w:tcPr>
            <w:tcW w:w="0" w:type="auto"/>
          </w:tcPr>
          <w:p w14:paraId="33F5C6B7" w14:textId="77777777" w:rsidR="00182D80" w:rsidRPr="0007255D" w:rsidRDefault="00000000" w:rsidP="005E3B61">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D</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m:oMathPara>
          </w:p>
        </w:tc>
        <w:tc>
          <w:tcPr>
            <w:tcW w:w="0" w:type="auto"/>
          </w:tcPr>
          <w:p w14:paraId="76D536B7"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 xml:space="preserve">Number of US residents born in country </w:t>
            </w:r>
            <m:oMath>
              <m:r>
                <w:rPr>
                  <w:rFonts w:ascii="Cambria Math" w:hAnsi="Cambria Math" w:cs="Arial"/>
                  <w:sz w:val="22"/>
                  <w:szCs w:val="22"/>
                </w:rPr>
                <m:t>c</m:t>
              </m:r>
            </m:oMath>
            <w:r w:rsidRPr="0007255D">
              <w:rPr>
                <w:rFonts w:ascii="Arial" w:hAnsi="Arial" w:cs="Arial"/>
                <w:sz w:val="22"/>
                <w:szCs w:val="22"/>
              </w:rPr>
              <w:t xml:space="preserve"> living in metro area </w:t>
            </w:r>
            <m:oMath>
              <m:r>
                <w:rPr>
                  <w:rFonts w:ascii="Cambria Math" w:hAnsi="Cambria Math" w:cs="Arial"/>
                  <w:sz w:val="22"/>
                  <w:szCs w:val="22"/>
                </w:rPr>
                <m:t>v</m:t>
              </m:r>
            </m:oMath>
            <w:r w:rsidRPr="0007255D">
              <w:rPr>
                <w:rFonts w:ascii="Arial" w:hAnsi="Arial" w:cs="Arial"/>
                <w:sz w:val="22"/>
                <w:szCs w:val="22"/>
              </w:rPr>
              <w:t xml:space="preserve"> (ACS 5-year estimates 2019–2023, Table B05006)</w:t>
            </w:r>
          </w:p>
        </w:tc>
      </w:tr>
      <w:tr w:rsidR="00182D80" w:rsidRPr="0007255D" w14:paraId="23CECF66" w14:textId="77777777" w:rsidTr="005E3B61">
        <w:tc>
          <w:tcPr>
            <w:tcW w:w="0" w:type="auto"/>
          </w:tcPr>
          <w:p w14:paraId="76D667C1" w14:textId="77777777" w:rsidR="00182D80" w:rsidRPr="0007255D" w:rsidRDefault="00000000" w:rsidP="005E3B61">
            <w:pPr>
              <w:pStyle w:val="Compact"/>
              <w:rPr>
                <w:rFonts w:ascii="Arial" w:hAnsi="Arial" w:cs="Arial"/>
                <w:sz w:val="22"/>
                <w:szCs w:val="22"/>
              </w:rPr>
            </w:pPr>
            <m:oMathPara>
              <m:oMath>
                <m:sSub>
                  <m:sSubPr>
                    <m:ctrlPr>
                      <w:rPr>
                        <w:rFonts w:ascii="Cambria Math" w:hAnsi="Cambria Math" w:cs="Arial"/>
                        <w:sz w:val="22"/>
                        <w:szCs w:val="22"/>
                      </w:rPr>
                    </m:ctrlPr>
                  </m:sSubPr>
                  <m:e>
                    <m:r>
                      <m:rPr>
                        <m:sty m:val="p"/>
                      </m:rPr>
                      <w:rPr>
                        <w:rFonts w:ascii="Cambria Math" w:hAnsi="Cambria Math" w:cs="Arial"/>
                        <w:sz w:val="22"/>
                        <w:szCs w:val="22"/>
                      </w:rPr>
                      <m:t>FB</m:t>
                    </m:r>
                  </m:e>
                  <m:sub>
                    <m:r>
                      <w:rPr>
                        <w:rFonts w:ascii="Cambria Math" w:hAnsi="Cambria Math" w:cs="Arial"/>
                        <w:sz w:val="22"/>
                        <w:szCs w:val="22"/>
                      </w:rPr>
                      <m:t>v</m:t>
                    </m:r>
                  </m:sub>
                </m:sSub>
              </m:oMath>
            </m:oMathPara>
          </w:p>
        </w:tc>
        <w:tc>
          <w:tcPr>
            <w:tcW w:w="0" w:type="auto"/>
          </w:tcPr>
          <w:p w14:paraId="1A5757C5"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 xml:space="preserve">Total foreign-born population of metro area </w:t>
            </w:r>
            <m:oMath>
              <m:r>
                <w:rPr>
                  <w:rFonts w:ascii="Cambria Math" w:hAnsi="Cambria Math" w:cs="Arial"/>
                  <w:sz w:val="22"/>
                  <w:szCs w:val="22"/>
                </w:rPr>
                <m:t>v</m:t>
              </m:r>
            </m:oMath>
            <w:r w:rsidRPr="0007255D">
              <w:rPr>
                <w:rFonts w:ascii="Arial" w:hAnsi="Arial" w:cs="Arial"/>
                <w:sz w:val="22"/>
                <w:szCs w:val="22"/>
              </w:rPr>
              <w:t xml:space="preserve"> (row total of Table B05006)</w:t>
            </w:r>
          </w:p>
        </w:tc>
      </w:tr>
      <w:tr w:rsidR="00182D80" w:rsidRPr="0007255D" w14:paraId="1B758B3F" w14:textId="77777777" w:rsidTr="005E3B61">
        <w:tc>
          <w:tcPr>
            <w:tcW w:w="0" w:type="auto"/>
          </w:tcPr>
          <w:p w14:paraId="4FF743AF" w14:textId="77777777" w:rsidR="00182D80" w:rsidRPr="0007255D" w:rsidRDefault="00000000" w:rsidP="005E3B61">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m:oMathPara>
          </w:p>
        </w:tc>
        <w:tc>
          <w:tcPr>
            <w:tcW w:w="0" w:type="auto"/>
          </w:tcPr>
          <w:p w14:paraId="5BEC834A"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 xml:space="preserve">Diaspora concentration index: share of metro </w:t>
            </w:r>
            <m:oMath>
              <m:r>
                <w:rPr>
                  <w:rFonts w:ascii="Cambria Math" w:hAnsi="Cambria Math" w:cs="Arial"/>
                  <w:sz w:val="22"/>
                  <w:szCs w:val="22"/>
                </w:rPr>
                <m:t>v</m:t>
              </m:r>
            </m:oMath>
            <w:r w:rsidRPr="0007255D">
              <w:rPr>
                <w:rFonts w:ascii="Arial" w:hAnsi="Arial" w:cs="Arial"/>
                <w:sz w:val="22"/>
                <w:szCs w:val="22"/>
              </w:rPr>
              <w:t xml:space="preserve">’s foreign-born population born in country </w:t>
            </w:r>
            <m:oMath>
              <m:r>
                <w:rPr>
                  <w:rFonts w:ascii="Cambria Math" w:hAnsi="Cambria Math" w:cs="Arial"/>
                  <w:sz w:val="22"/>
                  <w:szCs w:val="22"/>
                </w:rPr>
                <m:t>c</m:t>
              </m:r>
            </m:oMath>
          </w:p>
        </w:tc>
      </w:tr>
      <w:tr w:rsidR="00182D80" w:rsidRPr="0007255D" w14:paraId="55FF23BE" w14:textId="77777777" w:rsidTr="005E3B61">
        <w:tc>
          <w:tcPr>
            <w:tcW w:w="0" w:type="auto"/>
          </w:tcPr>
          <w:p w14:paraId="076BAFCE" w14:textId="77777777" w:rsidR="00182D80" w:rsidRPr="0007255D" w:rsidRDefault="00000000" w:rsidP="005E3B61">
            <w:pPr>
              <w:pStyle w:val="Compact"/>
              <w:rPr>
                <w:rFonts w:ascii="Arial" w:hAnsi="Arial" w:cs="Arial"/>
                <w:sz w:val="22"/>
                <w:szCs w:val="22"/>
              </w:rPr>
            </w:pPr>
            <m:oMathPara>
              <m:oMath>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A</m:t>
                    </m:r>
                  </m:sup>
                </m:sSubSup>
              </m:oMath>
            </m:oMathPara>
          </w:p>
        </w:tc>
        <w:tc>
          <w:tcPr>
            <w:tcW w:w="0" w:type="auto"/>
          </w:tcPr>
          <w:p w14:paraId="494422FD"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 xml:space="preserve">Expected number of infected arrivals from </w:t>
            </w:r>
            <m:oMath>
              <m:r>
                <w:rPr>
                  <w:rFonts w:ascii="Cambria Math" w:hAnsi="Cambria Math" w:cs="Arial"/>
                  <w:sz w:val="22"/>
                  <w:szCs w:val="22"/>
                </w:rPr>
                <m:t>c</m:t>
              </m:r>
            </m:oMath>
            <w:r w:rsidRPr="0007255D">
              <w:rPr>
                <w:rFonts w:ascii="Arial" w:hAnsi="Arial" w:cs="Arial"/>
                <w:sz w:val="22"/>
                <w:szCs w:val="22"/>
              </w:rPr>
              <w:t xml:space="preserve"> at city </w:t>
            </w:r>
            <m:oMath>
              <m:r>
                <w:rPr>
                  <w:rFonts w:ascii="Cambria Math" w:hAnsi="Cambria Math" w:cs="Arial"/>
                  <w:sz w:val="22"/>
                  <w:szCs w:val="22"/>
                </w:rPr>
                <m:t>v</m:t>
              </m:r>
            </m:oMath>
            <w:r w:rsidRPr="0007255D">
              <w:rPr>
                <w:rFonts w:ascii="Arial" w:hAnsi="Arial" w:cs="Arial"/>
                <w:sz w:val="22"/>
                <w:szCs w:val="22"/>
              </w:rPr>
              <w:t xml:space="preserve"> that enter the co-national network (Mechanism A)</w:t>
            </w:r>
          </w:p>
        </w:tc>
      </w:tr>
      <w:tr w:rsidR="00182D80" w:rsidRPr="0007255D" w14:paraId="607FE092" w14:textId="77777777" w:rsidTr="005E3B61">
        <w:tc>
          <w:tcPr>
            <w:tcW w:w="0" w:type="auto"/>
          </w:tcPr>
          <w:p w14:paraId="380B1614" w14:textId="77777777" w:rsidR="00182D80" w:rsidRPr="0007255D" w:rsidRDefault="00000000" w:rsidP="005E3B61">
            <w:pPr>
              <w:pStyle w:val="Compact"/>
              <w:rPr>
                <w:rFonts w:ascii="Arial" w:hAnsi="Arial" w:cs="Arial"/>
                <w:sz w:val="22"/>
                <w:szCs w:val="22"/>
              </w:rPr>
            </w:pPr>
            <m:oMathPara>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m:oMathPara>
          </w:p>
        </w:tc>
        <w:tc>
          <w:tcPr>
            <w:tcW w:w="0" w:type="auto"/>
          </w:tcPr>
          <w:p w14:paraId="1C5ABFE1"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 xml:space="preserve">Probability that at least one infected arrival enters any co-national network in city </w:t>
            </w:r>
            <m:oMath>
              <m:r>
                <w:rPr>
                  <w:rFonts w:ascii="Cambria Math" w:hAnsi="Cambria Math" w:cs="Arial"/>
                  <w:sz w:val="22"/>
                  <w:szCs w:val="22"/>
                </w:rPr>
                <m:t>v</m:t>
              </m:r>
            </m:oMath>
          </w:p>
        </w:tc>
      </w:tr>
      <w:tr w:rsidR="00182D80" w:rsidRPr="0007255D" w14:paraId="4524FC5A" w14:textId="77777777" w:rsidTr="005E3B61">
        <w:tc>
          <w:tcPr>
            <w:tcW w:w="0" w:type="auto"/>
          </w:tcPr>
          <w:p w14:paraId="24D725F8" w14:textId="77777777" w:rsidR="00182D80" w:rsidRPr="0007255D" w:rsidRDefault="00000000" w:rsidP="005E3B61">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oMath>
            </m:oMathPara>
          </w:p>
        </w:tc>
        <w:tc>
          <w:tcPr>
            <w:tcW w:w="0" w:type="auto"/>
          </w:tcPr>
          <w:p w14:paraId="6CD86844"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 xml:space="preserve">WC venue city where country </w:t>
            </w:r>
            <m:oMath>
              <m:r>
                <w:rPr>
                  <w:rFonts w:ascii="Cambria Math" w:hAnsi="Cambria Math" w:cs="Arial"/>
                  <w:sz w:val="22"/>
                  <w:szCs w:val="22"/>
                </w:rPr>
                <m:t>c</m:t>
              </m:r>
            </m:oMath>
            <w:r w:rsidRPr="0007255D">
              <w:rPr>
                <w:rFonts w:ascii="Arial" w:hAnsi="Arial" w:cs="Arial"/>
                <w:sz w:val="22"/>
                <w:szCs w:val="22"/>
              </w:rPr>
              <w:t xml:space="preserve"> plays</w:t>
            </w:r>
          </w:p>
        </w:tc>
      </w:tr>
      <w:tr w:rsidR="00182D80" w:rsidRPr="0007255D" w14:paraId="1F902B5A" w14:textId="77777777" w:rsidTr="005E3B61">
        <w:tc>
          <w:tcPr>
            <w:tcW w:w="0" w:type="auto"/>
          </w:tcPr>
          <w:p w14:paraId="36F1E814" w14:textId="77777777" w:rsidR="00182D80" w:rsidRPr="0007255D" w:rsidRDefault="00000000" w:rsidP="005E3B61">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oMath>
            </m:oMathPara>
          </w:p>
        </w:tc>
        <w:tc>
          <w:tcPr>
            <w:tcW w:w="0" w:type="auto"/>
          </w:tcPr>
          <w:p w14:paraId="796129DE"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 xml:space="preserve">Diaspora hub city (may differ from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oMath>
            <w:r w:rsidRPr="0007255D">
              <w:rPr>
                <w:rFonts w:ascii="Arial" w:hAnsi="Arial" w:cs="Arial"/>
                <w:sz w:val="22"/>
                <w:szCs w:val="22"/>
              </w:rPr>
              <w:t>)</w:t>
            </w:r>
          </w:p>
        </w:tc>
      </w:tr>
      <w:tr w:rsidR="00182D80" w:rsidRPr="0007255D" w14:paraId="7B9B0ACD" w14:textId="77777777" w:rsidTr="005E3B61">
        <w:tc>
          <w:tcPr>
            <w:tcW w:w="0" w:type="auto"/>
          </w:tcPr>
          <w:p w14:paraId="78DBDF5A" w14:textId="77777777" w:rsidR="00182D80" w:rsidRPr="0007255D" w:rsidRDefault="00000000" w:rsidP="005E3B61">
            <w:pPr>
              <w:pStyle w:val="Compact"/>
              <w:rPr>
                <w:rFonts w:ascii="Arial" w:hAnsi="Arial" w:cs="Arial"/>
                <w:sz w:val="22"/>
                <w:szCs w:val="22"/>
              </w:rPr>
            </w:pPr>
            <m:oMathPara>
              <m:oMath>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m</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h</m:t>
                        </m:r>
                      </m:sub>
                    </m:sSub>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B</m:t>
                    </m:r>
                  </m:sup>
                </m:sSubSup>
              </m:oMath>
            </m:oMathPara>
          </w:p>
        </w:tc>
        <w:tc>
          <w:tcPr>
            <w:tcW w:w="0" w:type="auto"/>
          </w:tcPr>
          <w:p w14:paraId="261480B9"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 xml:space="preserve">Secondary seeding index for hub city </w:t>
            </w:r>
            <m:oMath>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h</m:t>
                  </m:r>
                </m:sub>
              </m:sSub>
            </m:oMath>
            <w:r w:rsidRPr="0007255D">
              <w:rPr>
                <w:rFonts w:ascii="Arial" w:hAnsi="Arial" w:cs="Arial"/>
                <w:sz w:val="22"/>
                <w:szCs w:val="22"/>
              </w:rPr>
              <w:t xml:space="preserve"> arising from match at </w:t>
            </w:r>
            <m:oMath>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m</m:t>
                  </m:r>
                </m:sub>
              </m:sSub>
            </m:oMath>
            <w:r w:rsidRPr="0007255D">
              <w:rPr>
                <w:rFonts w:ascii="Arial" w:hAnsi="Arial" w:cs="Arial"/>
                <w:sz w:val="22"/>
                <w:szCs w:val="22"/>
              </w:rPr>
              <w:t xml:space="preserve"> (Mechanism B)</w:t>
            </w:r>
          </w:p>
        </w:tc>
      </w:tr>
    </w:tbl>
    <w:p w14:paraId="05FA5343" w14:textId="77777777" w:rsidR="00182D80" w:rsidRPr="0007255D" w:rsidRDefault="00182D80" w:rsidP="00182D80">
      <w:pPr>
        <w:pStyle w:val="FirstParagraph"/>
        <w:rPr>
          <w:rFonts w:ascii="Arial" w:hAnsi="Arial" w:cs="Arial"/>
          <w:b/>
          <w:bCs/>
          <w:sz w:val="22"/>
          <w:szCs w:val="22"/>
        </w:rPr>
      </w:pPr>
      <w:bookmarkStart w:id="14" w:name="X8dfb7c22049d5fe736f72de01dff1df0355ff61"/>
      <w:bookmarkEnd w:id="13"/>
      <w:r w:rsidRPr="0007255D">
        <w:rPr>
          <w:rFonts w:ascii="Arial" w:hAnsi="Arial" w:cs="Arial"/>
          <w:b/>
          <w:bCs/>
          <w:sz w:val="22"/>
          <w:szCs w:val="22"/>
        </w:rPr>
        <w:t xml:space="preserve">B.2 Diaspora concentration index </w:t>
      </w:r>
      <m:oMath>
        <m:sSub>
          <m:sSubPr>
            <m:ctrlPr>
              <w:rPr>
                <w:rFonts w:ascii="Cambria Math" w:hAnsi="Cambria Math" w:cs="Arial"/>
                <w:b/>
                <w:bCs/>
                <w:sz w:val="22"/>
                <w:szCs w:val="22"/>
              </w:rPr>
            </m:ctrlPr>
          </m:sSubPr>
          <m:e>
            <m:r>
              <m:rPr>
                <m:sty m:val="bi"/>
              </m:rPr>
              <w:rPr>
                <w:rFonts w:ascii="Cambria Math" w:hAnsi="Cambria Math" w:cs="Arial"/>
                <w:sz w:val="22"/>
                <w:szCs w:val="22"/>
              </w:rPr>
              <m:t>κ</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Sub>
      </m:oMath>
    </w:p>
    <w:p w14:paraId="6F58DD52"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For each source country </w:t>
      </w:r>
      <m:oMath>
        <m:r>
          <w:rPr>
            <w:rFonts w:ascii="Cambria Math" w:hAnsi="Cambria Math" w:cs="Arial"/>
            <w:sz w:val="22"/>
            <w:szCs w:val="22"/>
          </w:rPr>
          <m:t>c</m:t>
        </m:r>
      </m:oMath>
      <w:r w:rsidRPr="0007255D">
        <w:rPr>
          <w:rFonts w:ascii="Arial" w:hAnsi="Arial" w:cs="Arial"/>
          <w:sz w:val="22"/>
          <w:szCs w:val="22"/>
        </w:rPr>
        <w:t xml:space="preserve"> and venue metro area </w:t>
      </w:r>
      <m:oMath>
        <m:r>
          <w:rPr>
            <w:rFonts w:ascii="Cambria Math" w:hAnsi="Cambria Math" w:cs="Arial"/>
            <w:sz w:val="22"/>
            <w:szCs w:val="22"/>
          </w:rPr>
          <m:t>v</m:t>
        </m:r>
      </m:oMath>
      <w:r w:rsidRPr="0007255D">
        <w:rPr>
          <w:rFonts w:ascii="Arial" w:hAnsi="Arial" w:cs="Arial"/>
          <w:sz w:val="22"/>
          <w:szCs w:val="22"/>
        </w:rPr>
        <w:t>:</w:t>
      </w:r>
    </w:p>
    <w:p w14:paraId="3F2F8488" w14:textId="77777777" w:rsidR="00182D80" w:rsidRPr="0007255D" w:rsidRDefault="00000000" w:rsidP="00182D8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D</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num>
            <m:den>
              <m:sSub>
                <m:sSubPr>
                  <m:ctrlPr>
                    <w:rPr>
                      <w:rFonts w:ascii="Cambria Math" w:hAnsi="Cambria Math" w:cs="Arial"/>
                      <w:sz w:val="22"/>
                      <w:szCs w:val="22"/>
                    </w:rPr>
                  </m:ctrlPr>
                </m:sSubPr>
                <m:e>
                  <m:r>
                    <m:rPr>
                      <m:sty m:val="p"/>
                    </m:rPr>
                    <w:rPr>
                      <w:rFonts w:ascii="Cambria Math" w:hAnsi="Cambria Math" w:cs="Arial"/>
                      <w:sz w:val="22"/>
                      <w:szCs w:val="22"/>
                    </w:rPr>
                    <m:t>FB</m:t>
                  </m:r>
                </m:e>
                <m:sub>
                  <m:r>
                    <w:rPr>
                      <w:rFonts w:ascii="Cambria Math" w:hAnsi="Cambria Math" w:cs="Arial"/>
                      <w:sz w:val="22"/>
                      <w:szCs w:val="22"/>
                    </w:rPr>
                    <m:t>v</m:t>
                  </m:r>
                </m:sub>
              </m:sSub>
            </m:den>
          </m:f>
        </m:oMath>
      </m:oMathPara>
    </w:p>
    <w:p w14:paraId="1CFC24E8" w14:textId="77777777" w:rsidR="00182D80" w:rsidRPr="0007255D" w:rsidRDefault="00000000" w:rsidP="00182D80">
      <w:pPr>
        <w:pStyle w:val="FirstParagraph"/>
        <w:rPr>
          <w:rFonts w:ascii="Arial" w:hAnsi="Arial" w:cs="Arial"/>
          <w:sz w:val="22"/>
          <w:szCs w:val="22"/>
        </w:rPr>
      </w:pPr>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r>
          <w:rPr>
            <w:rFonts w:ascii="Cambria Math" w:hAnsi="Cambria Math" w:cs="Arial"/>
            <w:sz w:val="22"/>
            <w:szCs w:val="22"/>
          </w:rPr>
          <m:t>0</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00182D80" w:rsidRPr="0007255D">
        <w:rPr>
          <w:rFonts w:ascii="Arial" w:hAnsi="Arial" w:cs="Arial"/>
          <w:sz w:val="22"/>
          <w:szCs w:val="22"/>
        </w:rPr>
        <w:t xml:space="preserve"> measures how concentrated the country-</w:t>
      </w:r>
      <m:oMath>
        <m:r>
          <w:rPr>
            <w:rFonts w:ascii="Cambria Math" w:hAnsi="Cambria Math" w:cs="Arial"/>
            <w:sz w:val="22"/>
            <w:szCs w:val="22"/>
          </w:rPr>
          <m:t>c</m:t>
        </m:r>
      </m:oMath>
      <w:r w:rsidR="00182D80" w:rsidRPr="0007255D">
        <w:rPr>
          <w:rFonts w:ascii="Arial" w:hAnsi="Arial" w:cs="Arial"/>
          <w:sz w:val="22"/>
          <w:szCs w:val="22"/>
        </w:rPr>
        <w:t xml:space="preserve"> community is </w:t>
      </w:r>
      <w:r w:rsidR="00182D80" w:rsidRPr="0007255D">
        <w:rPr>
          <w:rFonts w:ascii="Arial" w:hAnsi="Arial" w:cs="Arial"/>
          <w:i/>
          <w:iCs/>
          <w:sz w:val="22"/>
          <w:szCs w:val="22"/>
        </w:rPr>
        <w:t>within</w:t>
      </w:r>
      <w:r w:rsidR="00182D80" w:rsidRPr="0007255D">
        <w:rPr>
          <w:rFonts w:ascii="Arial" w:hAnsi="Arial" w:cs="Arial"/>
          <w:sz w:val="22"/>
          <w:szCs w:val="22"/>
        </w:rPr>
        <w:t xml:space="preserve"> the immigrant population of city </w:t>
      </w:r>
      <m:oMath>
        <m:r>
          <w:rPr>
            <w:rFonts w:ascii="Cambria Math" w:hAnsi="Cambria Math" w:cs="Arial"/>
            <w:sz w:val="22"/>
            <w:szCs w:val="22"/>
          </w:rPr>
          <m:t>v</m:t>
        </m:r>
      </m:oMath>
      <w:r w:rsidR="00182D80" w:rsidRPr="0007255D">
        <w:rPr>
          <w:rFonts w:ascii="Arial" w:hAnsi="Arial" w:cs="Arial"/>
          <w:sz w:val="22"/>
          <w:szCs w:val="22"/>
        </w:rPr>
        <w:t xml:space="preserve"> — the relevant social network for co-national mixing. Summed over all countries of birth, </w:t>
      </w:r>
      <m:oMath>
        <m:nary>
          <m:naryPr>
            <m:chr m:val="∑"/>
            <m:limLoc m:val="undOvr"/>
            <m:supHide m:val="1"/>
            <m:ctrlPr>
              <w:rPr>
                <w:rFonts w:ascii="Cambria Math" w:hAnsi="Cambria Math" w:cs="Arial"/>
                <w:sz w:val="22"/>
                <w:szCs w:val="22"/>
              </w:rPr>
            </m:ctrlPr>
          </m:naryPr>
          <m:sub>
            <m:r>
              <w:rPr>
                <w:rFonts w:ascii="Cambria Math" w:hAnsi="Cambria Math" w:cs="Arial"/>
                <w:sz w:val="22"/>
                <w:szCs w:val="22"/>
              </w:rPr>
              <m:t>c</m:t>
            </m:r>
          </m:sub>
          <m:sup/>
          <m:e>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e>
        </m:nary>
        <m:r>
          <m:rPr>
            <m:sty m:val="p"/>
          </m:rPr>
          <w:rPr>
            <w:rFonts w:ascii="Cambria Math" w:hAnsi="Cambria Math" w:cs="Arial"/>
            <w:sz w:val="22"/>
            <w:szCs w:val="22"/>
          </w:rPr>
          <m:t>=</m:t>
        </m:r>
        <m:r>
          <w:rPr>
            <w:rFonts w:ascii="Cambria Math" w:hAnsi="Cambria Math" w:cs="Arial"/>
            <w:sz w:val="22"/>
            <w:szCs w:val="22"/>
          </w:rPr>
          <m:t>1</m:t>
        </m:r>
      </m:oMath>
      <w:r w:rsidR="00182D80" w:rsidRPr="0007255D">
        <w:rPr>
          <w:rFonts w:ascii="Arial" w:hAnsi="Arial" w:cs="Arial"/>
          <w:sz w:val="22"/>
          <w:szCs w:val="22"/>
        </w:rPr>
        <w:t xml:space="preserve"> for each </w:t>
      </w:r>
      <m:oMath>
        <m:r>
          <w:rPr>
            <w:rFonts w:ascii="Cambria Math" w:hAnsi="Cambria Math" w:cs="Arial"/>
            <w:sz w:val="22"/>
            <w:szCs w:val="22"/>
          </w:rPr>
          <m:t>v</m:t>
        </m:r>
      </m:oMath>
      <w:r w:rsidR="00182D80" w:rsidRPr="0007255D">
        <w:rPr>
          <w:rFonts w:ascii="Arial" w:hAnsi="Arial" w:cs="Arial"/>
          <w:sz w:val="22"/>
          <w:szCs w:val="22"/>
        </w:rPr>
        <w:t xml:space="preserve">; because the model includes only the source countries relevant to the five diseases, the </w:t>
      </w:r>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00182D80" w:rsidRPr="0007255D">
        <w:rPr>
          <w:rFonts w:ascii="Arial" w:hAnsi="Arial" w:cs="Arial"/>
          <w:sz w:val="22"/>
          <w:szCs w:val="22"/>
        </w:rPr>
        <w:t xml:space="preserve"> for the modeled countries sum to less than one in each city.</w:t>
      </w:r>
      <w:bookmarkStart w:id="15" w:name="b.3-mechanism-a-local-social-mixing"/>
      <w:bookmarkEnd w:id="14"/>
    </w:p>
    <w:p w14:paraId="1020A769" w14:textId="77777777" w:rsidR="00182D80" w:rsidRPr="0007255D" w:rsidRDefault="00182D80" w:rsidP="00182D80">
      <w:pPr>
        <w:pStyle w:val="FirstParagraph"/>
        <w:rPr>
          <w:rFonts w:ascii="Arial" w:hAnsi="Arial" w:cs="Arial"/>
          <w:b/>
          <w:bCs/>
          <w:sz w:val="22"/>
          <w:szCs w:val="22"/>
        </w:rPr>
      </w:pPr>
      <w:r w:rsidRPr="0007255D">
        <w:rPr>
          <w:rFonts w:ascii="Arial" w:hAnsi="Arial" w:cs="Arial"/>
          <w:b/>
          <w:bCs/>
          <w:sz w:val="22"/>
          <w:szCs w:val="22"/>
        </w:rPr>
        <w:t>B.3 Mechanism A: local social mixing</w:t>
      </w:r>
    </w:p>
    <w:p w14:paraId="4FC3136D"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Let </w:t>
      </w:r>
      <m:oMath>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r>
          <m:rPr>
            <m:nor/>
          </m:rPr>
          <w:rPr>
            <w:rFonts w:ascii="Arial" w:hAnsi="Arial" w:cs="Arial"/>
            <w:sz w:val="22"/>
            <w:szCs w:val="22"/>
          </w:rPr>
          <m:t>Poisson</m:t>
        </m:r>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oMath>
      <w:r w:rsidRPr="0007255D">
        <w:rPr>
          <w:rFonts w:ascii="Arial" w:hAnsi="Arial" w:cs="Arial"/>
          <w:sz w:val="22"/>
          <w:szCs w:val="22"/>
        </w:rPr>
        <w:t xml:space="preserve"> be the number of infected arrivals from country </w:t>
      </w:r>
      <m:oMath>
        <m:r>
          <w:rPr>
            <w:rFonts w:ascii="Cambria Math" w:hAnsi="Cambria Math" w:cs="Arial"/>
            <w:sz w:val="22"/>
            <w:szCs w:val="22"/>
          </w:rPr>
          <m:t>c</m:t>
        </m:r>
      </m:oMath>
      <w:r w:rsidRPr="0007255D">
        <w:rPr>
          <w:rFonts w:ascii="Arial" w:hAnsi="Arial" w:cs="Arial"/>
          <w:sz w:val="22"/>
          <w:szCs w:val="22"/>
        </w:rPr>
        <w:t xml:space="preserve"> at city </w:t>
      </w:r>
      <m:oMath>
        <m:r>
          <w:rPr>
            <w:rFonts w:ascii="Cambria Math" w:hAnsi="Cambria Math" w:cs="Arial"/>
            <w:sz w:val="22"/>
            <w:szCs w:val="22"/>
          </w:rPr>
          <m:t>v</m:t>
        </m:r>
      </m:oMath>
      <w:r w:rsidRPr="0007255D">
        <w:rPr>
          <w:rFonts w:ascii="Arial" w:hAnsi="Arial" w:cs="Arial"/>
          <w:sz w:val="22"/>
          <w:szCs w:val="22"/>
        </w:rPr>
        <w:t xml:space="preserve">. Under the proportional-mixing assumption, each arrival independently enters the co-national network with probability </w:t>
      </w:r>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By the Poisson thinning theorem (29), the thinned count is:</w:t>
      </w:r>
    </w:p>
    <w:p w14:paraId="09CD23DA" w14:textId="77777777" w:rsidR="00182D80" w:rsidRPr="0007255D" w:rsidRDefault="00000000" w:rsidP="00182D8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r>
            <m:rPr>
              <m:nor/>
            </m:rPr>
            <w:rPr>
              <w:rFonts w:ascii="Arial" w:hAnsi="Arial" w:cs="Arial"/>
              <w:sz w:val="22"/>
              <w:szCs w:val="22"/>
            </w:rPr>
            <m:t>Poisson</m:t>
          </m:r>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oMath>
      </m:oMathPara>
    </w:p>
    <w:p w14:paraId="1DE52136"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We define the community-weighted importation intensity:</w:t>
      </w:r>
    </w:p>
    <w:p w14:paraId="7A37E53D" w14:textId="77777777" w:rsidR="00182D80" w:rsidRPr="0007255D" w:rsidRDefault="00000000" w:rsidP="00182D80">
      <w:pPr>
        <w:pStyle w:val="BodyText"/>
        <w:rPr>
          <w:rFonts w:ascii="Arial" w:hAnsi="Arial" w:cs="Arial"/>
          <w:sz w:val="22"/>
          <w:szCs w:val="22"/>
        </w:rPr>
      </w:pPr>
      <m:oMathPara>
        <m:oMathParaPr>
          <m:jc m:val="center"/>
        </m:oMathParaPr>
        <m:oMath>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A</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D</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num>
            <m:den>
              <m:sSub>
                <m:sSubPr>
                  <m:ctrlPr>
                    <w:rPr>
                      <w:rFonts w:ascii="Cambria Math" w:hAnsi="Cambria Math" w:cs="Arial"/>
                      <w:sz w:val="22"/>
                      <w:szCs w:val="22"/>
                    </w:rPr>
                  </m:ctrlPr>
                </m:sSubPr>
                <m:e>
                  <m:r>
                    <m:rPr>
                      <m:sty m:val="p"/>
                    </m:rPr>
                    <w:rPr>
                      <w:rFonts w:ascii="Cambria Math" w:hAnsi="Cambria Math" w:cs="Arial"/>
                      <w:sz w:val="22"/>
                      <w:szCs w:val="22"/>
                    </w:rPr>
                    <m:t>FB</m:t>
                  </m:r>
                </m:e>
                <m:sub>
                  <m:r>
                    <w:rPr>
                      <w:rFonts w:ascii="Cambria Math" w:hAnsi="Cambria Math" w:cs="Arial"/>
                      <w:sz w:val="22"/>
                      <w:szCs w:val="22"/>
                    </w:rPr>
                    <m:t>v</m:t>
                  </m:r>
                </m:sub>
              </m:sSub>
            </m:den>
          </m:f>
        </m:oMath>
      </m:oMathPara>
    </w:p>
    <w:p w14:paraId="4D624015"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Because </w:t>
      </w:r>
      <m:oMath>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 xml:space="preserve"> values are independent Poisson random variables, the city-level aggregate </w:t>
      </w:r>
      <m:oMath>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A</m:t>
            </m:r>
          </m:sup>
        </m:sSubSup>
        <m:r>
          <m:rPr>
            <m:sty m:val="p"/>
          </m:rPr>
          <w:rPr>
            <w:rFonts w:ascii="Cambria Math" w:hAnsi="Cambria Math" w:cs="Arial"/>
            <w:sz w:val="22"/>
            <w:szCs w:val="22"/>
          </w:rPr>
          <m:t>=</m:t>
        </m:r>
        <m:nary>
          <m:naryPr>
            <m:chr m:val="∑"/>
            <m:limLoc m:val="undOvr"/>
            <m:supHide m:val="1"/>
            <m:ctrlPr>
              <w:rPr>
                <w:rFonts w:ascii="Cambria Math" w:hAnsi="Cambria Math" w:cs="Arial"/>
                <w:sz w:val="22"/>
                <w:szCs w:val="22"/>
              </w:rPr>
            </m:ctrlPr>
          </m:naryPr>
          <m:sub>
            <m:r>
              <w:rPr>
                <w:rFonts w:ascii="Cambria Math" w:hAnsi="Cambria Math" w:cs="Arial"/>
                <w:sz w:val="22"/>
                <w:szCs w:val="22"/>
              </w:rPr>
              <m:t>c</m:t>
            </m:r>
          </m:sub>
          <m:sup/>
          <m:e>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A</m:t>
                </m:r>
              </m:sup>
            </m:sSubSup>
          </m:e>
        </m:nary>
      </m:oMath>
      <w:r w:rsidRPr="0007255D">
        <w:rPr>
          <w:rFonts w:ascii="Arial" w:hAnsi="Arial" w:cs="Arial"/>
          <w:sz w:val="22"/>
          <w:szCs w:val="22"/>
        </w:rPr>
        <w:t xml:space="preserve"> is also a valid Poisson rate. The probability that at least one infected arrival enters any co-national network in city </w:t>
      </w:r>
      <m:oMath>
        <m:r>
          <w:rPr>
            <w:rFonts w:ascii="Cambria Math" w:hAnsi="Cambria Math" w:cs="Arial"/>
            <w:sz w:val="22"/>
            <w:szCs w:val="22"/>
          </w:rPr>
          <m:t>v</m:t>
        </m:r>
      </m:oMath>
      <w:r w:rsidRPr="0007255D">
        <w:rPr>
          <w:rFonts w:ascii="Arial" w:hAnsi="Arial" w:cs="Arial"/>
          <w:sz w:val="22"/>
          <w:szCs w:val="22"/>
        </w:rPr>
        <w:t xml:space="preserve"> is:</w:t>
      </w:r>
    </w:p>
    <w:p w14:paraId="4D414743" w14:textId="77777777" w:rsidR="00182D80" w:rsidRPr="0007255D" w:rsidRDefault="00000000" w:rsidP="00182D80">
      <w:pPr>
        <w:pStyle w:val="BodyText"/>
        <w:rPr>
          <w:rFonts w:ascii="Arial" w:hAnsi="Arial" w:cs="Arial"/>
          <w:sz w:val="22"/>
          <w:szCs w:val="22"/>
        </w:rPr>
      </w:pPr>
      <m:oMathPara>
        <m:oMathParaPr>
          <m:jc m:val="center"/>
        </m:oMathParaP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e</m:t>
              </m:r>
            </m:e>
            <m:sup>
              <m:r>
                <m:rPr>
                  <m:sty m:val="p"/>
                </m:rPr>
                <w:rPr>
                  <w:rFonts w:ascii="Cambria Math" w:hAnsi="Cambria Math" w:cs="Arial"/>
                  <w:sz w:val="22"/>
                  <w:szCs w:val="22"/>
                </w:rPr>
                <m:t>-</m:t>
              </m:r>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A</m:t>
                  </m:r>
                </m:sup>
              </m:sSubSup>
            </m:sup>
          </m:sSup>
        </m:oMath>
      </m:oMathPara>
    </w:p>
    <w:p w14:paraId="5C57A2D0"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This is directly comparable to the main-model probability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e</m:t>
            </m:r>
          </m:e>
          <m:sup>
            <m:r>
              <m:rPr>
                <m:sty m:val="p"/>
              </m:rP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sup>
        </m:sSup>
      </m:oMath>
      <w:r w:rsidRPr="0007255D">
        <w:rPr>
          <w:rFonts w:ascii="Arial" w:hAnsi="Arial" w:cs="Arial"/>
          <w:sz w:val="22"/>
          <w:szCs w:val="22"/>
        </w:rPr>
        <w:t xml:space="preserve">. Since </w:t>
      </w:r>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r>
          <w:rPr>
            <w:rFonts w:ascii="Cambria Math" w:hAnsi="Cambria Math" w:cs="Arial"/>
            <w:sz w:val="22"/>
            <w:szCs w:val="22"/>
          </w:rPr>
          <m:t>1</m:t>
        </m:r>
      </m:oMath>
      <w:r w:rsidRPr="0007255D">
        <w:rPr>
          <w:rFonts w:ascii="Arial" w:hAnsi="Arial" w:cs="Arial"/>
          <w:sz w:val="22"/>
          <w:szCs w:val="22"/>
        </w:rPr>
        <w:t xml:space="preserve"> for all </w:t>
      </w:r>
      <m:oMath>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oMath>
      <w:r w:rsidRPr="0007255D">
        <w:rPr>
          <w:rFonts w:ascii="Arial" w:hAnsi="Arial" w:cs="Arial"/>
          <w:sz w:val="22"/>
          <w:szCs w:val="22"/>
        </w:rPr>
        <w:t xml:space="preserve">, it follows that </w:t>
      </w:r>
      <m:oMath>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A</m:t>
            </m:r>
          </m:sup>
        </m:sSubSup>
        <m:r>
          <m:rPr>
            <m:sty m:val="p"/>
          </m:rP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 xml:space="preserve"> and therefore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 xml:space="preserve"> always: the diaspora-network probability is a lower bound on the arrival probability, never exceeding it.</w:t>
      </w:r>
      <w:bookmarkStart w:id="16" w:name="b.4-mechanism-b-diaspora-return-seeding"/>
      <w:bookmarkEnd w:id="15"/>
    </w:p>
    <w:p w14:paraId="290DFEB9" w14:textId="77777777" w:rsidR="00182D80" w:rsidRPr="0007255D" w:rsidRDefault="00182D80" w:rsidP="00182D80">
      <w:pPr>
        <w:pStyle w:val="FirstParagraph"/>
        <w:rPr>
          <w:rFonts w:ascii="Arial" w:hAnsi="Arial" w:cs="Arial"/>
          <w:b/>
          <w:bCs/>
          <w:sz w:val="22"/>
          <w:szCs w:val="22"/>
        </w:rPr>
      </w:pPr>
      <w:r w:rsidRPr="0007255D">
        <w:rPr>
          <w:rFonts w:ascii="Arial" w:hAnsi="Arial" w:cs="Arial"/>
          <w:b/>
          <w:bCs/>
          <w:sz w:val="22"/>
          <w:szCs w:val="22"/>
        </w:rPr>
        <w:t>B.4 Mechanism B: diaspora return seeding</w:t>
      </w:r>
    </w:p>
    <w:p w14:paraId="18F1CE09"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US-resident diaspora members from country </w:t>
      </w:r>
      <m:oMath>
        <m:r>
          <w:rPr>
            <w:rFonts w:ascii="Cambria Math" w:hAnsi="Cambria Math" w:cs="Arial"/>
            <w:sz w:val="22"/>
            <w:szCs w:val="22"/>
          </w:rPr>
          <m:t>c</m:t>
        </m:r>
      </m:oMath>
      <w:r w:rsidRPr="0007255D">
        <w:rPr>
          <w:rFonts w:ascii="Arial" w:hAnsi="Arial" w:cs="Arial"/>
          <w:sz w:val="22"/>
          <w:szCs w:val="22"/>
        </w:rPr>
        <w:t xml:space="preserve"> living in hub city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oMath>
      <w:r w:rsidRPr="0007255D">
        <w:rPr>
          <w:rFonts w:ascii="Arial" w:hAnsi="Arial" w:cs="Arial"/>
          <w:sz w:val="22"/>
          <w:szCs w:val="22"/>
        </w:rPr>
        <w:t xml:space="preserve"> may travel domestically to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oMath>
      <w:r w:rsidRPr="0007255D">
        <w:rPr>
          <w:rFonts w:ascii="Arial" w:hAnsi="Arial" w:cs="Arial"/>
          <w:sz w:val="22"/>
          <w:szCs w:val="22"/>
        </w:rPr>
        <w:t xml:space="preserve"> (where country </w:t>
      </w:r>
      <m:oMath>
        <m:r>
          <w:rPr>
            <w:rFonts w:ascii="Cambria Math" w:hAnsi="Cambria Math" w:cs="Arial"/>
            <w:sz w:val="22"/>
            <w:szCs w:val="22"/>
          </w:rPr>
          <m:t>c</m:t>
        </m:r>
      </m:oMath>
      <w:r w:rsidRPr="0007255D">
        <w:rPr>
          <w:rFonts w:ascii="Arial" w:hAnsi="Arial" w:cs="Arial"/>
          <w:sz w:val="22"/>
          <w:szCs w:val="22"/>
        </w:rPr>
        <w:t xml:space="preserve"> plays), be exposed to infected international arrivals, and seed transmission upon return. The secondary seeding index is:</w:t>
      </w:r>
    </w:p>
    <w:p w14:paraId="0F79E60C" w14:textId="77777777" w:rsidR="00182D80" w:rsidRPr="0007255D" w:rsidRDefault="00000000" w:rsidP="00182D80">
      <w:pPr>
        <w:pStyle w:val="BodyText"/>
        <w:rPr>
          <w:rFonts w:ascii="Arial" w:hAnsi="Arial" w:cs="Arial"/>
          <w:sz w:val="22"/>
          <w:szCs w:val="22"/>
        </w:rPr>
      </w:pPr>
      <m:oMathPara>
        <m:oMathParaPr>
          <m:jc m:val="center"/>
        </m:oMathParaPr>
        <m:oMath>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r>
                <m:rPr>
                  <m:sty m:val="p"/>
                </m:rPr>
                <w:rPr>
                  <w:rFonts w:ascii="Cambria Math" w:hAnsi="Cambria Math" w:cs="Arial"/>
                  <w:sz w:val="22"/>
                  <w:szCs w:val="22"/>
                </w:rPr>
                <m:t>,</m:t>
              </m:r>
              <m:r>
                <w:rPr>
                  <w:rFonts w:ascii="Cambria Math" w:hAnsi="Cambria Math" w:cs="Arial"/>
                  <w:sz w:val="22"/>
                  <w:szCs w:val="22"/>
                </w:rPr>
                <m:t> d</m:t>
              </m:r>
            </m:sub>
            <m:sup>
              <m:r>
                <w:rPr>
                  <w:rFonts w:ascii="Cambria Math" w:hAnsi="Cambria Math" w:cs="Arial"/>
                  <w:sz w:val="22"/>
                  <w:szCs w:val="22"/>
                </w:rPr>
                <m:t>B</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r>
                <m:rPr>
                  <m:sty m:val="p"/>
                </m:rPr>
                <w:rPr>
                  <w:rFonts w:ascii="Cambria Math" w:hAnsi="Cambria Math" w:cs="Arial"/>
                  <w:sz w:val="22"/>
                  <w:szCs w:val="22"/>
                </w:rPr>
                <m:t>,</m:t>
              </m:r>
              <m:r>
                <w:rPr>
                  <w:rFonts w:ascii="Cambria Math" w:hAnsi="Cambria Math" w:cs="Arial"/>
                  <w:sz w:val="22"/>
                  <w:szCs w:val="22"/>
                </w:rPr>
                <m:t> 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sub>
          </m:sSub>
        </m:oMath>
      </m:oMathPara>
    </w:p>
    <w:p w14:paraId="527B055E"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Note that in Mechanism A both </w:t>
      </w:r>
      <m:oMath>
        <m:r>
          <w:rPr>
            <w:rFonts w:ascii="Cambria Math" w:hAnsi="Cambria Math" w:cs="Arial"/>
            <w:sz w:val="22"/>
            <w:szCs w:val="22"/>
          </w:rPr>
          <m:t>λ</m:t>
        </m:r>
      </m:oMath>
      <w:r w:rsidRPr="0007255D">
        <w:rPr>
          <w:rFonts w:ascii="Arial" w:hAnsi="Arial" w:cs="Arial"/>
          <w:sz w:val="22"/>
          <w:szCs w:val="22"/>
        </w:rPr>
        <w:t xml:space="preserve"> and </w:t>
      </w:r>
      <m:oMath>
        <m:r>
          <w:rPr>
            <w:rFonts w:ascii="Cambria Math" w:hAnsi="Cambria Math" w:cs="Arial"/>
            <w:sz w:val="22"/>
            <w:szCs w:val="22"/>
          </w:rPr>
          <m:t>κ</m:t>
        </m:r>
      </m:oMath>
      <w:r w:rsidRPr="0007255D">
        <w:rPr>
          <w:rFonts w:ascii="Arial" w:hAnsi="Arial" w:cs="Arial"/>
          <w:sz w:val="22"/>
          <w:szCs w:val="22"/>
        </w:rPr>
        <w:t xml:space="preserve"> reference the </w:t>
      </w:r>
      <w:r w:rsidRPr="0007255D">
        <w:rPr>
          <w:rFonts w:ascii="Arial" w:hAnsi="Arial" w:cs="Arial"/>
          <w:i/>
          <w:iCs/>
          <w:sz w:val="22"/>
          <w:szCs w:val="22"/>
        </w:rPr>
        <w:t>same</w:t>
      </w:r>
      <w:r w:rsidRPr="0007255D">
        <w:rPr>
          <w:rFonts w:ascii="Arial" w:hAnsi="Arial" w:cs="Arial"/>
          <w:sz w:val="22"/>
          <w:szCs w:val="22"/>
        </w:rPr>
        <w:t xml:space="preserve"> city; in Mechanism B they reference </w:t>
      </w:r>
      <w:r w:rsidRPr="0007255D">
        <w:rPr>
          <w:rFonts w:ascii="Arial" w:hAnsi="Arial" w:cs="Arial"/>
          <w:i/>
          <w:iCs/>
          <w:sz w:val="22"/>
          <w:szCs w:val="22"/>
        </w:rPr>
        <w:t>different</w:t>
      </w:r>
      <w:r w:rsidRPr="0007255D">
        <w:rPr>
          <w:rFonts w:ascii="Arial" w:hAnsi="Arial" w:cs="Arial"/>
          <w:sz w:val="22"/>
          <w:szCs w:val="22"/>
        </w:rPr>
        <w:t xml:space="preserve"> cities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oMath>
      <w:r w:rsidRPr="0007255D">
        <w:rPr>
          <w:rFonts w:ascii="Arial" w:hAnsi="Arial" w:cs="Arial"/>
          <w:sz w:val="22"/>
          <w:szCs w:val="22"/>
        </w:rPr>
        <w:t xml:space="preserve"> and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oMath>
      <w:r w:rsidRPr="0007255D">
        <w:rPr>
          <w:rFonts w:ascii="Arial" w:hAnsi="Arial" w:cs="Arial"/>
          <w:sz w:val="22"/>
          <w:szCs w:val="22"/>
        </w:rPr>
        <w:t xml:space="preserve">, respectively). </w:t>
      </w:r>
      <m:oMath>
        <m:sSup>
          <m:sSupPr>
            <m:ctrlPr>
              <w:rPr>
                <w:rFonts w:ascii="Cambria Math" w:hAnsi="Cambria Math" w:cs="Arial"/>
                <w:sz w:val="22"/>
                <w:szCs w:val="22"/>
              </w:rPr>
            </m:ctrlPr>
          </m:sSupPr>
          <m:e>
            <m:r>
              <m:rPr>
                <m:sty m:val="p"/>
              </m:rP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sz w:val="22"/>
          <w:szCs w:val="22"/>
        </w:rPr>
        <w:t xml:space="preserve"> is therefore a </w:t>
      </w:r>
      <w:r w:rsidRPr="0007255D">
        <w:rPr>
          <w:rFonts w:ascii="Arial" w:hAnsi="Arial" w:cs="Arial"/>
          <w:b/>
          <w:bCs/>
          <w:sz w:val="22"/>
          <w:szCs w:val="22"/>
        </w:rPr>
        <w:t>relative seeding index</w:t>
      </w:r>
      <w:r w:rsidRPr="0007255D">
        <w:rPr>
          <w:rFonts w:ascii="Arial" w:hAnsi="Arial" w:cs="Arial"/>
          <w:sz w:val="22"/>
          <w:szCs w:val="22"/>
        </w:rPr>
        <w:t xml:space="preserve"> that ranks hub cities by exposure potential rather than a strict Poisson arrival rate. The aggregate index for hub city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oMath>
      <w:r w:rsidRPr="0007255D">
        <w:rPr>
          <w:rFonts w:ascii="Arial" w:hAnsi="Arial" w:cs="Arial"/>
          <w:sz w:val="22"/>
          <w:szCs w:val="22"/>
        </w:rPr>
        <w:t xml:space="preserve"> across all source countries and match venues is:</w:t>
      </w:r>
    </w:p>
    <w:p w14:paraId="5489CB07" w14:textId="77777777" w:rsidR="00182D80" w:rsidRPr="0007255D" w:rsidRDefault="00000000" w:rsidP="00182D80">
      <w:pPr>
        <w:pStyle w:val="BodyText"/>
        <w:rPr>
          <w:rFonts w:ascii="Arial" w:hAnsi="Arial" w:cs="Arial"/>
          <w:sz w:val="22"/>
          <w:szCs w:val="22"/>
        </w:rPr>
      </w:pPr>
      <m:oMathPara>
        <m:oMathParaPr>
          <m:jc m:val="center"/>
        </m:oMathParaPr>
        <m:oMath>
          <m:sSubSup>
            <m:sSubSupPr>
              <m:ctrlPr>
                <w:rPr>
                  <w:rFonts w:ascii="Cambria Math" w:hAnsi="Cambria Math" w:cs="Arial"/>
                  <w:sz w:val="22"/>
                  <w:szCs w:val="22"/>
                </w:rPr>
              </m:ctrlPr>
            </m:sSubSupPr>
            <m:e>
              <m:r>
                <m:rPr>
                  <m:sty m:val="p"/>
                </m:rPr>
                <w:rPr>
                  <w:rFonts w:ascii="Cambria Math" w:hAnsi="Cambria Math" w:cs="Arial"/>
                  <w:sz w:val="22"/>
                  <w:szCs w:val="22"/>
                </w:rPr>
                <m:t>Ω</m:t>
              </m:r>
            </m:e>
            <m:sub>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r>
                <m:rPr>
                  <m:sty m:val="p"/>
                </m:rPr>
                <w:rPr>
                  <w:rFonts w:ascii="Cambria Math" w:hAnsi="Cambria Math" w:cs="Arial"/>
                  <w:sz w:val="22"/>
                  <w:szCs w:val="22"/>
                </w:rPr>
                <m:t>,</m:t>
              </m:r>
              <m:r>
                <w:rPr>
                  <w:rFonts w:ascii="Cambria Math" w:hAnsi="Cambria Math" w:cs="Arial"/>
                  <w:sz w:val="22"/>
                  <w:szCs w:val="22"/>
                </w:rPr>
                <m:t> d</m:t>
              </m:r>
            </m:sub>
            <m:sup>
              <m:r>
                <w:rPr>
                  <w:rFonts w:ascii="Cambria Math" w:hAnsi="Cambria Math" w:cs="Arial"/>
                  <w:sz w:val="22"/>
                  <w:szCs w:val="22"/>
                </w:rPr>
                <m:t>B</m:t>
              </m:r>
            </m:sup>
          </m:sSubSup>
          <m:r>
            <m:rPr>
              <m:sty m:val="p"/>
            </m:rPr>
            <w:rPr>
              <w:rFonts w:ascii="Cambria Math" w:hAnsi="Cambria Math" w:cs="Arial"/>
              <w:sz w:val="22"/>
              <w:szCs w:val="22"/>
            </w:rPr>
            <m:t>=</m:t>
          </m:r>
          <m:nary>
            <m:naryPr>
              <m:chr m:val="∑"/>
              <m:limLoc m:val="undOvr"/>
              <m:supHide m:val="1"/>
              <m:ctrlPr>
                <w:rPr>
                  <w:rFonts w:ascii="Cambria Math" w:hAnsi="Cambria Math" w:cs="Arial"/>
                  <w:sz w:val="22"/>
                  <w:szCs w:val="22"/>
                </w:rPr>
              </m:ctrlPr>
            </m:naryPr>
            <m:sub>
              <m:r>
                <w:rPr>
                  <w:rFonts w:ascii="Cambria Math" w:hAnsi="Cambria Math" w:cs="Arial"/>
                  <w:sz w:val="22"/>
                  <w:szCs w:val="22"/>
                </w:rPr>
                <m:t>c</m:t>
              </m:r>
            </m:sub>
            <m:sup/>
            <m:e>
              <m:nary>
                <m:naryPr>
                  <m:chr m:val="∑"/>
                  <m:limLoc m:val="undOvr"/>
                  <m:supHide m:val="1"/>
                  <m:ctrlPr>
                    <w:rPr>
                      <w:rFonts w:ascii="Cambria Math" w:hAnsi="Cambria Math" w:cs="Arial"/>
                      <w:sz w:val="22"/>
                      <w:szCs w:val="22"/>
                    </w:rPr>
                  </m:ctrlPr>
                </m:naryPr>
                <m:sub>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sub>
                <m:sup/>
                <m:e>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r>
                        <m:rPr>
                          <m:sty m:val="p"/>
                        </m:rPr>
                        <w:rPr>
                          <w:rFonts w:ascii="Cambria Math" w:hAnsi="Cambria Math" w:cs="Arial"/>
                          <w:sz w:val="22"/>
                          <w:szCs w:val="22"/>
                        </w:rPr>
                        <m:t>,</m:t>
                      </m:r>
                      <m:r>
                        <w:rPr>
                          <w:rFonts w:ascii="Cambria Math" w:hAnsi="Cambria Math" w:cs="Arial"/>
                          <w:sz w:val="22"/>
                          <w:szCs w:val="22"/>
                        </w:rPr>
                        <m:t> d</m:t>
                      </m:r>
                    </m:sub>
                    <m:sup>
                      <m:r>
                        <w:rPr>
                          <w:rFonts w:ascii="Cambria Math" w:hAnsi="Cambria Math" w:cs="Arial"/>
                          <w:sz w:val="22"/>
                          <w:szCs w:val="22"/>
                        </w:rPr>
                        <m:t>B</m:t>
                      </m:r>
                    </m:sup>
                  </m:sSubSup>
                </m:e>
              </m:nary>
            </m:e>
          </m:nary>
        </m:oMath>
      </m:oMathPara>
    </w:p>
    <w:p w14:paraId="453EAA41"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The match venue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oMath>
      <w:r w:rsidRPr="0007255D">
        <w:rPr>
          <w:rFonts w:ascii="Arial" w:hAnsi="Arial" w:cs="Arial"/>
          <w:sz w:val="22"/>
          <w:szCs w:val="22"/>
        </w:rPr>
        <w:t xml:space="preserve"> ranges over the 11 host cities, while the hub city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oMath>
      <w:r w:rsidRPr="0007255D">
        <w:rPr>
          <w:rFonts w:ascii="Arial" w:hAnsi="Arial" w:cs="Arial"/>
          <w:sz w:val="22"/>
          <w:szCs w:val="22"/>
        </w:rPr>
        <w:t xml:space="preserve"> ranges over both the 11 host cities and 15 major non-host metropolitan areas with large immigrant populations (drawn from the same ACS B05006 country-of-birth data), so that secondary seeding into non-venue cities is captured. The 15 non-host hub metropolitan areas are Austin, Char lotte, Chicago, Denver, Detroit, Las Vegas, Minneapolis, </w:t>
      </w:r>
      <w:proofErr w:type="gramStart"/>
      <w:r w:rsidRPr="0007255D">
        <w:rPr>
          <w:rFonts w:ascii="Arial" w:hAnsi="Arial" w:cs="Arial"/>
          <w:sz w:val="22"/>
          <w:szCs w:val="22"/>
        </w:rPr>
        <w:t>Orlando ,</w:t>
      </w:r>
      <w:proofErr w:type="gramEnd"/>
      <w:r w:rsidRPr="0007255D">
        <w:rPr>
          <w:rFonts w:ascii="Arial" w:hAnsi="Arial" w:cs="Arial"/>
          <w:sz w:val="22"/>
          <w:szCs w:val="22"/>
        </w:rPr>
        <w:t xml:space="preserve"> Phoenix, Portland, Sacramento, San Antonio, San Diego, Tampa, and Washington, DC.</w:t>
      </w:r>
      <w:bookmarkStart w:id="17" w:name="X3acc6b26d8eb40b32d57707d630bf43d806fcca"/>
      <w:bookmarkEnd w:id="12"/>
      <w:bookmarkEnd w:id="16"/>
    </w:p>
    <w:p w14:paraId="101649DF" w14:textId="77777777" w:rsidR="00182D80" w:rsidRPr="0007255D" w:rsidRDefault="00182D80" w:rsidP="00182D80">
      <w:pPr>
        <w:pStyle w:val="FirstParagraph"/>
        <w:rPr>
          <w:rFonts w:ascii="Arial" w:hAnsi="Arial" w:cs="Arial"/>
          <w:b/>
          <w:bCs/>
          <w:sz w:val="22"/>
          <w:szCs w:val="22"/>
        </w:rPr>
      </w:pPr>
      <w:r w:rsidRPr="0007255D">
        <w:rPr>
          <w:rFonts w:ascii="Arial" w:hAnsi="Arial" w:cs="Arial"/>
          <w:b/>
          <w:bCs/>
          <w:sz w:val="22"/>
          <w:szCs w:val="22"/>
        </w:rPr>
        <w:t xml:space="preserve">Table S1. Sensitivity of expected importations to the mild-symptom travel probability </w:t>
      </w:r>
      <m:oMath>
        <m:sSub>
          <m:sSubPr>
            <m:ctrlPr>
              <w:rPr>
                <w:rFonts w:ascii="Cambria Math" w:hAnsi="Cambria Math" w:cs="Arial"/>
                <w:b/>
                <w:bCs/>
                <w:sz w:val="22"/>
                <w:szCs w:val="22"/>
              </w:rPr>
            </m:ctrlPr>
          </m:sSubPr>
          <m:e>
            <m:r>
              <m:rPr>
                <m:sty m:val="bi"/>
              </m:rPr>
              <w:rPr>
                <w:rFonts w:ascii="Cambria Math" w:hAnsi="Cambria Math" w:cs="Arial"/>
                <w:sz w:val="22"/>
                <w:szCs w:val="22"/>
              </w:rPr>
              <m:t>p</m:t>
            </m:r>
          </m:e>
          <m:sub>
            <m:r>
              <m:rPr>
                <m:sty m:val="bi"/>
              </m:rPr>
              <w:rPr>
                <w:rFonts w:ascii="Cambria Math" w:hAnsi="Cambria Math" w:cs="Arial"/>
                <w:sz w:val="22"/>
                <w:szCs w:val="22"/>
              </w:rPr>
              <m:t>d</m:t>
            </m:r>
          </m:sub>
        </m:sSub>
      </m:oMath>
      <w:r w:rsidRPr="0007255D">
        <w:rPr>
          <w:rFonts w:ascii="Arial" w:hAnsi="Arial" w:cs="Arial"/>
          <w:b/>
          <w:bCs/>
          <w:sz w:val="22"/>
          <w:szCs w:val="22"/>
        </w:rPr>
        <w:t>.</w:t>
      </w:r>
    </w:p>
    <w:p w14:paraId="421CA3B6" w14:textId="77777777" w:rsidR="00182D80" w:rsidRPr="0007255D" w:rsidRDefault="00182D80" w:rsidP="00182D80">
      <w:pPr>
        <w:pStyle w:val="FirstParagraph"/>
        <w:rPr>
          <w:rFonts w:ascii="Arial" w:hAnsi="Arial" w:cs="Arial"/>
          <w:sz w:val="22"/>
          <w:szCs w:val="22"/>
        </w:rPr>
      </w:pPr>
      <w:r w:rsidRPr="0007255D">
        <w:rPr>
          <w:rFonts w:ascii="Arial" w:hAnsi="Arial" w:cs="Arial"/>
          <w:sz w:val="22"/>
          <w:szCs w:val="22"/>
        </w:rPr>
        <w:t xml:space="preserve">Because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enters the model multiplicatively (</w:t>
      </w:r>
      <m:oMath>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fixing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at its literature midpoint and varying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produces importation totals that scale exactly as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m:rPr>
                <m:nor/>
              </m:rPr>
              <w:rPr>
                <w:rFonts w:ascii="Arial" w:hAnsi="Arial" w:cs="Arial"/>
                <w:sz w:val="22"/>
                <w:szCs w:val="22"/>
              </w:rPr>
              <m:t>mid</m:t>
            </m:r>
          </m:sub>
        </m:sSub>
      </m:oMath>
      <w:r w:rsidRPr="0007255D">
        <w:rPr>
          <w:rFonts w:ascii="Arial" w:hAnsi="Arial" w:cs="Arial"/>
          <w:sz w:val="22"/>
          <w:szCs w:val="22"/>
        </w:rPr>
        <w:t>. The table below reports these relative values (</w:t>
      </w:r>
      <m:oMath>
        <m:sSub>
          <m:sSubPr>
            <m:ctrlPr>
              <w:rPr>
                <w:rFonts w:ascii="Cambria Math" w:hAnsi="Cambria Math" w:cs="Arial"/>
                <w:sz w:val="22"/>
                <w:szCs w:val="22"/>
              </w:rPr>
            </m:ctrlPr>
          </m:sSubPr>
          <m:e>
            <m:r>
              <m:rPr>
                <m:sty m:val="p"/>
              </m:rPr>
              <w:rPr>
                <w:rFonts w:ascii="Cambria Math" w:hAnsi="Cambria Math" w:cs="Arial"/>
                <w:sz w:val="22"/>
                <w:szCs w:val="22"/>
              </w:rPr>
              <m:t>Λ</m:t>
            </m:r>
          </m:e>
          <m:sub>
            <m:r>
              <m:rPr>
                <m:nor/>
              </m:rPr>
              <w:rPr>
                <w:rFonts w:ascii="Arial" w:hAnsi="Arial" w:cs="Arial"/>
                <w:sz w:val="22"/>
                <w:szCs w:val="22"/>
              </w:rPr>
              <m:t>rel</m:t>
            </m:r>
          </m:sub>
        </m:sSub>
      </m:oMath>
      <w:r w:rsidRPr="0007255D">
        <w:rPr>
          <w:rFonts w:ascii="Arial" w:hAnsi="Arial" w:cs="Arial"/>
          <w:sz w:val="22"/>
          <w:szCs w:val="22"/>
        </w:rPr>
        <w:t xml:space="preserve">, </w:t>
      </w:r>
      <w:proofErr w:type="spellStart"/>
      <w:r w:rsidRPr="0007255D">
        <w:rPr>
          <w:rFonts w:ascii="Arial" w:hAnsi="Arial" w:cs="Arial"/>
          <w:sz w:val="22"/>
          <w:szCs w:val="22"/>
        </w:rPr>
        <w:t>normalised</w:t>
      </w:r>
      <w:proofErr w:type="spellEnd"/>
      <w:r w:rsidRPr="0007255D">
        <w:rPr>
          <w:rFonts w:ascii="Arial" w:hAnsi="Arial" w:cs="Arial"/>
          <w:sz w:val="22"/>
          <w:szCs w:val="22"/>
        </w:rPr>
        <w:t xml:space="preserve"> to 1.00 at </w:t>
      </w:r>
      <m:oMath>
        <m:sSub>
          <m:sSubPr>
            <m:ctrlPr>
              <w:rPr>
                <w:rFonts w:ascii="Cambria Math" w:hAnsi="Cambria Math" w:cs="Arial"/>
                <w:sz w:val="22"/>
                <w:szCs w:val="22"/>
              </w:rPr>
            </m:ctrlPr>
          </m:sSubPr>
          <m:e>
            <m:r>
              <w:rPr>
                <w:rFonts w:ascii="Cambria Math" w:hAnsi="Cambria Math" w:cs="Arial"/>
                <w:sz w:val="22"/>
                <w:szCs w:val="22"/>
              </w:rPr>
              <m:t>p</m:t>
            </m:r>
          </m:e>
          <m:sub>
            <m:r>
              <m:rPr>
                <m:nor/>
              </m:rPr>
              <w:rPr>
                <w:rFonts w:ascii="Arial" w:hAnsi="Arial" w:cs="Arial"/>
                <w:sz w:val="22"/>
                <w:szCs w:val="22"/>
              </w:rPr>
              <m:t>mid</m:t>
            </m:r>
          </m:sub>
        </m:sSub>
      </m:oMath>
      <w:r w:rsidRPr="0007255D">
        <w:rPr>
          <w:rFonts w:ascii="Arial" w:hAnsi="Arial" w:cs="Arial"/>
          <w:sz w:val="22"/>
          <w:szCs w:val="22"/>
        </w:rPr>
        <w:t xml:space="preserve">) and the exact fold-change </w:t>
      </w:r>
      <m:oMath>
        <m:sSub>
          <m:sSubPr>
            <m:ctrlPr>
              <w:rPr>
                <w:rFonts w:ascii="Cambria Math" w:hAnsi="Cambria Math" w:cs="Arial"/>
                <w:sz w:val="22"/>
                <w:szCs w:val="22"/>
              </w:rPr>
            </m:ctrlPr>
          </m:sSubPr>
          <m:e>
            <m:r>
              <w:rPr>
                <w:rFonts w:ascii="Cambria Math" w:hAnsi="Cambria Math" w:cs="Arial"/>
                <w:sz w:val="22"/>
                <w:szCs w:val="22"/>
              </w:rPr>
              <m:t>p</m:t>
            </m:r>
          </m:e>
          <m:sub>
            <m:r>
              <m:rPr>
                <m:sty m:val="p"/>
              </m:rPr>
              <w:rPr>
                <w:rFonts w:ascii="Cambria Math" w:hAnsi="Cambria Math" w:cs="Arial"/>
                <w:sz w:val="22"/>
                <w:szCs w:val="22"/>
              </w:rPr>
              <m:t>max</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m:rPr>
                <m:sty m:val="p"/>
              </m:rPr>
              <w:rPr>
                <w:rFonts w:ascii="Cambria Math" w:hAnsi="Cambria Math" w:cs="Arial"/>
                <w:sz w:val="22"/>
                <w:szCs w:val="22"/>
              </w:rPr>
              <m:t>min</m:t>
            </m:r>
          </m:sub>
        </m:sSub>
      </m:oMath>
      <w:r w:rsidRPr="0007255D">
        <w:rPr>
          <w:rFonts w:ascii="Arial" w:hAnsi="Arial" w:cs="Arial"/>
          <w:sz w:val="22"/>
          <w:szCs w:val="22"/>
        </w:rPr>
        <w:t xml:space="preserve"> for all five modelled diseases. Absolute 11-city importation counts at each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level </w:t>
      </w:r>
      <w:proofErr w:type="gramStart"/>
      <w:r w:rsidRPr="0007255D">
        <w:rPr>
          <w:rFonts w:ascii="Arial" w:hAnsi="Arial" w:cs="Arial"/>
          <w:sz w:val="22"/>
          <w:szCs w:val="22"/>
        </w:rPr>
        <w:t>are</w:t>
      </w:r>
      <w:proofErr w:type="gramEnd"/>
      <w:r w:rsidRPr="0007255D">
        <w:rPr>
          <w:rFonts w:ascii="Arial" w:hAnsi="Arial" w:cs="Arial"/>
          <w:sz w:val="22"/>
          <w:szCs w:val="22"/>
        </w:rPr>
        <w:t xml:space="preserve"> available in the analysis code at </w:t>
      </w:r>
      <w:hyperlink r:id="rId38">
        <w:r w:rsidRPr="0007255D">
          <w:rPr>
            <w:rStyle w:val="Hyperlink"/>
            <w:rFonts w:ascii="Arial" w:hAnsi="Arial" w:cs="Arial"/>
            <w:sz w:val="22"/>
            <w:szCs w:val="22"/>
          </w:rPr>
          <w:t>https://github.com/jdiestra1977/FIFA_worldCup_2026_risk</w:t>
        </w:r>
      </w:hyperlink>
      <w:r w:rsidRPr="0007255D">
        <w:rPr>
          <w:rFonts w:ascii="Arial" w:hAnsi="Arial" w:cs="Arial"/>
          <w:sz w:val="22"/>
          <w:szCs w:val="22"/>
        </w:rPr>
        <w:t>.</w:t>
      </w:r>
    </w:p>
    <w:tbl>
      <w:tblPr>
        <w:tblStyle w:val="Table"/>
        <w:tblW w:w="0" w:type="auto"/>
        <w:tblLook w:val="0020" w:firstRow="1" w:lastRow="0" w:firstColumn="0" w:lastColumn="0" w:noHBand="0" w:noVBand="0"/>
      </w:tblPr>
      <w:tblGrid>
        <w:gridCol w:w="1121"/>
        <w:gridCol w:w="658"/>
        <w:gridCol w:w="645"/>
        <w:gridCol w:w="679"/>
        <w:gridCol w:w="987"/>
        <w:gridCol w:w="948"/>
        <w:gridCol w:w="1007"/>
        <w:gridCol w:w="681"/>
      </w:tblGrid>
      <w:tr w:rsidR="00182D80" w:rsidRPr="0007255D" w14:paraId="5BDEC623" w14:textId="77777777" w:rsidTr="005E3B61">
        <w:trPr>
          <w:cnfStyle w:val="100000000000" w:firstRow="1" w:lastRow="0" w:firstColumn="0" w:lastColumn="0" w:oddVBand="0" w:evenVBand="0" w:oddHBand="0" w:evenHBand="0" w:firstRowFirstColumn="0" w:firstRowLastColumn="0" w:lastRowFirstColumn="0" w:lastRowLastColumn="0"/>
          <w:tblHeader/>
        </w:trPr>
        <w:tc>
          <w:tcPr>
            <w:tcW w:w="0" w:type="auto"/>
          </w:tcPr>
          <w:p w14:paraId="5FC163B1" w14:textId="77777777" w:rsidR="00182D80" w:rsidRPr="0007255D" w:rsidRDefault="00182D80" w:rsidP="005E3B61">
            <w:pPr>
              <w:pStyle w:val="Compact"/>
              <w:rPr>
                <w:rFonts w:ascii="Arial" w:hAnsi="Arial" w:cs="Arial"/>
                <w:sz w:val="22"/>
                <w:szCs w:val="22"/>
              </w:rPr>
            </w:pPr>
            <w:r w:rsidRPr="0007255D">
              <w:rPr>
                <w:rFonts w:ascii="Arial" w:hAnsi="Arial" w:cs="Arial"/>
                <w:b/>
                <w:bCs/>
                <w:sz w:val="22"/>
                <w:szCs w:val="22"/>
              </w:rPr>
              <w:t>Disease</w:t>
            </w:r>
          </w:p>
        </w:tc>
        <w:tc>
          <w:tcPr>
            <w:tcW w:w="0" w:type="auto"/>
          </w:tcPr>
          <w:p w14:paraId="191A70B1" w14:textId="77777777" w:rsidR="00182D80" w:rsidRPr="0007255D" w:rsidRDefault="00000000" w:rsidP="005E3B61">
            <w:pPr>
              <w:pStyle w:val="Compact"/>
              <w:jc w:val="center"/>
              <w:rPr>
                <w:rFonts w:ascii="Arial" w:hAnsi="Arial" w:cs="Arial"/>
                <w:sz w:val="22"/>
                <w:szCs w:val="22"/>
              </w:rPr>
            </w:pPr>
            <m:oMathPara>
              <m:oMath>
                <m:sSub>
                  <m:sSubPr>
                    <m:ctrlPr>
                      <w:rPr>
                        <w:rFonts w:ascii="Cambria Math" w:hAnsi="Cambria Math" w:cs="Arial"/>
                        <w:sz w:val="22"/>
                        <w:szCs w:val="22"/>
                      </w:rPr>
                    </m:ctrlPr>
                  </m:sSubPr>
                  <m:e>
                    <m:r>
                      <m:rPr>
                        <m:sty m:val="bi"/>
                      </m:rPr>
                      <w:rPr>
                        <w:rFonts w:ascii="Cambria Math" w:hAnsi="Cambria Math" w:cs="Arial"/>
                        <w:sz w:val="22"/>
                        <w:szCs w:val="22"/>
                      </w:rPr>
                      <m:t>p</m:t>
                    </m:r>
                  </m:e>
                  <m:sub>
                    <m:r>
                      <m:rPr>
                        <m:sty m:val="b"/>
                      </m:rPr>
                      <w:rPr>
                        <w:rFonts w:ascii="Cambria Math" w:hAnsi="Cambria Math" w:cs="Arial"/>
                        <w:sz w:val="22"/>
                        <w:szCs w:val="22"/>
                      </w:rPr>
                      <m:t>min</m:t>
                    </m:r>
                  </m:sub>
                </m:sSub>
              </m:oMath>
            </m:oMathPara>
          </w:p>
        </w:tc>
        <w:tc>
          <w:tcPr>
            <w:tcW w:w="0" w:type="auto"/>
          </w:tcPr>
          <w:p w14:paraId="266205A7" w14:textId="77777777" w:rsidR="00182D80" w:rsidRPr="0007255D" w:rsidRDefault="00000000" w:rsidP="005E3B61">
            <w:pPr>
              <w:pStyle w:val="Compact"/>
              <w:jc w:val="center"/>
              <w:rPr>
                <w:rFonts w:ascii="Arial" w:hAnsi="Arial" w:cs="Arial"/>
                <w:sz w:val="22"/>
                <w:szCs w:val="22"/>
              </w:rPr>
            </w:pPr>
            <m:oMathPara>
              <m:oMath>
                <m:sSub>
                  <m:sSubPr>
                    <m:ctrlPr>
                      <w:rPr>
                        <w:rFonts w:ascii="Cambria Math" w:hAnsi="Cambria Math" w:cs="Arial"/>
                        <w:sz w:val="22"/>
                        <w:szCs w:val="22"/>
                      </w:rPr>
                    </m:ctrlPr>
                  </m:sSubPr>
                  <m:e>
                    <m:r>
                      <m:rPr>
                        <m:sty m:val="bi"/>
                      </m:rPr>
                      <w:rPr>
                        <w:rFonts w:ascii="Cambria Math" w:hAnsi="Cambria Math" w:cs="Arial"/>
                        <w:sz w:val="22"/>
                        <w:szCs w:val="22"/>
                      </w:rPr>
                      <m:t>p</m:t>
                    </m:r>
                  </m:e>
                  <m:sub>
                    <m:r>
                      <m:rPr>
                        <m:nor/>
                      </m:rPr>
                      <w:rPr>
                        <w:rFonts w:ascii="Arial" w:hAnsi="Arial" w:cs="Arial"/>
                        <w:sz w:val="22"/>
                        <w:szCs w:val="22"/>
                      </w:rPr>
                      <m:t>mid</m:t>
                    </m:r>
                  </m:sub>
                </m:sSub>
              </m:oMath>
            </m:oMathPara>
          </w:p>
        </w:tc>
        <w:tc>
          <w:tcPr>
            <w:tcW w:w="0" w:type="auto"/>
          </w:tcPr>
          <w:p w14:paraId="197F98DC" w14:textId="77777777" w:rsidR="00182D80" w:rsidRPr="0007255D" w:rsidRDefault="00000000" w:rsidP="005E3B61">
            <w:pPr>
              <w:pStyle w:val="Compact"/>
              <w:jc w:val="center"/>
              <w:rPr>
                <w:rFonts w:ascii="Arial" w:hAnsi="Arial" w:cs="Arial"/>
                <w:sz w:val="22"/>
                <w:szCs w:val="22"/>
              </w:rPr>
            </w:pPr>
            <m:oMathPara>
              <m:oMath>
                <m:sSub>
                  <m:sSubPr>
                    <m:ctrlPr>
                      <w:rPr>
                        <w:rFonts w:ascii="Cambria Math" w:hAnsi="Cambria Math" w:cs="Arial"/>
                        <w:sz w:val="22"/>
                        <w:szCs w:val="22"/>
                      </w:rPr>
                    </m:ctrlPr>
                  </m:sSubPr>
                  <m:e>
                    <m:r>
                      <m:rPr>
                        <m:sty m:val="bi"/>
                      </m:rPr>
                      <w:rPr>
                        <w:rFonts w:ascii="Cambria Math" w:hAnsi="Cambria Math" w:cs="Arial"/>
                        <w:sz w:val="22"/>
                        <w:szCs w:val="22"/>
                      </w:rPr>
                      <m:t>p</m:t>
                    </m:r>
                  </m:e>
                  <m:sub>
                    <m:r>
                      <m:rPr>
                        <m:sty m:val="b"/>
                      </m:rPr>
                      <w:rPr>
                        <w:rFonts w:ascii="Cambria Math" w:hAnsi="Cambria Math" w:cs="Arial"/>
                        <w:sz w:val="22"/>
                        <w:szCs w:val="22"/>
                      </w:rPr>
                      <m:t>max</m:t>
                    </m:r>
                  </m:sub>
                </m:sSub>
              </m:oMath>
            </m:oMathPara>
          </w:p>
        </w:tc>
        <w:tc>
          <w:tcPr>
            <w:tcW w:w="0" w:type="auto"/>
          </w:tcPr>
          <w:p w14:paraId="4F17E472" w14:textId="77777777" w:rsidR="00182D80" w:rsidRPr="0007255D" w:rsidRDefault="00182D80" w:rsidP="005E3B61">
            <w:pPr>
              <w:pStyle w:val="Compact"/>
              <w:jc w:val="right"/>
              <w:rPr>
                <w:rFonts w:ascii="Arial" w:hAnsi="Arial" w:cs="Arial"/>
                <w:sz w:val="22"/>
                <w:szCs w:val="22"/>
              </w:rPr>
            </w:pPr>
            <m:oMathPara>
              <m:oMath>
                <m:r>
                  <m:rPr>
                    <m:sty m:val="b"/>
                  </m:rPr>
                  <w:rPr>
                    <w:rFonts w:ascii="Cambria Math" w:hAnsi="Cambria Math" w:cs="Arial"/>
                    <w:sz w:val="22"/>
                    <w:szCs w:val="22"/>
                  </w:rPr>
                  <m:t>Λ(</m:t>
                </m:r>
                <m:sSub>
                  <m:sSubPr>
                    <m:ctrlPr>
                      <w:rPr>
                        <w:rFonts w:ascii="Cambria Math" w:hAnsi="Cambria Math" w:cs="Arial"/>
                        <w:sz w:val="22"/>
                        <w:szCs w:val="22"/>
                      </w:rPr>
                    </m:ctrlPr>
                  </m:sSubPr>
                  <m:e>
                    <m:r>
                      <m:rPr>
                        <m:sty m:val="bi"/>
                      </m:rPr>
                      <w:rPr>
                        <w:rFonts w:ascii="Cambria Math" w:hAnsi="Cambria Math" w:cs="Arial"/>
                        <w:sz w:val="22"/>
                        <w:szCs w:val="22"/>
                      </w:rPr>
                      <m:t>p</m:t>
                    </m:r>
                  </m:e>
                  <m:sub>
                    <m:r>
                      <m:rPr>
                        <m:sty m:val="b"/>
                      </m:rPr>
                      <w:rPr>
                        <w:rFonts w:ascii="Cambria Math" w:hAnsi="Cambria Math" w:cs="Arial"/>
                        <w:sz w:val="22"/>
                        <w:szCs w:val="22"/>
                      </w:rPr>
                      <m:t>min</m:t>
                    </m:r>
                  </m:sub>
                </m:sSub>
                <m:r>
                  <m:rPr>
                    <m:sty m:val="b"/>
                  </m:rPr>
                  <w:rPr>
                    <w:rFonts w:ascii="Cambria Math" w:hAnsi="Cambria Math" w:cs="Arial"/>
                    <w:sz w:val="22"/>
                    <w:szCs w:val="22"/>
                  </w:rPr>
                  <m:t>)</m:t>
                </m:r>
              </m:oMath>
            </m:oMathPara>
          </w:p>
        </w:tc>
        <w:tc>
          <w:tcPr>
            <w:tcW w:w="0" w:type="auto"/>
          </w:tcPr>
          <w:p w14:paraId="62A3CFEA" w14:textId="77777777" w:rsidR="00182D80" w:rsidRPr="0007255D" w:rsidRDefault="00182D80" w:rsidP="005E3B61">
            <w:pPr>
              <w:pStyle w:val="Compact"/>
              <w:jc w:val="right"/>
              <w:rPr>
                <w:rFonts w:ascii="Arial" w:hAnsi="Arial" w:cs="Arial"/>
                <w:sz w:val="22"/>
                <w:szCs w:val="22"/>
              </w:rPr>
            </w:pPr>
            <m:oMathPara>
              <m:oMath>
                <m:r>
                  <m:rPr>
                    <m:sty m:val="b"/>
                  </m:rPr>
                  <w:rPr>
                    <w:rFonts w:ascii="Cambria Math" w:hAnsi="Cambria Math" w:cs="Arial"/>
                    <w:sz w:val="22"/>
                    <w:szCs w:val="22"/>
                  </w:rPr>
                  <m:t>Λ(</m:t>
                </m:r>
                <m:sSub>
                  <m:sSubPr>
                    <m:ctrlPr>
                      <w:rPr>
                        <w:rFonts w:ascii="Cambria Math" w:hAnsi="Cambria Math" w:cs="Arial"/>
                        <w:sz w:val="22"/>
                        <w:szCs w:val="22"/>
                      </w:rPr>
                    </m:ctrlPr>
                  </m:sSubPr>
                  <m:e>
                    <m:r>
                      <m:rPr>
                        <m:sty m:val="bi"/>
                      </m:rPr>
                      <w:rPr>
                        <w:rFonts w:ascii="Cambria Math" w:hAnsi="Cambria Math" w:cs="Arial"/>
                        <w:sz w:val="22"/>
                        <w:szCs w:val="22"/>
                      </w:rPr>
                      <m:t>p</m:t>
                    </m:r>
                  </m:e>
                  <m:sub>
                    <m:r>
                      <m:rPr>
                        <m:nor/>
                      </m:rPr>
                      <w:rPr>
                        <w:rFonts w:ascii="Arial" w:hAnsi="Arial" w:cs="Arial"/>
                        <w:sz w:val="22"/>
                        <w:szCs w:val="22"/>
                      </w:rPr>
                      <m:t>mid</m:t>
                    </m:r>
                  </m:sub>
                </m:sSub>
                <m:r>
                  <m:rPr>
                    <m:sty m:val="b"/>
                  </m:rPr>
                  <w:rPr>
                    <w:rFonts w:ascii="Cambria Math" w:hAnsi="Cambria Math" w:cs="Arial"/>
                    <w:sz w:val="22"/>
                    <w:szCs w:val="22"/>
                  </w:rPr>
                  <m:t>)</m:t>
                </m:r>
              </m:oMath>
            </m:oMathPara>
          </w:p>
        </w:tc>
        <w:tc>
          <w:tcPr>
            <w:tcW w:w="0" w:type="auto"/>
          </w:tcPr>
          <w:p w14:paraId="416C306E" w14:textId="77777777" w:rsidR="00182D80" w:rsidRPr="0007255D" w:rsidRDefault="00182D80" w:rsidP="005E3B61">
            <w:pPr>
              <w:pStyle w:val="Compact"/>
              <w:jc w:val="right"/>
              <w:rPr>
                <w:rFonts w:ascii="Arial" w:hAnsi="Arial" w:cs="Arial"/>
                <w:sz w:val="22"/>
                <w:szCs w:val="22"/>
              </w:rPr>
            </w:pPr>
            <m:oMathPara>
              <m:oMath>
                <m:r>
                  <m:rPr>
                    <m:sty m:val="b"/>
                  </m:rPr>
                  <w:rPr>
                    <w:rFonts w:ascii="Cambria Math" w:hAnsi="Cambria Math" w:cs="Arial"/>
                    <w:sz w:val="22"/>
                    <w:szCs w:val="22"/>
                  </w:rPr>
                  <m:t>Λ(</m:t>
                </m:r>
                <m:sSub>
                  <m:sSubPr>
                    <m:ctrlPr>
                      <w:rPr>
                        <w:rFonts w:ascii="Cambria Math" w:hAnsi="Cambria Math" w:cs="Arial"/>
                        <w:sz w:val="22"/>
                        <w:szCs w:val="22"/>
                      </w:rPr>
                    </m:ctrlPr>
                  </m:sSubPr>
                  <m:e>
                    <m:r>
                      <m:rPr>
                        <m:sty m:val="bi"/>
                      </m:rPr>
                      <w:rPr>
                        <w:rFonts w:ascii="Cambria Math" w:hAnsi="Cambria Math" w:cs="Arial"/>
                        <w:sz w:val="22"/>
                        <w:szCs w:val="22"/>
                      </w:rPr>
                      <m:t>p</m:t>
                    </m:r>
                  </m:e>
                  <m:sub>
                    <m:r>
                      <m:rPr>
                        <m:sty m:val="b"/>
                      </m:rPr>
                      <w:rPr>
                        <w:rFonts w:ascii="Cambria Math" w:hAnsi="Cambria Math" w:cs="Arial"/>
                        <w:sz w:val="22"/>
                        <w:szCs w:val="22"/>
                      </w:rPr>
                      <m:t>max</m:t>
                    </m:r>
                  </m:sub>
                </m:sSub>
                <m:r>
                  <m:rPr>
                    <m:sty m:val="b"/>
                  </m:rPr>
                  <w:rPr>
                    <w:rFonts w:ascii="Cambria Math" w:hAnsi="Cambria Math" w:cs="Arial"/>
                    <w:sz w:val="22"/>
                    <w:szCs w:val="22"/>
                  </w:rPr>
                  <m:t>)</m:t>
                </m:r>
              </m:oMath>
            </m:oMathPara>
          </w:p>
        </w:tc>
        <w:tc>
          <w:tcPr>
            <w:tcW w:w="0" w:type="auto"/>
          </w:tcPr>
          <w:p w14:paraId="6E8ABF6E" w14:textId="77777777" w:rsidR="00182D80" w:rsidRPr="0007255D" w:rsidRDefault="00182D80" w:rsidP="005E3B61">
            <w:pPr>
              <w:pStyle w:val="Compact"/>
              <w:jc w:val="right"/>
              <w:rPr>
                <w:rFonts w:ascii="Arial" w:hAnsi="Arial" w:cs="Arial"/>
                <w:sz w:val="22"/>
                <w:szCs w:val="22"/>
              </w:rPr>
            </w:pPr>
            <w:r w:rsidRPr="0007255D">
              <w:rPr>
                <w:rFonts w:ascii="Arial" w:hAnsi="Arial" w:cs="Arial"/>
                <w:b/>
                <w:bCs/>
                <w:sz w:val="22"/>
                <w:szCs w:val="22"/>
              </w:rPr>
              <w:t>Fold</w:t>
            </w:r>
          </w:p>
        </w:tc>
      </w:tr>
      <w:tr w:rsidR="00182D80" w:rsidRPr="0007255D" w14:paraId="48E68545" w14:textId="77777777" w:rsidTr="005E3B61">
        <w:tc>
          <w:tcPr>
            <w:tcW w:w="0" w:type="auto"/>
          </w:tcPr>
          <w:p w14:paraId="0C640B34"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Dengue</w:t>
            </w:r>
          </w:p>
        </w:tc>
        <w:tc>
          <w:tcPr>
            <w:tcW w:w="0" w:type="auto"/>
          </w:tcPr>
          <w:p w14:paraId="750E7F3D" w14:textId="77777777" w:rsidR="00182D80" w:rsidRPr="0007255D" w:rsidRDefault="00182D80" w:rsidP="005E3B61">
            <w:pPr>
              <w:pStyle w:val="Compact"/>
              <w:jc w:val="center"/>
              <w:rPr>
                <w:rFonts w:ascii="Arial" w:hAnsi="Arial" w:cs="Arial"/>
                <w:sz w:val="22"/>
                <w:szCs w:val="22"/>
              </w:rPr>
            </w:pPr>
            <w:r w:rsidRPr="0007255D">
              <w:rPr>
                <w:rFonts w:ascii="Arial" w:hAnsi="Arial" w:cs="Arial"/>
                <w:sz w:val="22"/>
                <w:szCs w:val="22"/>
              </w:rPr>
              <w:t>0.30</w:t>
            </w:r>
          </w:p>
        </w:tc>
        <w:tc>
          <w:tcPr>
            <w:tcW w:w="0" w:type="auto"/>
          </w:tcPr>
          <w:p w14:paraId="48342D96" w14:textId="77777777" w:rsidR="00182D80" w:rsidRPr="0007255D" w:rsidRDefault="00182D80" w:rsidP="005E3B61">
            <w:pPr>
              <w:pStyle w:val="Compact"/>
              <w:jc w:val="center"/>
              <w:rPr>
                <w:rFonts w:ascii="Arial" w:hAnsi="Arial" w:cs="Arial"/>
                <w:sz w:val="22"/>
                <w:szCs w:val="22"/>
              </w:rPr>
            </w:pPr>
            <w:r w:rsidRPr="0007255D">
              <w:rPr>
                <w:rFonts w:ascii="Arial" w:hAnsi="Arial" w:cs="Arial"/>
                <w:sz w:val="22"/>
                <w:szCs w:val="22"/>
              </w:rPr>
              <w:t>0.50</w:t>
            </w:r>
          </w:p>
        </w:tc>
        <w:tc>
          <w:tcPr>
            <w:tcW w:w="0" w:type="auto"/>
          </w:tcPr>
          <w:p w14:paraId="14C5B906" w14:textId="77777777" w:rsidR="00182D80" w:rsidRPr="0007255D" w:rsidRDefault="00182D80" w:rsidP="005E3B61">
            <w:pPr>
              <w:pStyle w:val="Compact"/>
              <w:jc w:val="center"/>
              <w:rPr>
                <w:rFonts w:ascii="Arial" w:hAnsi="Arial" w:cs="Arial"/>
                <w:sz w:val="22"/>
                <w:szCs w:val="22"/>
              </w:rPr>
            </w:pPr>
            <w:r w:rsidRPr="0007255D">
              <w:rPr>
                <w:rFonts w:ascii="Arial" w:hAnsi="Arial" w:cs="Arial"/>
                <w:sz w:val="22"/>
                <w:szCs w:val="22"/>
              </w:rPr>
              <w:t>0.70</w:t>
            </w:r>
          </w:p>
        </w:tc>
        <w:tc>
          <w:tcPr>
            <w:tcW w:w="0" w:type="auto"/>
          </w:tcPr>
          <w:p w14:paraId="0057D361" w14:textId="77777777" w:rsidR="00182D80" w:rsidRPr="0007255D" w:rsidRDefault="00182D80" w:rsidP="005E3B61">
            <w:pPr>
              <w:pStyle w:val="Compact"/>
              <w:jc w:val="right"/>
              <w:rPr>
                <w:rFonts w:ascii="Arial" w:hAnsi="Arial" w:cs="Arial"/>
                <w:sz w:val="22"/>
                <w:szCs w:val="22"/>
              </w:rPr>
            </w:pPr>
            <w:r w:rsidRPr="0007255D">
              <w:rPr>
                <w:rFonts w:ascii="Arial" w:hAnsi="Arial" w:cs="Arial"/>
                <w:sz w:val="22"/>
                <w:szCs w:val="22"/>
              </w:rPr>
              <w:t>29.70</w:t>
            </w:r>
          </w:p>
        </w:tc>
        <w:tc>
          <w:tcPr>
            <w:tcW w:w="0" w:type="auto"/>
          </w:tcPr>
          <w:p w14:paraId="4454EC8E" w14:textId="77777777" w:rsidR="00182D80" w:rsidRPr="0007255D" w:rsidRDefault="00182D80" w:rsidP="005E3B61">
            <w:pPr>
              <w:pStyle w:val="Compact"/>
              <w:jc w:val="right"/>
              <w:rPr>
                <w:rFonts w:ascii="Arial" w:hAnsi="Arial" w:cs="Arial"/>
                <w:sz w:val="22"/>
                <w:szCs w:val="22"/>
              </w:rPr>
            </w:pPr>
            <w:r w:rsidRPr="0007255D">
              <w:rPr>
                <w:rFonts w:ascii="Arial" w:hAnsi="Arial" w:cs="Arial"/>
                <w:sz w:val="22"/>
                <w:szCs w:val="22"/>
              </w:rPr>
              <w:t>49.50</w:t>
            </w:r>
          </w:p>
        </w:tc>
        <w:tc>
          <w:tcPr>
            <w:tcW w:w="0" w:type="auto"/>
          </w:tcPr>
          <w:p w14:paraId="0903E5E6" w14:textId="77777777" w:rsidR="00182D80" w:rsidRPr="0007255D" w:rsidRDefault="00182D80" w:rsidP="005E3B61">
            <w:pPr>
              <w:pStyle w:val="Compact"/>
              <w:jc w:val="right"/>
              <w:rPr>
                <w:rFonts w:ascii="Arial" w:hAnsi="Arial" w:cs="Arial"/>
                <w:sz w:val="22"/>
                <w:szCs w:val="22"/>
              </w:rPr>
            </w:pPr>
            <w:r w:rsidRPr="0007255D">
              <w:rPr>
                <w:rFonts w:ascii="Arial" w:hAnsi="Arial" w:cs="Arial"/>
                <w:sz w:val="22"/>
                <w:szCs w:val="22"/>
              </w:rPr>
              <w:t>69.29</w:t>
            </w:r>
          </w:p>
        </w:tc>
        <w:tc>
          <w:tcPr>
            <w:tcW w:w="0" w:type="auto"/>
          </w:tcPr>
          <w:p w14:paraId="7597500A" w14:textId="77777777" w:rsidR="00182D80" w:rsidRPr="0007255D" w:rsidRDefault="00182D80" w:rsidP="005E3B61">
            <w:pPr>
              <w:pStyle w:val="Compact"/>
              <w:jc w:val="right"/>
              <w:rPr>
                <w:rFonts w:ascii="Arial" w:hAnsi="Arial" w:cs="Arial"/>
                <w:sz w:val="22"/>
                <w:szCs w:val="22"/>
              </w:rPr>
            </w:pPr>
            <w:r w:rsidRPr="0007255D">
              <w:rPr>
                <w:rFonts w:ascii="Arial" w:hAnsi="Arial" w:cs="Arial"/>
                <w:sz w:val="22"/>
                <w:szCs w:val="22"/>
              </w:rPr>
              <w:t>2.3</w:t>
            </w:r>
            <m:oMath>
              <m:r>
                <m:rPr>
                  <m:sty m:val="p"/>
                </m:rPr>
                <w:rPr>
                  <w:rFonts w:ascii="Cambria Math" w:hAnsi="Cambria Math" w:cs="Arial"/>
                  <w:sz w:val="22"/>
                  <w:szCs w:val="22"/>
                </w:rPr>
                <m:t>×</m:t>
              </m:r>
            </m:oMath>
          </w:p>
        </w:tc>
      </w:tr>
      <w:tr w:rsidR="00182D80" w:rsidRPr="0007255D" w14:paraId="20BC0123" w14:textId="77777777" w:rsidTr="005E3B61">
        <w:tc>
          <w:tcPr>
            <w:tcW w:w="0" w:type="auto"/>
          </w:tcPr>
          <w:p w14:paraId="4E9388A6"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Malaria</w:t>
            </w:r>
          </w:p>
        </w:tc>
        <w:tc>
          <w:tcPr>
            <w:tcW w:w="0" w:type="auto"/>
          </w:tcPr>
          <w:p w14:paraId="0CEE2751" w14:textId="77777777" w:rsidR="00182D80" w:rsidRPr="0007255D" w:rsidRDefault="00182D80" w:rsidP="005E3B61">
            <w:pPr>
              <w:pStyle w:val="Compact"/>
              <w:jc w:val="center"/>
              <w:rPr>
                <w:rFonts w:ascii="Arial" w:hAnsi="Arial" w:cs="Arial"/>
                <w:sz w:val="22"/>
                <w:szCs w:val="22"/>
              </w:rPr>
            </w:pPr>
            <w:r w:rsidRPr="0007255D">
              <w:rPr>
                <w:rFonts w:ascii="Arial" w:hAnsi="Arial" w:cs="Arial"/>
                <w:sz w:val="22"/>
                <w:szCs w:val="22"/>
              </w:rPr>
              <w:t>0.10</w:t>
            </w:r>
          </w:p>
        </w:tc>
        <w:tc>
          <w:tcPr>
            <w:tcW w:w="0" w:type="auto"/>
          </w:tcPr>
          <w:p w14:paraId="27670E31" w14:textId="77777777" w:rsidR="00182D80" w:rsidRPr="0007255D" w:rsidRDefault="00182D80" w:rsidP="005E3B61">
            <w:pPr>
              <w:pStyle w:val="Compact"/>
              <w:jc w:val="center"/>
              <w:rPr>
                <w:rFonts w:ascii="Arial" w:hAnsi="Arial" w:cs="Arial"/>
                <w:sz w:val="22"/>
                <w:szCs w:val="22"/>
              </w:rPr>
            </w:pPr>
            <w:r w:rsidRPr="0007255D">
              <w:rPr>
                <w:rFonts w:ascii="Arial" w:hAnsi="Arial" w:cs="Arial"/>
                <w:sz w:val="22"/>
                <w:szCs w:val="22"/>
              </w:rPr>
              <w:t>0.30</w:t>
            </w:r>
          </w:p>
        </w:tc>
        <w:tc>
          <w:tcPr>
            <w:tcW w:w="0" w:type="auto"/>
          </w:tcPr>
          <w:p w14:paraId="37983762" w14:textId="77777777" w:rsidR="00182D80" w:rsidRPr="0007255D" w:rsidRDefault="00182D80" w:rsidP="005E3B61">
            <w:pPr>
              <w:pStyle w:val="Compact"/>
              <w:jc w:val="center"/>
              <w:rPr>
                <w:rFonts w:ascii="Arial" w:hAnsi="Arial" w:cs="Arial"/>
                <w:sz w:val="22"/>
                <w:szCs w:val="22"/>
              </w:rPr>
            </w:pPr>
            <w:r w:rsidRPr="0007255D">
              <w:rPr>
                <w:rFonts w:ascii="Arial" w:hAnsi="Arial" w:cs="Arial"/>
                <w:sz w:val="22"/>
                <w:szCs w:val="22"/>
              </w:rPr>
              <w:t>0.50</w:t>
            </w:r>
          </w:p>
        </w:tc>
        <w:tc>
          <w:tcPr>
            <w:tcW w:w="0" w:type="auto"/>
          </w:tcPr>
          <w:p w14:paraId="65916C50" w14:textId="77777777" w:rsidR="00182D80" w:rsidRPr="0007255D" w:rsidRDefault="00182D80" w:rsidP="005E3B61">
            <w:pPr>
              <w:pStyle w:val="Compact"/>
              <w:jc w:val="right"/>
              <w:rPr>
                <w:rFonts w:ascii="Arial" w:hAnsi="Arial" w:cs="Arial"/>
                <w:sz w:val="22"/>
                <w:szCs w:val="22"/>
              </w:rPr>
            </w:pPr>
            <w:r w:rsidRPr="0007255D">
              <w:rPr>
                <w:rFonts w:ascii="Arial" w:hAnsi="Arial" w:cs="Arial"/>
                <w:sz w:val="22"/>
                <w:szCs w:val="22"/>
              </w:rPr>
              <w:t>6.08</w:t>
            </w:r>
          </w:p>
        </w:tc>
        <w:tc>
          <w:tcPr>
            <w:tcW w:w="0" w:type="auto"/>
          </w:tcPr>
          <w:p w14:paraId="16F51E5E" w14:textId="77777777" w:rsidR="00182D80" w:rsidRPr="0007255D" w:rsidRDefault="00182D80" w:rsidP="005E3B61">
            <w:pPr>
              <w:pStyle w:val="Compact"/>
              <w:jc w:val="right"/>
              <w:rPr>
                <w:rFonts w:ascii="Arial" w:hAnsi="Arial" w:cs="Arial"/>
                <w:sz w:val="22"/>
                <w:szCs w:val="22"/>
              </w:rPr>
            </w:pPr>
            <w:r w:rsidRPr="0007255D">
              <w:rPr>
                <w:rFonts w:ascii="Arial" w:hAnsi="Arial" w:cs="Arial"/>
                <w:sz w:val="22"/>
                <w:szCs w:val="22"/>
              </w:rPr>
              <w:t>18.25</w:t>
            </w:r>
          </w:p>
        </w:tc>
        <w:tc>
          <w:tcPr>
            <w:tcW w:w="0" w:type="auto"/>
          </w:tcPr>
          <w:p w14:paraId="549AC5CD" w14:textId="77777777" w:rsidR="00182D80" w:rsidRPr="0007255D" w:rsidRDefault="00182D80" w:rsidP="005E3B61">
            <w:pPr>
              <w:pStyle w:val="Compact"/>
              <w:jc w:val="right"/>
              <w:rPr>
                <w:rFonts w:ascii="Arial" w:hAnsi="Arial" w:cs="Arial"/>
                <w:sz w:val="22"/>
                <w:szCs w:val="22"/>
              </w:rPr>
            </w:pPr>
            <w:r w:rsidRPr="0007255D">
              <w:rPr>
                <w:rFonts w:ascii="Arial" w:hAnsi="Arial" w:cs="Arial"/>
                <w:sz w:val="22"/>
                <w:szCs w:val="22"/>
              </w:rPr>
              <w:t>30.42</w:t>
            </w:r>
          </w:p>
        </w:tc>
        <w:tc>
          <w:tcPr>
            <w:tcW w:w="0" w:type="auto"/>
          </w:tcPr>
          <w:p w14:paraId="50A33884" w14:textId="77777777" w:rsidR="00182D80" w:rsidRPr="0007255D" w:rsidRDefault="00182D80" w:rsidP="005E3B61">
            <w:pPr>
              <w:pStyle w:val="Compact"/>
              <w:jc w:val="right"/>
              <w:rPr>
                <w:rFonts w:ascii="Arial" w:hAnsi="Arial" w:cs="Arial"/>
                <w:sz w:val="22"/>
                <w:szCs w:val="22"/>
              </w:rPr>
            </w:pPr>
            <w:r w:rsidRPr="0007255D">
              <w:rPr>
                <w:rFonts w:ascii="Arial" w:hAnsi="Arial" w:cs="Arial"/>
                <w:sz w:val="22"/>
                <w:szCs w:val="22"/>
              </w:rPr>
              <w:t>5.0</w:t>
            </w:r>
            <m:oMath>
              <m:r>
                <m:rPr>
                  <m:sty m:val="p"/>
                </m:rPr>
                <w:rPr>
                  <w:rFonts w:ascii="Cambria Math" w:hAnsi="Cambria Math" w:cs="Arial"/>
                  <w:sz w:val="22"/>
                  <w:szCs w:val="22"/>
                </w:rPr>
                <m:t>×</m:t>
              </m:r>
            </m:oMath>
          </w:p>
        </w:tc>
      </w:tr>
      <w:tr w:rsidR="00182D80" w:rsidRPr="0007255D" w14:paraId="4DF5F2C1" w14:textId="77777777" w:rsidTr="005E3B61">
        <w:tc>
          <w:tcPr>
            <w:tcW w:w="0" w:type="auto"/>
          </w:tcPr>
          <w:p w14:paraId="678465BE"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Measles</w:t>
            </w:r>
          </w:p>
        </w:tc>
        <w:tc>
          <w:tcPr>
            <w:tcW w:w="0" w:type="auto"/>
          </w:tcPr>
          <w:p w14:paraId="5D40158B" w14:textId="77777777" w:rsidR="00182D80" w:rsidRPr="0007255D" w:rsidRDefault="00182D80" w:rsidP="005E3B61">
            <w:pPr>
              <w:pStyle w:val="Compact"/>
              <w:jc w:val="center"/>
              <w:rPr>
                <w:rFonts w:ascii="Arial" w:hAnsi="Arial" w:cs="Arial"/>
                <w:sz w:val="22"/>
                <w:szCs w:val="22"/>
              </w:rPr>
            </w:pPr>
            <w:r w:rsidRPr="0007255D">
              <w:rPr>
                <w:rFonts w:ascii="Arial" w:hAnsi="Arial" w:cs="Arial"/>
                <w:sz w:val="22"/>
                <w:szCs w:val="22"/>
              </w:rPr>
              <w:t>0.02</w:t>
            </w:r>
          </w:p>
        </w:tc>
        <w:tc>
          <w:tcPr>
            <w:tcW w:w="0" w:type="auto"/>
          </w:tcPr>
          <w:p w14:paraId="7E87686F" w14:textId="77777777" w:rsidR="00182D80" w:rsidRPr="0007255D" w:rsidRDefault="00182D80" w:rsidP="005E3B61">
            <w:pPr>
              <w:pStyle w:val="Compact"/>
              <w:jc w:val="center"/>
              <w:rPr>
                <w:rFonts w:ascii="Arial" w:hAnsi="Arial" w:cs="Arial"/>
                <w:sz w:val="22"/>
                <w:szCs w:val="22"/>
              </w:rPr>
            </w:pPr>
            <w:r w:rsidRPr="0007255D">
              <w:rPr>
                <w:rFonts w:ascii="Arial" w:hAnsi="Arial" w:cs="Arial"/>
                <w:sz w:val="22"/>
                <w:szCs w:val="22"/>
              </w:rPr>
              <w:t>0.06</w:t>
            </w:r>
          </w:p>
        </w:tc>
        <w:tc>
          <w:tcPr>
            <w:tcW w:w="0" w:type="auto"/>
          </w:tcPr>
          <w:p w14:paraId="2BBE5C97" w14:textId="77777777" w:rsidR="00182D80" w:rsidRPr="0007255D" w:rsidRDefault="00182D80" w:rsidP="005E3B61">
            <w:pPr>
              <w:pStyle w:val="Compact"/>
              <w:jc w:val="center"/>
              <w:rPr>
                <w:rFonts w:ascii="Arial" w:hAnsi="Arial" w:cs="Arial"/>
                <w:sz w:val="22"/>
                <w:szCs w:val="22"/>
              </w:rPr>
            </w:pPr>
            <w:r w:rsidRPr="0007255D">
              <w:rPr>
                <w:rFonts w:ascii="Arial" w:hAnsi="Arial" w:cs="Arial"/>
                <w:sz w:val="22"/>
                <w:szCs w:val="22"/>
              </w:rPr>
              <w:t>0.10</w:t>
            </w:r>
          </w:p>
        </w:tc>
        <w:tc>
          <w:tcPr>
            <w:tcW w:w="0" w:type="auto"/>
          </w:tcPr>
          <w:p w14:paraId="40F2E6D8" w14:textId="77777777" w:rsidR="00182D80" w:rsidRPr="0007255D" w:rsidRDefault="00182D80" w:rsidP="005E3B61">
            <w:pPr>
              <w:pStyle w:val="Compact"/>
              <w:jc w:val="right"/>
              <w:rPr>
                <w:rFonts w:ascii="Arial" w:hAnsi="Arial" w:cs="Arial"/>
                <w:sz w:val="22"/>
                <w:szCs w:val="22"/>
              </w:rPr>
            </w:pPr>
            <w:r w:rsidRPr="0007255D">
              <w:rPr>
                <w:rFonts w:ascii="Arial" w:hAnsi="Arial" w:cs="Arial"/>
                <w:sz w:val="22"/>
                <w:szCs w:val="22"/>
              </w:rPr>
              <w:t>0.02</w:t>
            </w:r>
          </w:p>
        </w:tc>
        <w:tc>
          <w:tcPr>
            <w:tcW w:w="0" w:type="auto"/>
          </w:tcPr>
          <w:p w14:paraId="418ECC14" w14:textId="77777777" w:rsidR="00182D80" w:rsidRPr="0007255D" w:rsidRDefault="00182D80" w:rsidP="005E3B61">
            <w:pPr>
              <w:pStyle w:val="Compact"/>
              <w:jc w:val="right"/>
              <w:rPr>
                <w:rFonts w:ascii="Arial" w:hAnsi="Arial" w:cs="Arial"/>
                <w:sz w:val="22"/>
                <w:szCs w:val="22"/>
              </w:rPr>
            </w:pPr>
            <w:r w:rsidRPr="0007255D">
              <w:rPr>
                <w:rFonts w:ascii="Arial" w:hAnsi="Arial" w:cs="Arial"/>
                <w:sz w:val="22"/>
                <w:szCs w:val="22"/>
              </w:rPr>
              <w:t>0.05</w:t>
            </w:r>
          </w:p>
        </w:tc>
        <w:tc>
          <w:tcPr>
            <w:tcW w:w="0" w:type="auto"/>
          </w:tcPr>
          <w:p w14:paraId="1E37EC6A" w14:textId="77777777" w:rsidR="00182D80" w:rsidRPr="0007255D" w:rsidRDefault="00182D80" w:rsidP="005E3B61">
            <w:pPr>
              <w:pStyle w:val="Compact"/>
              <w:jc w:val="right"/>
              <w:rPr>
                <w:rFonts w:ascii="Arial" w:hAnsi="Arial" w:cs="Arial"/>
                <w:sz w:val="22"/>
                <w:szCs w:val="22"/>
              </w:rPr>
            </w:pPr>
            <w:r w:rsidRPr="0007255D">
              <w:rPr>
                <w:rFonts w:ascii="Arial" w:hAnsi="Arial" w:cs="Arial"/>
                <w:sz w:val="22"/>
                <w:szCs w:val="22"/>
              </w:rPr>
              <w:t>0.08</w:t>
            </w:r>
          </w:p>
        </w:tc>
        <w:tc>
          <w:tcPr>
            <w:tcW w:w="0" w:type="auto"/>
          </w:tcPr>
          <w:p w14:paraId="62756D7B" w14:textId="77777777" w:rsidR="00182D80" w:rsidRPr="0007255D" w:rsidRDefault="00182D80" w:rsidP="005E3B61">
            <w:pPr>
              <w:pStyle w:val="Compact"/>
              <w:jc w:val="right"/>
              <w:rPr>
                <w:rFonts w:ascii="Arial" w:hAnsi="Arial" w:cs="Arial"/>
                <w:sz w:val="22"/>
                <w:szCs w:val="22"/>
              </w:rPr>
            </w:pPr>
            <w:r w:rsidRPr="0007255D">
              <w:rPr>
                <w:rFonts w:ascii="Arial" w:hAnsi="Arial" w:cs="Arial"/>
                <w:sz w:val="22"/>
                <w:szCs w:val="22"/>
              </w:rPr>
              <w:t>5.0</w:t>
            </w:r>
            <m:oMath>
              <m:r>
                <m:rPr>
                  <m:sty m:val="p"/>
                </m:rPr>
                <w:rPr>
                  <w:rFonts w:ascii="Cambria Math" w:hAnsi="Cambria Math" w:cs="Arial"/>
                  <w:sz w:val="22"/>
                  <w:szCs w:val="22"/>
                </w:rPr>
                <m:t>×</m:t>
              </m:r>
            </m:oMath>
          </w:p>
        </w:tc>
      </w:tr>
      <w:tr w:rsidR="00182D80" w:rsidRPr="0007255D" w14:paraId="1AE5789B" w14:textId="77777777" w:rsidTr="005E3B61">
        <w:tc>
          <w:tcPr>
            <w:tcW w:w="0" w:type="auto"/>
          </w:tcPr>
          <w:p w14:paraId="6F6EC59B"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Pertussis</w:t>
            </w:r>
          </w:p>
        </w:tc>
        <w:tc>
          <w:tcPr>
            <w:tcW w:w="0" w:type="auto"/>
          </w:tcPr>
          <w:p w14:paraId="079FAFF1" w14:textId="77777777" w:rsidR="00182D80" w:rsidRPr="0007255D" w:rsidRDefault="00182D80" w:rsidP="005E3B61">
            <w:pPr>
              <w:pStyle w:val="Compact"/>
              <w:jc w:val="center"/>
              <w:rPr>
                <w:rFonts w:ascii="Arial" w:hAnsi="Arial" w:cs="Arial"/>
                <w:sz w:val="22"/>
                <w:szCs w:val="22"/>
              </w:rPr>
            </w:pPr>
            <w:r w:rsidRPr="0007255D">
              <w:rPr>
                <w:rFonts w:ascii="Arial" w:hAnsi="Arial" w:cs="Arial"/>
                <w:sz w:val="22"/>
                <w:szCs w:val="22"/>
              </w:rPr>
              <w:t>0.50</w:t>
            </w:r>
          </w:p>
        </w:tc>
        <w:tc>
          <w:tcPr>
            <w:tcW w:w="0" w:type="auto"/>
          </w:tcPr>
          <w:p w14:paraId="142D61EE" w14:textId="77777777" w:rsidR="00182D80" w:rsidRPr="0007255D" w:rsidRDefault="00182D80" w:rsidP="005E3B61">
            <w:pPr>
              <w:pStyle w:val="Compact"/>
              <w:jc w:val="center"/>
              <w:rPr>
                <w:rFonts w:ascii="Arial" w:hAnsi="Arial" w:cs="Arial"/>
                <w:sz w:val="22"/>
                <w:szCs w:val="22"/>
              </w:rPr>
            </w:pPr>
            <w:r w:rsidRPr="0007255D">
              <w:rPr>
                <w:rFonts w:ascii="Arial" w:hAnsi="Arial" w:cs="Arial"/>
                <w:sz w:val="22"/>
                <w:szCs w:val="22"/>
              </w:rPr>
              <w:t>0.70</w:t>
            </w:r>
          </w:p>
        </w:tc>
        <w:tc>
          <w:tcPr>
            <w:tcW w:w="0" w:type="auto"/>
          </w:tcPr>
          <w:p w14:paraId="2C12B5D6" w14:textId="77777777" w:rsidR="00182D80" w:rsidRPr="0007255D" w:rsidRDefault="00182D80" w:rsidP="005E3B61">
            <w:pPr>
              <w:pStyle w:val="Compact"/>
              <w:jc w:val="center"/>
              <w:rPr>
                <w:rFonts w:ascii="Arial" w:hAnsi="Arial" w:cs="Arial"/>
                <w:sz w:val="22"/>
                <w:szCs w:val="22"/>
              </w:rPr>
            </w:pPr>
            <w:r w:rsidRPr="0007255D">
              <w:rPr>
                <w:rFonts w:ascii="Arial" w:hAnsi="Arial" w:cs="Arial"/>
                <w:sz w:val="22"/>
                <w:szCs w:val="22"/>
              </w:rPr>
              <w:t>0.90</w:t>
            </w:r>
          </w:p>
        </w:tc>
        <w:tc>
          <w:tcPr>
            <w:tcW w:w="0" w:type="auto"/>
          </w:tcPr>
          <w:p w14:paraId="64D6AC6E" w14:textId="77777777" w:rsidR="00182D80" w:rsidRPr="0007255D" w:rsidRDefault="00182D80" w:rsidP="005E3B61">
            <w:pPr>
              <w:pStyle w:val="Compact"/>
              <w:jc w:val="right"/>
              <w:rPr>
                <w:rFonts w:ascii="Arial" w:hAnsi="Arial" w:cs="Arial"/>
                <w:sz w:val="22"/>
                <w:szCs w:val="22"/>
              </w:rPr>
            </w:pPr>
            <w:r w:rsidRPr="0007255D">
              <w:rPr>
                <w:rFonts w:ascii="Arial" w:hAnsi="Arial" w:cs="Arial"/>
                <w:sz w:val="22"/>
                <w:szCs w:val="22"/>
              </w:rPr>
              <w:t>1.49</w:t>
            </w:r>
          </w:p>
        </w:tc>
        <w:tc>
          <w:tcPr>
            <w:tcW w:w="0" w:type="auto"/>
          </w:tcPr>
          <w:p w14:paraId="1AA1E210" w14:textId="77777777" w:rsidR="00182D80" w:rsidRPr="0007255D" w:rsidRDefault="00182D80" w:rsidP="005E3B61">
            <w:pPr>
              <w:pStyle w:val="Compact"/>
              <w:jc w:val="right"/>
              <w:rPr>
                <w:rFonts w:ascii="Arial" w:hAnsi="Arial" w:cs="Arial"/>
                <w:sz w:val="22"/>
                <w:szCs w:val="22"/>
              </w:rPr>
            </w:pPr>
            <w:r w:rsidRPr="0007255D">
              <w:rPr>
                <w:rFonts w:ascii="Arial" w:hAnsi="Arial" w:cs="Arial"/>
                <w:sz w:val="22"/>
                <w:szCs w:val="22"/>
              </w:rPr>
              <w:t>2.08</w:t>
            </w:r>
          </w:p>
        </w:tc>
        <w:tc>
          <w:tcPr>
            <w:tcW w:w="0" w:type="auto"/>
          </w:tcPr>
          <w:p w14:paraId="4F6A3B15" w14:textId="77777777" w:rsidR="00182D80" w:rsidRPr="0007255D" w:rsidRDefault="00182D80" w:rsidP="005E3B61">
            <w:pPr>
              <w:pStyle w:val="Compact"/>
              <w:jc w:val="right"/>
              <w:rPr>
                <w:rFonts w:ascii="Arial" w:hAnsi="Arial" w:cs="Arial"/>
                <w:sz w:val="22"/>
                <w:szCs w:val="22"/>
              </w:rPr>
            </w:pPr>
            <w:r w:rsidRPr="0007255D">
              <w:rPr>
                <w:rFonts w:ascii="Arial" w:hAnsi="Arial" w:cs="Arial"/>
                <w:sz w:val="22"/>
                <w:szCs w:val="22"/>
              </w:rPr>
              <w:t>2.68</w:t>
            </w:r>
          </w:p>
        </w:tc>
        <w:tc>
          <w:tcPr>
            <w:tcW w:w="0" w:type="auto"/>
          </w:tcPr>
          <w:p w14:paraId="3969621B" w14:textId="77777777" w:rsidR="00182D80" w:rsidRPr="0007255D" w:rsidRDefault="00182D80" w:rsidP="005E3B61">
            <w:pPr>
              <w:pStyle w:val="Compact"/>
              <w:jc w:val="right"/>
              <w:rPr>
                <w:rFonts w:ascii="Arial" w:hAnsi="Arial" w:cs="Arial"/>
                <w:sz w:val="22"/>
                <w:szCs w:val="22"/>
              </w:rPr>
            </w:pPr>
            <w:r w:rsidRPr="0007255D">
              <w:rPr>
                <w:rFonts w:ascii="Arial" w:hAnsi="Arial" w:cs="Arial"/>
                <w:sz w:val="22"/>
                <w:szCs w:val="22"/>
              </w:rPr>
              <w:t>1.8</w:t>
            </w:r>
            <m:oMath>
              <m:r>
                <m:rPr>
                  <m:sty m:val="p"/>
                </m:rPr>
                <w:rPr>
                  <w:rFonts w:ascii="Cambria Math" w:hAnsi="Cambria Math" w:cs="Arial"/>
                  <w:sz w:val="22"/>
                  <w:szCs w:val="22"/>
                </w:rPr>
                <m:t>×</m:t>
              </m:r>
            </m:oMath>
          </w:p>
        </w:tc>
      </w:tr>
      <w:tr w:rsidR="00182D80" w:rsidRPr="0007255D" w14:paraId="12F9E433" w14:textId="77777777" w:rsidTr="005E3B61">
        <w:tc>
          <w:tcPr>
            <w:tcW w:w="0" w:type="auto"/>
          </w:tcPr>
          <w:p w14:paraId="7050A121" w14:textId="77777777" w:rsidR="00182D80" w:rsidRPr="0007255D" w:rsidRDefault="00182D80" w:rsidP="005E3B61">
            <w:pPr>
              <w:pStyle w:val="Compact"/>
              <w:rPr>
                <w:rFonts w:ascii="Arial" w:hAnsi="Arial" w:cs="Arial"/>
                <w:sz w:val="22"/>
                <w:szCs w:val="22"/>
              </w:rPr>
            </w:pPr>
            <w:r w:rsidRPr="0007255D">
              <w:rPr>
                <w:rFonts w:ascii="Arial" w:hAnsi="Arial" w:cs="Arial"/>
                <w:sz w:val="22"/>
                <w:szCs w:val="22"/>
              </w:rPr>
              <w:t>Influenza</w:t>
            </w:r>
          </w:p>
        </w:tc>
        <w:tc>
          <w:tcPr>
            <w:tcW w:w="0" w:type="auto"/>
          </w:tcPr>
          <w:p w14:paraId="6042727C" w14:textId="77777777" w:rsidR="00182D80" w:rsidRPr="0007255D" w:rsidRDefault="00182D80" w:rsidP="005E3B61">
            <w:pPr>
              <w:pStyle w:val="Compact"/>
              <w:jc w:val="center"/>
              <w:rPr>
                <w:rFonts w:ascii="Arial" w:hAnsi="Arial" w:cs="Arial"/>
                <w:sz w:val="22"/>
                <w:szCs w:val="22"/>
              </w:rPr>
            </w:pPr>
            <w:r w:rsidRPr="0007255D">
              <w:rPr>
                <w:rFonts w:ascii="Arial" w:hAnsi="Arial" w:cs="Arial"/>
                <w:sz w:val="22"/>
                <w:szCs w:val="22"/>
              </w:rPr>
              <w:t>0.30</w:t>
            </w:r>
          </w:p>
        </w:tc>
        <w:tc>
          <w:tcPr>
            <w:tcW w:w="0" w:type="auto"/>
          </w:tcPr>
          <w:p w14:paraId="702EF6DB" w14:textId="77777777" w:rsidR="00182D80" w:rsidRPr="0007255D" w:rsidRDefault="00182D80" w:rsidP="005E3B61">
            <w:pPr>
              <w:pStyle w:val="Compact"/>
              <w:jc w:val="center"/>
              <w:rPr>
                <w:rFonts w:ascii="Arial" w:hAnsi="Arial" w:cs="Arial"/>
                <w:sz w:val="22"/>
                <w:szCs w:val="22"/>
              </w:rPr>
            </w:pPr>
            <w:r w:rsidRPr="0007255D">
              <w:rPr>
                <w:rFonts w:ascii="Arial" w:hAnsi="Arial" w:cs="Arial"/>
                <w:sz w:val="22"/>
                <w:szCs w:val="22"/>
              </w:rPr>
              <w:t>0.50</w:t>
            </w:r>
          </w:p>
        </w:tc>
        <w:tc>
          <w:tcPr>
            <w:tcW w:w="0" w:type="auto"/>
          </w:tcPr>
          <w:p w14:paraId="54C11A68" w14:textId="77777777" w:rsidR="00182D80" w:rsidRPr="0007255D" w:rsidRDefault="00182D80" w:rsidP="005E3B61">
            <w:pPr>
              <w:pStyle w:val="Compact"/>
              <w:jc w:val="center"/>
              <w:rPr>
                <w:rFonts w:ascii="Arial" w:hAnsi="Arial" w:cs="Arial"/>
                <w:sz w:val="22"/>
                <w:szCs w:val="22"/>
              </w:rPr>
            </w:pPr>
            <w:r w:rsidRPr="0007255D">
              <w:rPr>
                <w:rFonts w:ascii="Arial" w:hAnsi="Arial" w:cs="Arial"/>
                <w:sz w:val="22"/>
                <w:szCs w:val="22"/>
              </w:rPr>
              <w:t>0.70</w:t>
            </w:r>
          </w:p>
        </w:tc>
        <w:tc>
          <w:tcPr>
            <w:tcW w:w="0" w:type="auto"/>
          </w:tcPr>
          <w:p w14:paraId="0F1EE25F" w14:textId="77777777" w:rsidR="00182D80" w:rsidRPr="0007255D" w:rsidRDefault="00182D80" w:rsidP="005E3B61">
            <w:pPr>
              <w:pStyle w:val="Compact"/>
              <w:jc w:val="right"/>
              <w:rPr>
                <w:rFonts w:ascii="Arial" w:hAnsi="Arial" w:cs="Arial"/>
                <w:sz w:val="22"/>
                <w:szCs w:val="22"/>
              </w:rPr>
            </w:pPr>
            <w:r w:rsidRPr="0007255D">
              <w:rPr>
                <w:rFonts w:ascii="Arial" w:hAnsi="Arial" w:cs="Arial"/>
                <w:sz w:val="22"/>
                <w:szCs w:val="22"/>
              </w:rPr>
              <w:t>1.19</w:t>
            </w:r>
          </w:p>
        </w:tc>
        <w:tc>
          <w:tcPr>
            <w:tcW w:w="0" w:type="auto"/>
          </w:tcPr>
          <w:p w14:paraId="2EDF2124" w14:textId="77777777" w:rsidR="00182D80" w:rsidRPr="0007255D" w:rsidRDefault="00182D80" w:rsidP="005E3B61">
            <w:pPr>
              <w:pStyle w:val="Compact"/>
              <w:jc w:val="right"/>
              <w:rPr>
                <w:rFonts w:ascii="Arial" w:hAnsi="Arial" w:cs="Arial"/>
                <w:sz w:val="22"/>
                <w:szCs w:val="22"/>
              </w:rPr>
            </w:pPr>
            <w:r w:rsidRPr="0007255D">
              <w:rPr>
                <w:rFonts w:ascii="Arial" w:hAnsi="Arial" w:cs="Arial"/>
                <w:sz w:val="22"/>
                <w:szCs w:val="22"/>
              </w:rPr>
              <w:t>1.98</w:t>
            </w:r>
          </w:p>
        </w:tc>
        <w:tc>
          <w:tcPr>
            <w:tcW w:w="0" w:type="auto"/>
          </w:tcPr>
          <w:p w14:paraId="4107389F" w14:textId="77777777" w:rsidR="00182D80" w:rsidRPr="0007255D" w:rsidRDefault="00182D80" w:rsidP="005E3B61">
            <w:pPr>
              <w:pStyle w:val="Compact"/>
              <w:jc w:val="right"/>
              <w:rPr>
                <w:rFonts w:ascii="Arial" w:hAnsi="Arial" w:cs="Arial"/>
                <w:sz w:val="22"/>
                <w:szCs w:val="22"/>
              </w:rPr>
            </w:pPr>
            <w:r w:rsidRPr="0007255D">
              <w:rPr>
                <w:rFonts w:ascii="Arial" w:hAnsi="Arial" w:cs="Arial"/>
                <w:sz w:val="22"/>
                <w:szCs w:val="22"/>
              </w:rPr>
              <w:t>2.78</w:t>
            </w:r>
          </w:p>
        </w:tc>
        <w:tc>
          <w:tcPr>
            <w:tcW w:w="0" w:type="auto"/>
          </w:tcPr>
          <w:p w14:paraId="4D13FDBC" w14:textId="77777777" w:rsidR="00182D80" w:rsidRPr="0007255D" w:rsidRDefault="00182D80" w:rsidP="005E3B61">
            <w:pPr>
              <w:pStyle w:val="Compact"/>
              <w:jc w:val="right"/>
              <w:rPr>
                <w:rFonts w:ascii="Arial" w:hAnsi="Arial" w:cs="Arial"/>
                <w:sz w:val="22"/>
                <w:szCs w:val="22"/>
              </w:rPr>
            </w:pPr>
            <w:r w:rsidRPr="0007255D">
              <w:rPr>
                <w:rFonts w:ascii="Arial" w:hAnsi="Arial" w:cs="Arial"/>
                <w:sz w:val="22"/>
                <w:szCs w:val="22"/>
              </w:rPr>
              <w:t>2.3</w:t>
            </w:r>
            <m:oMath>
              <m:r>
                <m:rPr>
                  <m:sty m:val="p"/>
                </m:rPr>
                <w:rPr>
                  <w:rFonts w:ascii="Cambria Math" w:hAnsi="Cambria Math" w:cs="Arial"/>
                  <w:sz w:val="22"/>
                  <w:szCs w:val="22"/>
                </w:rPr>
                <m:t>×</m:t>
              </m:r>
            </m:oMath>
          </w:p>
        </w:tc>
      </w:tr>
    </w:tbl>
    <w:p w14:paraId="17B43645" w14:textId="77777777" w:rsidR="00182D80" w:rsidRPr="0007255D" w:rsidRDefault="00182D80" w:rsidP="00182D80">
      <w:pPr>
        <w:pStyle w:val="BodyText"/>
        <w:rPr>
          <w:rFonts w:ascii="Arial" w:hAnsi="Arial" w:cs="Arial"/>
          <w:sz w:val="22"/>
          <w:szCs w:val="22"/>
        </w:rPr>
      </w:pPr>
      <m:oMath>
        <m:r>
          <m:rPr>
            <m:sty m:val="p"/>
          </m:rPr>
          <w:rPr>
            <w:rFonts w:ascii="Cambria Math" w:hAnsi="Cambria Math" w:cs="Arial"/>
            <w:sz w:val="22"/>
            <w:szCs w:val="22"/>
          </w:rPr>
          <m:t>Λ</m:t>
        </m:r>
      </m:oMath>
      <w:r w:rsidRPr="0007255D">
        <w:rPr>
          <w:rFonts w:ascii="Arial" w:hAnsi="Arial" w:cs="Arial"/>
          <w:sz w:val="22"/>
          <w:szCs w:val="22"/>
        </w:rPr>
        <w:t xml:space="preserve"> = 11-city total expected importations (M3 schedule-driven model), computed deterministically with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fixed at its literature midpoint </w:t>
      </w:r>
      <m:oMath>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ρ</m:t>
            </m:r>
          </m:e>
          <m:sub>
            <m:r>
              <m:rPr>
                <m:sty m:val="p"/>
              </m:rPr>
              <w:rPr>
                <w:rFonts w:ascii="Cambria Math" w:hAnsi="Cambria Math" w:cs="Arial"/>
                <w:sz w:val="22"/>
                <w:szCs w:val="22"/>
              </w:rPr>
              <m:t>min</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ρ</m:t>
            </m:r>
          </m:e>
          <m:sub>
            <m:r>
              <m:rPr>
                <m:sty m:val="p"/>
              </m:rPr>
              <w:rPr>
                <w:rFonts w:ascii="Cambria Math" w:hAnsi="Cambria Math" w:cs="Arial"/>
                <w:sz w:val="22"/>
                <w:szCs w:val="22"/>
              </w:rPr>
              <m:t>max</m:t>
            </m:r>
          </m:sub>
        </m:sSub>
        <m:r>
          <m:rPr>
            <m:sty m:val="p"/>
          </m:rPr>
          <w:rPr>
            <w:rFonts w:ascii="Cambria Math" w:hAnsi="Cambria Math" w:cs="Arial"/>
            <w:sz w:val="22"/>
            <w:szCs w:val="22"/>
          </w:rPr>
          <m:t>)/</m:t>
        </m:r>
        <m:r>
          <w:rPr>
            <w:rFonts w:ascii="Cambria Math" w:hAnsi="Cambria Math" w:cs="Arial"/>
            <w:sz w:val="22"/>
            <w:szCs w:val="22"/>
          </w:rPr>
          <m:t>2</m:t>
        </m:r>
      </m:oMath>
      <w:r w:rsidRPr="0007255D">
        <w:rPr>
          <w:rFonts w:ascii="Arial" w:hAnsi="Arial" w:cs="Arial"/>
          <w:sz w:val="22"/>
          <w:szCs w:val="22"/>
        </w:rPr>
        <w:t xml:space="preserve">. Fold </w:t>
      </w:r>
      <m:oMath>
        <m:r>
          <m:rPr>
            <m:sty m:val="p"/>
          </m:rPr>
          <w:rPr>
            <w:rFonts w:ascii="Cambria Math" w:hAnsi="Cambria Math" w:cs="Arial"/>
            <w:sz w:val="22"/>
            <w:szCs w:val="22"/>
          </w:rPr>
          <m:t>=Λ(</m:t>
        </m:r>
        <m:sSub>
          <m:sSubPr>
            <m:ctrlPr>
              <w:rPr>
                <w:rFonts w:ascii="Cambria Math" w:hAnsi="Cambria Math" w:cs="Arial"/>
                <w:sz w:val="22"/>
                <w:szCs w:val="22"/>
              </w:rPr>
            </m:ctrlPr>
          </m:sSubPr>
          <m:e>
            <m:r>
              <w:rPr>
                <w:rFonts w:ascii="Cambria Math" w:hAnsi="Cambria Math" w:cs="Arial"/>
                <w:sz w:val="22"/>
                <w:szCs w:val="22"/>
              </w:rPr>
              <m:t>p</m:t>
            </m:r>
          </m:e>
          <m:sub>
            <m:r>
              <m:rPr>
                <m:sty m:val="p"/>
              </m:rPr>
              <w:rPr>
                <w:rFonts w:ascii="Cambria Math" w:hAnsi="Cambria Math" w:cs="Arial"/>
                <w:sz w:val="22"/>
                <w:szCs w:val="22"/>
              </w:rPr>
              <m:t>max</m:t>
            </m:r>
          </m:sub>
        </m:sSub>
        <m:r>
          <m:rPr>
            <m:sty m:val="p"/>
          </m:rPr>
          <w:rPr>
            <w:rFonts w:ascii="Cambria Math" w:hAnsi="Cambria Math" w:cs="Arial"/>
            <w:sz w:val="22"/>
            <w:szCs w:val="22"/>
          </w:rPr>
          <m:t>)/Λ(</m:t>
        </m:r>
        <m:sSub>
          <m:sSubPr>
            <m:ctrlPr>
              <w:rPr>
                <w:rFonts w:ascii="Cambria Math" w:hAnsi="Cambria Math" w:cs="Arial"/>
                <w:sz w:val="22"/>
                <w:szCs w:val="22"/>
              </w:rPr>
            </m:ctrlPr>
          </m:sSubPr>
          <m:e>
            <m:r>
              <w:rPr>
                <w:rFonts w:ascii="Cambria Math" w:hAnsi="Cambria Math" w:cs="Arial"/>
                <w:sz w:val="22"/>
                <w:szCs w:val="22"/>
              </w:rPr>
              <m:t>p</m:t>
            </m:r>
          </m:e>
          <m:sub>
            <m:r>
              <m:rPr>
                <m:sty m:val="p"/>
              </m:rPr>
              <w:rPr>
                <w:rFonts w:ascii="Cambria Math" w:hAnsi="Cambria Math" w:cs="Arial"/>
                <w:sz w:val="22"/>
                <w:szCs w:val="22"/>
              </w:rPr>
              <m:t>min</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m:rPr>
                <m:sty m:val="p"/>
              </m:rPr>
              <w:rPr>
                <w:rFonts w:ascii="Cambria Math" w:hAnsi="Cambria Math" w:cs="Arial"/>
                <w:sz w:val="22"/>
                <w:szCs w:val="22"/>
              </w:rPr>
              <m:t>max</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m:rPr>
                <m:sty m:val="p"/>
              </m:rPr>
              <w:rPr>
                <w:rFonts w:ascii="Cambria Math" w:hAnsi="Cambria Math" w:cs="Arial"/>
                <w:sz w:val="22"/>
                <w:szCs w:val="22"/>
              </w:rPr>
              <m:t>min</m:t>
            </m:r>
          </m:sub>
        </m:sSub>
      </m:oMath>
      <w:r w:rsidRPr="0007255D">
        <w:rPr>
          <w:rFonts w:ascii="Arial" w:hAnsi="Arial" w:cs="Arial"/>
          <w:sz w:val="22"/>
          <w:szCs w:val="22"/>
        </w:rPr>
        <w:t xml:space="preserve"> (exact). Malaria and measles carry the largest sensitivity to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pertussis the smallest.</w:t>
      </w:r>
    </w:p>
    <w:p w14:paraId="7792C250" w14:textId="77777777" w:rsidR="00182D80" w:rsidRPr="0007255D" w:rsidRDefault="00182D80" w:rsidP="00182D80">
      <w:pPr>
        <w:pStyle w:val="CaptionedFigure"/>
        <w:rPr>
          <w:rFonts w:ascii="Arial" w:hAnsi="Arial" w:cs="Arial"/>
          <w:sz w:val="22"/>
          <w:szCs w:val="22"/>
        </w:rPr>
      </w:pPr>
      <w:bookmarkStart w:id="18" w:name="fig:s1"/>
      <w:r w:rsidRPr="0007255D">
        <w:rPr>
          <w:rFonts w:ascii="Arial" w:hAnsi="Arial" w:cs="Arial"/>
          <w:noProof/>
          <w:sz w:val="22"/>
          <w:szCs w:val="22"/>
        </w:rPr>
        <w:lastRenderedPageBreak/>
        <w:drawing>
          <wp:inline distT="0" distB="0" distL="0" distR="0" wp14:anchorId="6FE56D05" wp14:editId="4F944324">
            <wp:extent cx="5334000" cy="1920240"/>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FigureS1.png"/>
                    <pic:cNvPicPr>
                      <a:picLocks noChangeAspect="1" noChangeArrowheads="1"/>
                    </pic:cNvPicPr>
                  </pic:nvPicPr>
                  <pic:blipFill>
                    <a:blip r:embed="rId39"/>
                    <a:stretch>
                      <a:fillRect/>
                    </a:stretch>
                  </pic:blipFill>
                  <pic:spPr bwMode="auto">
                    <a:xfrm>
                      <a:off x="0" y="0"/>
                      <a:ext cx="5334000" cy="1920240"/>
                    </a:xfrm>
                    <a:prstGeom prst="rect">
                      <a:avLst/>
                    </a:prstGeom>
                    <a:noFill/>
                    <a:ln w="9525">
                      <a:noFill/>
                      <a:headEnd/>
                      <a:tailEnd/>
                    </a:ln>
                  </pic:spPr>
                </pic:pic>
              </a:graphicData>
            </a:graphic>
          </wp:inline>
        </w:drawing>
      </w:r>
    </w:p>
    <w:p w14:paraId="543581AE" w14:textId="77777777" w:rsidR="00182D80" w:rsidRPr="0007255D" w:rsidRDefault="00182D80" w:rsidP="00182D80">
      <w:pPr>
        <w:pStyle w:val="ImageCaption"/>
        <w:rPr>
          <w:rFonts w:ascii="Arial" w:hAnsi="Arial" w:cs="Arial"/>
          <w:sz w:val="22"/>
          <w:szCs w:val="22"/>
        </w:rPr>
      </w:pPr>
      <w:r w:rsidRPr="0007255D">
        <w:rPr>
          <w:rFonts w:ascii="Arial" w:hAnsi="Arial" w:cs="Arial"/>
          <w:b/>
          <w:bCs/>
          <w:sz w:val="22"/>
          <w:szCs w:val="22"/>
        </w:rPr>
        <w:t>Figure S1.</w:t>
      </w:r>
      <w:r w:rsidRPr="0007255D">
        <w:rPr>
          <w:rFonts w:ascii="Arial" w:hAnsi="Arial" w:cs="Arial"/>
          <w:sz w:val="22"/>
          <w:szCs w:val="22"/>
        </w:rPr>
        <w:t xml:space="preserve"> </w:t>
      </w:r>
      <w:r w:rsidRPr="0007255D">
        <w:rPr>
          <w:rFonts w:ascii="Arial" w:hAnsi="Arial" w:cs="Arial"/>
          <w:b/>
          <w:bCs/>
          <w:sz w:val="22"/>
          <w:szCs w:val="22"/>
        </w:rPr>
        <w:t>Importation probability under the Baseline model (M1), June 2024 (no World Cup adjustment).</w:t>
      </w:r>
      <w:r w:rsidRPr="0007255D">
        <w:rPr>
          <w:rFonts w:ascii="Arial" w:hAnsi="Arial" w:cs="Arial"/>
          <w:sz w:val="22"/>
          <w:szCs w:val="22"/>
        </w:rPr>
        <w:t xml:space="preserve"> Same layout as Figure </w:t>
      </w:r>
      <w:hyperlink w:anchor="fig:heatmap">
        <w:r w:rsidRPr="0007255D">
          <w:rPr>
            <w:rStyle w:val="Hyperlink"/>
            <w:rFonts w:ascii="Arial" w:hAnsi="Arial" w:cs="Arial"/>
            <w:sz w:val="22"/>
            <w:szCs w:val="22"/>
          </w:rPr>
          <w:t>1</w:t>
        </w:r>
      </w:hyperlink>
      <w:r w:rsidRPr="0007255D">
        <w:rPr>
          <w:rFonts w:ascii="Arial" w:hAnsi="Arial" w:cs="Arial"/>
          <w:sz w:val="22"/>
          <w:szCs w:val="22"/>
        </w:rPr>
        <w:t xml:space="preserve">. M1 represents the pre-tournament counterfactual: typical June travel volumes without the World Cup surge. Dengue </w:t>
      </w:r>
      <m:oMath>
        <m:r>
          <w:rPr>
            <w:rFonts w:ascii="Cambria Math" w:hAnsi="Cambria Math" w:cs="Arial"/>
            <w:sz w:val="22"/>
            <w:szCs w:val="22"/>
          </w:rPr>
          <m:t>P(≥1)&gt;0.99</m:t>
        </m:r>
      </m:oMath>
      <w:r w:rsidRPr="0007255D">
        <w:rPr>
          <w:rFonts w:ascii="Arial" w:hAnsi="Arial" w:cs="Arial"/>
          <w:sz w:val="22"/>
          <w:szCs w:val="22"/>
        </w:rPr>
        <w:t xml:space="preserve"> is already present at Miami, New York, and Houston under baseline conditions, confirming that the World Cup amplifies but does not create the dengue importation threat.</w:t>
      </w:r>
    </w:p>
    <w:p w14:paraId="23BCCB67" w14:textId="77777777" w:rsidR="00182D80" w:rsidRPr="0007255D" w:rsidRDefault="00182D80" w:rsidP="00182D80">
      <w:pPr>
        <w:pStyle w:val="CaptionedFigure"/>
        <w:rPr>
          <w:rFonts w:ascii="Arial" w:hAnsi="Arial" w:cs="Arial"/>
          <w:sz w:val="22"/>
          <w:szCs w:val="22"/>
        </w:rPr>
      </w:pPr>
      <w:bookmarkStart w:id="19" w:name="fig:s2"/>
      <w:bookmarkEnd w:id="18"/>
      <w:r w:rsidRPr="0007255D">
        <w:rPr>
          <w:rFonts w:ascii="Arial" w:hAnsi="Arial" w:cs="Arial"/>
          <w:noProof/>
          <w:sz w:val="22"/>
          <w:szCs w:val="22"/>
        </w:rPr>
        <w:drawing>
          <wp:inline distT="0" distB="0" distL="0" distR="0" wp14:anchorId="05E08C55" wp14:editId="12743A9A">
            <wp:extent cx="5334000" cy="1920240"/>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FigureS2.png"/>
                    <pic:cNvPicPr>
                      <a:picLocks noChangeAspect="1" noChangeArrowheads="1"/>
                    </pic:cNvPicPr>
                  </pic:nvPicPr>
                  <pic:blipFill>
                    <a:blip r:embed="rId40"/>
                    <a:stretch>
                      <a:fillRect/>
                    </a:stretch>
                  </pic:blipFill>
                  <pic:spPr bwMode="auto">
                    <a:xfrm>
                      <a:off x="0" y="0"/>
                      <a:ext cx="5334000" cy="1920240"/>
                    </a:xfrm>
                    <a:prstGeom prst="rect">
                      <a:avLst/>
                    </a:prstGeom>
                    <a:noFill/>
                    <a:ln w="9525">
                      <a:noFill/>
                      <a:headEnd/>
                      <a:tailEnd/>
                    </a:ln>
                  </pic:spPr>
                </pic:pic>
              </a:graphicData>
            </a:graphic>
          </wp:inline>
        </w:drawing>
      </w:r>
    </w:p>
    <w:p w14:paraId="1CD3E412" w14:textId="77777777" w:rsidR="00182D80" w:rsidRPr="0007255D" w:rsidRDefault="00182D80" w:rsidP="00182D80">
      <w:pPr>
        <w:pStyle w:val="ImageCaption"/>
        <w:rPr>
          <w:rFonts w:ascii="Arial" w:hAnsi="Arial" w:cs="Arial"/>
          <w:sz w:val="22"/>
          <w:szCs w:val="22"/>
        </w:rPr>
      </w:pPr>
      <w:r w:rsidRPr="0007255D">
        <w:rPr>
          <w:rFonts w:ascii="Arial" w:hAnsi="Arial" w:cs="Arial"/>
          <w:b/>
          <w:bCs/>
          <w:sz w:val="22"/>
          <w:szCs w:val="22"/>
        </w:rPr>
        <w:t>Figure S2.</w:t>
      </w:r>
      <w:r w:rsidRPr="0007255D">
        <w:rPr>
          <w:rFonts w:ascii="Arial" w:hAnsi="Arial" w:cs="Arial"/>
          <w:sz w:val="22"/>
          <w:szCs w:val="22"/>
        </w:rPr>
        <w:t xml:space="preserve"> </w:t>
      </w:r>
      <w:r w:rsidRPr="0007255D">
        <w:rPr>
          <w:rFonts w:ascii="Arial" w:hAnsi="Arial" w:cs="Arial"/>
          <w:b/>
          <w:bCs/>
          <w:sz w:val="22"/>
          <w:szCs w:val="22"/>
        </w:rPr>
        <w:t>Importation probability under the WC-adjusted model (M2), June 2026.</w:t>
      </w:r>
      <w:r w:rsidRPr="0007255D">
        <w:rPr>
          <w:rFonts w:ascii="Arial" w:hAnsi="Arial" w:cs="Arial"/>
          <w:sz w:val="22"/>
          <w:szCs w:val="22"/>
        </w:rPr>
        <w:t xml:space="preserve"> Same layout as Figure </w:t>
      </w:r>
      <w:hyperlink w:anchor="fig:heatmap">
        <w:r w:rsidRPr="0007255D">
          <w:rPr>
            <w:rStyle w:val="Hyperlink"/>
            <w:rFonts w:ascii="Arial" w:hAnsi="Arial" w:cs="Arial"/>
            <w:sz w:val="22"/>
            <w:szCs w:val="22"/>
          </w:rPr>
          <w:t>1</w:t>
        </w:r>
      </w:hyperlink>
      <w:r w:rsidRPr="0007255D">
        <w:rPr>
          <w:rFonts w:ascii="Arial" w:hAnsi="Arial" w:cs="Arial"/>
          <w:sz w:val="22"/>
          <w:szCs w:val="22"/>
        </w:rPr>
        <w:t>. M2 applies World Cup growth factors to national arrivals but distributes all travel to US cities via T-100 routing fractions, including the fan increment for teams playing in Canada and Mexico. M2 values therefore represent a slight overestimate relative to M3 for US cities.</w:t>
      </w:r>
    </w:p>
    <w:p w14:paraId="07E13C1E" w14:textId="77777777" w:rsidR="00182D80" w:rsidRPr="0007255D" w:rsidRDefault="00182D80" w:rsidP="00182D80">
      <w:pPr>
        <w:pStyle w:val="CaptionedFigure"/>
        <w:rPr>
          <w:rFonts w:ascii="Arial" w:hAnsi="Arial" w:cs="Arial"/>
          <w:sz w:val="22"/>
          <w:szCs w:val="22"/>
        </w:rPr>
      </w:pPr>
      <w:bookmarkStart w:id="20" w:name="fig:s3"/>
      <w:bookmarkEnd w:id="19"/>
      <w:r w:rsidRPr="0007255D">
        <w:rPr>
          <w:rFonts w:ascii="Arial" w:hAnsi="Arial" w:cs="Arial"/>
          <w:noProof/>
          <w:sz w:val="22"/>
          <w:szCs w:val="22"/>
        </w:rPr>
        <w:lastRenderedPageBreak/>
        <w:drawing>
          <wp:inline distT="0" distB="0" distL="0" distR="0" wp14:anchorId="0FF8CF62" wp14:editId="5738A73C">
            <wp:extent cx="4533900" cy="3022599"/>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FigureS3.png"/>
                    <pic:cNvPicPr>
                      <a:picLocks noChangeAspect="1" noChangeArrowheads="1"/>
                    </pic:cNvPicPr>
                  </pic:nvPicPr>
                  <pic:blipFill>
                    <a:blip r:embed="rId41"/>
                    <a:stretch>
                      <a:fillRect/>
                    </a:stretch>
                  </pic:blipFill>
                  <pic:spPr bwMode="auto">
                    <a:xfrm>
                      <a:off x="0" y="0"/>
                      <a:ext cx="4533900" cy="3022599"/>
                    </a:xfrm>
                    <a:prstGeom prst="rect">
                      <a:avLst/>
                    </a:prstGeom>
                    <a:noFill/>
                    <a:ln w="9525">
                      <a:noFill/>
                      <a:headEnd/>
                      <a:tailEnd/>
                    </a:ln>
                  </pic:spPr>
                </pic:pic>
              </a:graphicData>
            </a:graphic>
          </wp:inline>
        </w:drawing>
      </w:r>
    </w:p>
    <w:p w14:paraId="66CBF980" w14:textId="77777777" w:rsidR="00182D80" w:rsidRPr="0007255D" w:rsidRDefault="00182D80" w:rsidP="00182D80">
      <w:pPr>
        <w:pStyle w:val="ImageCaption"/>
        <w:rPr>
          <w:rFonts w:ascii="Arial" w:hAnsi="Arial" w:cs="Arial"/>
          <w:sz w:val="22"/>
          <w:szCs w:val="22"/>
        </w:rPr>
      </w:pPr>
      <w:r w:rsidRPr="0007255D">
        <w:rPr>
          <w:rFonts w:ascii="Arial" w:hAnsi="Arial" w:cs="Arial"/>
          <w:b/>
          <w:bCs/>
          <w:sz w:val="22"/>
          <w:szCs w:val="22"/>
        </w:rPr>
        <w:t>Figure S3.</w:t>
      </w:r>
      <w:r w:rsidRPr="0007255D">
        <w:rPr>
          <w:rFonts w:ascii="Arial" w:hAnsi="Arial" w:cs="Arial"/>
          <w:sz w:val="22"/>
          <w:szCs w:val="22"/>
        </w:rPr>
        <w:t xml:space="preserve"> </w:t>
      </w:r>
      <w:r w:rsidRPr="0007255D">
        <w:rPr>
          <w:rFonts w:ascii="Arial" w:hAnsi="Arial" w:cs="Arial"/>
          <w:b/>
          <w:bCs/>
          <w:sz w:val="22"/>
          <w:szCs w:val="22"/>
        </w:rPr>
        <w:t>Direction of Monte Carlo uncertainty by disease.</w:t>
      </w:r>
      <w:r w:rsidRPr="0007255D">
        <w:rPr>
          <w:rFonts w:ascii="Arial" w:hAnsi="Arial" w:cs="Arial"/>
          <w:sz w:val="22"/>
          <w:szCs w:val="22"/>
        </w:rPr>
        <w:t xml:space="preserve"> Each point represents one disease–city combination. X-axis: downside ratio (</w:t>
      </w:r>
      <m:oMath>
        <m:sSub>
          <m:sSubPr>
            <m:ctrlPr>
              <w:rPr>
                <w:rFonts w:ascii="Cambria Math" w:hAnsi="Cambria Math" w:cs="Arial"/>
                <w:sz w:val="22"/>
                <w:szCs w:val="22"/>
              </w:rPr>
            </m:ctrlPr>
          </m:sSubPr>
          <m:e>
            <m:r>
              <w:rPr>
                <w:rFonts w:ascii="Cambria Math" w:hAnsi="Cambria Math" w:cs="Arial"/>
                <w:sz w:val="22"/>
                <w:szCs w:val="22"/>
              </w:rPr>
              <m:t>λ</m:t>
            </m:r>
          </m:e>
          <m:sub>
            <m:r>
              <m:rPr>
                <m:nor/>
              </m:rPr>
              <w:rPr>
                <w:rFonts w:ascii="Arial" w:hAnsi="Arial" w:cs="Arial"/>
                <w:sz w:val="22"/>
                <w:szCs w:val="22"/>
              </w:rPr>
              <m:t>median</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m:rPr>
                <m:nor/>
              </m:rPr>
              <w:rPr>
                <w:rFonts w:ascii="Arial" w:hAnsi="Arial" w:cs="Arial"/>
                <w:sz w:val="22"/>
                <w:szCs w:val="22"/>
              </w:rPr>
              <m:t>lo</m:t>
            </m:r>
          </m:sub>
        </m:sSub>
      </m:oMath>
      <w:r w:rsidRPr="0007255D">
        <w:rPr>
          <w:rFonts w:ascii="Arial" w:hAnsi="Arial" w:cs="Arial"/>
          <w:sz w:val="22"/>
          <w:szCs w:val="22"/>
        </w:rPr>
        <w:t>), measuring how far the lower CI bound lies below the median. Y-axis: upside ratio (</w:t>
      </w:r>
      <m:oMath>
        <m:sSub>
          <m:sSubPr>
            <m:ctrlPr>
              <w:rPr>
                <w:rFonts w:ascii="Cambria Math" w:hAnsi="Cambria Math" w:cs="Arial"/>
                <w:sz w:val="22"/>
                <w:szCs w:val="22"/>
              </w:rPr>
            </m:ctrlPr>
          </m:sSubPr>
          <m:e>
            <m:r>
              <w:rPr>
                <w:rFonts w:ascii="Cambria Math" w:hAnsi="Cambria Math" w:cs="Arial"/>
                <w:sz w:val="22"/>
                <w:szCs w:val="22"/>
              </w:rPr>
              <m:t>λ</m:t>
            </m:r>
          </m:e>
          <m:sub>
            <m:r>
              <m:rPr>
                <m:nor/>
              </m:rPr>
              <w:rPr>
                <w:rFonts w:ascii="Arial" w:hAnsi="Arial" w:cs="Arial"/>
                <w:sz w:val="22"/>
                <w:szCs w:val="22"/>
              </w:rPr>
              <m:t>hi</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m:rPr>
                <m:nor/>
              </m:rPr>
              <w:rPr>
                <w:rFonts w:ascii="Arial" w:hAnsi="Arial" w:cs="Arial"/>
                <w:sz w:val="22"/>
                <w:szCs w:val="22"/>
              </w:rPr>
              <m:t>median</m:t>
            </m:r>
          </m:sub>
        </m:sSub>
      </m:oMath>
      <w:r w:rsidRPr="0007255D">
        <w:rPr>
          <w:rFonts w:ascii="Arial" w:hAnsi="Arial" w:cs="Arial"/>
          <w:sz w:val="22"/>
          <w:szCs w:val="22"/>
        </w:rPr>
        <w:t xml:space="preserve">), measuring how far the upper CI bound lies above the median. Points above the diagonal have CIs that extend further upward; points below the diagonal have CIs that extend further downward, placing the central estimate closer to the upper plausible bound. All five diseases fall below the diagonal: uncertainty is asymmetrically larger on the downside for every disease. Dengue and measles sit closest to the diagonal (downside ratio </w:t>
      </w:r>
      <m:oMath>
        <m:r>
          <w:rPr>
            <w:rFonts w:ascii="Cambria Math" w:hAnsi="Cambria Math" w:cs="Arial"/>
            <w:sz w:val="22"/>
            <w:szCs w:val="22"/>
          </w:rPr>
          <m:t>≈2.8</m:t>
        </m:r>
      </m:oMath>
      <w:r w:rsidRPr="0007255D">
        <w:rPr>
          <w:rFonts w:ascii="Arial" w:hAnsi="Arial" w:cs="Arial"/>
          <w:sz w:val="22"/>
          <w:szCs w:val="22"/>
        </w:rPr>
        <w:t>), while malaria, influenza, and pertussis show larger downside ratios (4.3–4.8), indicating their medians are more conservative upper estimates.</w:t>
      </w:r>
    </w:p>
    <w:p w14:paraId="3A2FA2F4" w14:textId="77777777" w:rsidR="00182D80" w:rsidRPr="0007255D" w:rsidRDefault="00182D80" w:rsidP="00182D80">
      <w:pPr>
        <w:pStyle w:val="CaptionedFigure"/>
        <w:rPr>
          <w:rFonts w:ascii="Arial" w:hAnsi="Arial" w:cs="Arial"/>
          <w:sz w:val="22"/>
          <w:szCs w:val="22"/>
        </w:rPr>
      </w:pPr>
      <w:bookmarkStart w:id="21" w:name="fig:s4"/>
      <w:bookmarkEnd w:id="20"/>
      <w:r w:rsidRPr="0007255D">
        <w:rPr>
          <w:rFonts w:ascii="Arial" w:hAnsi="Arial" w:cs="Arial"/>
          <w:noProof/>
          <w:sz w:val="22"/>
          <w:szCs w:val="22"/>
        </w:rPr>
        <w:lastRenderedPageBreak/>
        <w:drawing>
          <wp:inline distT="0" distB="0" distL="0" distR="0" wp14:anchorId="33749153" wp14:editId="19F7DF8B">
            <wp:extent cx="5334000" cy="3556000"/>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FigureS4.png"/>
                    <pic:cNvPicPr>
                      <a:picLocks noChangeAspect="1" noChangeArrowheads="1"/>
                    </pic:cNvPicPr>
                  </pic:nvPicPr>
                  <pic:blipFill>
                    <a:blip r:embed="rId42"/>
                    <a:stretch>
                      <a:fillRect/>
                    </a:stretch>
                  </pic:blipFill>
                  <pic:spPr bwMode="auto">
                    <a:xfrm>
                      <a:off x="0" y="0"/>
                      <a:ext cx="5334000" cy="3556000"/>
                    </a:xfrm>
                    <a:prstGeom prst="rect">
                      <a:avLst/>
                    </a:prstGeom>
                    <a:noFill/>
                    <a:ln w="9525">
                      <a:noFill/>
                      <a:headEnd/>
                      <a:tailEnd/>
                    </a:ln>
                  </pic:spPr>
                </pic:pic>
              </a:graphicData>
            </a:graphic>
          </wp:inline>
        </w:drawing>
      </w:r>
    </w:p>
    <w:p w14:paraId="508B435B" w14:textId="77777777" w:rsidR="00182D80" w:rsidRPr="0007255D" w:rsidRDefault="00182D80" w:rsidP="00182D80">
      <w:pPr>
        <w:pStyle w:val="ImageCaption"/>
        <w:rPr>
          <w:rFonts w:ascii="Arial" w:hAnsi="Arial" w:cs="Arial"/>
          <w:sz w:val="22"/>
          <w:szCs w:val="22"/>
        </w:rPr>
      </w:pPr>
      <w:r w:rsidRPr="0007255D">
        <w:rPr>
          <w:rFonts w:ascii="Arial" w:hAnsi="Arial" w:cs="Arial"/>
          <w:b/>
          <w:bCs/>
          <w:sz w:val="22"/>
          <w:szCs w:val="22"/>
        </w:rPr>
        <w:t>Figure S4.</w:t>
      </w:r>
      <w:r w:rsidRPr="0007255D">
        <w:rPr>
          <w:rFonts w:ascii="Arial" w:hAnsi="Arial" w:cs="Arial"/>
          <w:sz w:val="22"/>
          <w:szCs w:val="22"/>
        </w:rPr>
        <w:t xml:space="preserve"> </w:t>
      </w:r>
      <w:r w:rsidRPr="0007255D">
        <w:rPr>
          <w:rFonts w:ascii="Arial" w:hAnsi="Arial" w:cs="Arial"/>
          <w:b/>
          <w:bCs/>
          <w:sz w:val="22"/>
          <w:szCs w:val="22"/>
        </w:rPr>
        <w:t xml:space="preserve">Geographic distribution of the </w:t>
      </w:r>
      <w:proofErr w:type="gramStart"/>
      <w:r w:rsidRPr="0007255D">
        <w:rPr>
          <w:rFonts w:ascii="Arial" w:hAnsi="Arial" w:cs="Arial"/>
          <w:b/>
          <w:bCs/>
          <w:sz w:val="22"/>
          <w:szCs w:val="22"/>
        </w:rPr>
        <w:t>16 FIFA</w:t>
      </w:r>
      <w:proofErr w:type="gramEnd"/>
      <w:r w:rsidRPr="0007255D">
        <w:rPr>
          <w:rFonts w:ascii="Arial" w:hAnsi="Arial" w:cs="Arial"/>
          <w:b/>
          <w:bCs/>
          <w:sz w:val="22"/>
          <w:szCs w:val="22"/>
        </w:rPr>
        <w:t xml:space="preserve"> World Cup 2026 stadiums across the United States, Canada, and Mexico.</w:t>
      </w:r>
      <w:r w:rsidRPr="0007255D">
        <w:rPr>
          <w:rFonts w:ascii="Arial" w:hAnsi="Arial" w:cs="Arial"/>
          <w:sz w:val="22"/>
          <w:szCs w:val="22"/>
        </w:rPr>
        <w:t xml:space="preserve"> </w:t>
      </w:r>
      <w:proofErr w:type="spellStart"/>
      <w:r w:rsidRPr="0007255D">
        <w:rPr>
          <w:rFonts w:ascii="Arial" w:hAnsi="Arial" w:cs="Arial"/>
          <w:sz w:val="22"/>
          <w:szCs w:val="22"/>
        </w:rPr>
        <w:t>Colours</w:t>
      </w:r>
      <w:proofErr w:type="spellEnd"/>
      <w:r w:rsidRPr="0007255D">
        <w:rPr>
          <w:rFonts w:ascii="Arial" w:hAnsi="Arial" w:cs="Arial"/>
          <w:sz w:val="22"/>
          <w:szCs w:val="22"/>
        </w:rPr>
        <w:t xml:space="preserve"> indicate host nation. This analysis focuses on the 11 US venues (blue); Canadian (Toronto, Vancouver) and Mexican (Mexico City, Monterrey, Guadalajara) venues are shown for context. The East Coast cluster (New York, Philadelphia, Boston) is the densest; Kansas City and Seattle are the most geographically isolated US venues.</w:t>
      </w:r>
    </w:p>
    <w:p w14:paraId="09A3D64D" w14:textId="77777777" w:rsidR="00182D80" w:rsidRPr="0007255D" w:rsidRDefault="00182D80" w:rsidP="00182D80">
      <w:pPr>
        <w:pStyle w:val="CaptionedFigure"/>
        <w:rPr>
          <w:rFonts w:ascii="Arial" w:hAnsi="Arial" w:cs="Arial"/>
          <w:sz w:val="22"/>
          <w:szCs w:val="22"/>
        </w:rPr>
      </w:pPr>
      <w:bookmarkStart w:id="22" w:name="fig:s5"/>
      <w:bookmarkEnd w:id="21"/>
      <w:r w:rsidRPr="0007255D">
        <w:rPr>
          <w:rFonts w:ascii="Arial" w:hAnsi="Arial" w:cs="Arial"/>
          <w:noProof/>
          <w:sz w:val="22"/>
          <w:szCs w:val="22"/>
        </w:rPr>
        <w:lastRenderedPageBreak/>
        <w:drawing>
          <wp:inline distT="0" distB="0" distL="0" distR="0" wp14:anchorId="5547886C" wp14:editId="34498887">
            <wp:extent cx="5334000" cy="3282461"/>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FigureS5.png"/>
                    <pic:cNvPicPr>
                      <a:picLocks noChangeAspect="1" noChangeArrowheads="1"/>
                    </pic:cNvPicPr>
                  </pic:nvPicPr>
                  <pic:blipFill>
                    <a:blip r:embed="rId43"/>
                    <a:stretch>
                      <a:fillRect/>
                    </a:stretch>
                  </pic:blipFill>
                  <pic:spPr bwMode="auto">
                    <a:xfrm>
                      <a:off x="0" y="0"/>
                      <a:ext cx="5334000" cy="3282461"/>
                    </a:xfrm>
                    <a:prstGeom prst="rect">
                      <a:avLst/>
                    </a:prstGeom>
                    <a:noFill/>
                    <a:ln w="9525">
                      <a:noFill/>
                      <a:headEnd/>
                      <a:tailEnd/>
                    </a:ln>
                  </pic:spPr>
                </pic:pic>
              </a:graphicData>
            </a:graphic>
          </wp:inline>
        </w:drawing>
      </w:r>
    </w:p>
    <w:p w14:paraId="6D60EC16" w14:textId="77777777" w:rsidR="00182D80" w:rsidRPr="0007255D" w:rsidRDefault="00182D80" w:rsidP="00182D80">
      <w:pPr>
        <w:pStyle w:val="ImageCaption"/>
        <w:rPr>
          <w:rFonts w:ascii="Arial" w:hAnsi="Arial" w:cs="Arial"/>
          <w:sz w:val="22"/>
          <w:szCs w:val="22"/>
        </w:rPr>
      </w:pPr>
      <w:r w:rsidRPr="0007255D">
        <w:rPr>
          <w:rFonts w:ascii="Arial" w:hAnsi="Arial" w:cs="Arial"/>
          <w:b/>
          <w:bCs/>
          <w:sz w:val="22"/>
          <w:szCs w:val="22"/>
        </w:rPr>
        <w:t>Figure S5.</w:t>
      </w:r>
      <w:r w:rsidRPr="0007255D">
        <w:rPr>
          <w:rFonts w:ascii="Arial" w:hAnsi="Arial" w:cs="Arial"/>
          <w:sz w:val="22"/>
          <w:szCs w:val="22"/>
        </w:rPr>
        <w:t xml:space="preserve"> </w:t>
      </w:r>
      <w:r w:rsidRPr="0007255D">
        <w:rPr>
          <w:rFonts w:ascii="Arial" w:hAnsi="Arial" w:cs="Arial"/>
          <w:b/>
          <w:bCs/>
          <w:sz w:val="22"/>
          <w:szCs w:val="22"/>
        </w:rPr>
        <w:t>Secondary seeding risk index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b/>
          <w:bCs/>
          <w:sz w:val="22"/>
          <w:szCs w:val="22"/>
        </w:rPr>
        <w:t>) for diaspora hub cities, by disease (Mechanism B).</w:t>
      </w:r>
      <w:r w:rsidRPr="0007255D">
        <w:rPr>
          <w:rFonts w:ascii="Arial" w:hAnsi="Arial" w:cs="Arial"/>
          <w:sz w:val="22"/>
          <w:szCs w:val="22"/>
        </w:rPr>
        <w:t xml:space="preserve"> Bars show the top 15 hub metropolitan areas per disease, ranked by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sz w:val="22"/>
          <w:szCs w:val="22"/>
        </w:rPr>
        <w:t xml:space="preserve"> summed across all source countries and match venues, and colored by whether the hub is a World Cup host city or a non-host city. Hubs are the home cities to which diaspora members return after attending matches.</w:t>
      </w:r>
    </w:p>
    <w:p w14:paraId="3A4DF6F6" w14:textId="77777777" w:rsidR="00182D80" w:rsidRPr="0007255D" w:rsidRDefault="00182D80" w:rsidP="00182D80">
      <w:pPr>
        <w:pStyle w:val="CaptionedFigure"/>
        <w:rPr>
          <w:rFonts w:ascii="Arial" w:hAnsi="Arial" w:cs="Arial"/>
          <w:sz w:val="22"/>
          <w:szCs w:val="22"/>
        </w:rPr>
      </w:pPr>
      <w:bookmarkStart w:id="23" w:name="fig:s6"/>
      <w:bookmarkEnd w:id="22"/>
      <w:r w:rsidRPr="0007255D">
        <w:rPr>
          <w:rFonts w:ascii="Arial" w:hAnsi="Arial" w:cs="Arial"/>
          <w:noProof/>
          <w:sz w:val="22"/>
          <w:szCs w:val="22"/>
        </w:rPr>
        <w:lastRenderedPageBreak/>
        <w:drawing>
          <wp:inline distT="0" distB="0" distL="0" distR="0" wp14:anchorId="04076F19" wp14:editId="2C3DD392">
            <wp:extent cx="5334000" cy="4622800"/>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FigureS6.png"/>
                    <pic:cNvPicPr>
                      <a:picLocks noChangeAspect="1" noChangeArrowheads="1"/>
                    </pic:cNvPicPr>
                  </pic:nvPicPr>
                  <pic:blipFill>
                    <a:blip r:embed="rId44"/>
                    <a:stretch>
                      <a:fillRect/>
                    </a:stretch>
                  </pic:blipFill>
                  <pic:spPr bwMode="auto">
                    <a:xfrm>
                      <a:off x="0" y="0"/>
                      <a:ext cx="5334000" cy="4622800"/>
                    </a:xfrm>
                    <a:prstGeom prst="rect">
                      <a:avLst/>
                    </a:prstGeom>
                    <a:noFill/>
                    <a:ln w="9525">
                      <a:noFill/>
                      <a:headEnd/>
                      <a:tailEnd/>
                    </a:ln>
                  </pic:spPr>
                </pic:pic>
              </a:graphicData>
            </a:graphic>
          </wp:inline>
        </w:drawing>
      </w:r>
    </w:p>
    <w:p w14:paraId="5C0815A8" w14:textId="77777777" w:rsidR="00182D80" w:rsidRPr="0007255D" w:rsidRDefault="00182D80" w:rsidP="00182D80">
      <w:pPr>
        <w:pStyle w:val="ImageCaption"/>
        <w:rPr>
          <w:rFonts w:ascii="Arial" w:hAnsi="Arial" w:cs="Arial"/>
          <w:sz w:val="22"/>
          <w:szCs w:val="22"/>
        </w:rPr>
      </w:pPr>
      <w:r w:rsidRPr="0007255D">
        <w:rPr>
          <w:rFonts w:ascii="Arial" w:hAnsi="Arial" w:cs="Arial"/>
          <w:b/>
          <w:bCs/>
          <w:sz w:val="22"/>
          <w:szCs w:val="22"/>
        </w:rPr>
        <w:t>Figure S6.</w:t>
      </w:r>
      <w:r w:rsidRPr="0007255D">
        <w:rPr>
          <w:rFonts w:ascii="Arial" w:hAnsi="Arial" w:cs="Arial"/>
          <w:sz w:val="22"/>
          <w:szCs w:val="22"/>
        </w:rPr>
        <w:t xml:space="preserve"> </w:t>
      </w:r>
      <w:r w:rsidRPr="0007255D">
        <w:rPr>
          <w:rFonts w:ascii="Arial" w:hAnsi="Arial" w:cs="Arial"/>
          <w:b/>
          <w:bCs/>
          <w:sz w:val="22"/>
          <w:szCs w:val="22"/>
        </w:rPr>
        <w:t>Top 10 source-country contributors to diaspora-network importation intensity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A</m:t>
            </m:r>
          </m:sup>
        </m:sSup>
      </m:oMath>
      <w:r w:rsidRPr="0007255D">
        <w:rPr>
          <w:rFonts w:ascii="Arial" w:hAnsi="Arial" w:cs="Arial"/>
          <w:b/>
          <w:bCs/>
          <w:sz w:val="22"/>
          <w:szCs w:val="22"/>
        </w:rPr>
        <w:t>) per disease.</w:t>
      </w:r>
      <w:r w:rsidRPr="0007255D">
        <w:rPr>
          <w:rFonts w:ascii="Arial" w:hAnsi="Arial" w:cs="Arial"/>
          <w:sz w:val="22"/>
          <w:szCs w:val="22"/>
        </w:rPr>
        <w:t xml:space="preserve"> Bars show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A</m:t>
            </m:r>
          </m:sup>
        </m:sSup>
      </m:oMath>
      <w:r w:rsidRPr="0007255D">
        <w:rPr>
          <w:rFonts w:ascii="Arial" w:hAnsi="Arial" w:cs="Arial"/>
          <w:sz w:val="22"/>
          <w:szCs w:val="22"/>
        </w:rPr>
        <w:t xml:space="preserve"> for each source country, summed across the 11 host cities; colors denote world region </w:t>
      </w:r>
      <w:proofErr w:type="gramStart"/>
      <w:r w:rsidRPr="0007255D">
        <w:rPr>
          <w:rFonts w:ascii="Arial" w:hAnsi="Arial" w:cs="Arial"/>
          <w:sz w:val="22"/>
          <w:szCs w:val="22"/>
        </w:rPr>
        <w:t>( Canada</w:t>
      </w:r>
      <w:proofErr w:type="gramEnd"/>
      <w:r w:rsidRPr="0007255D">
        <w:rPr>
          <w:rFonts w:ascii="Arial" w:hAnsi="Arial" w:cs="Arial"/>
          <w:sz w:val="22"/>
          <w:szCs w:val="22"/>
        </w:rPr>
        <w:t xml:space="preserve"> and Mexico grouped as North America). The corresponding raw-</w:t>
      </w:r>
      <m:oMath>
        <m:r>
          <w:rPr>
            <w:rFonts w:ascii="Cambria Math" w:hAnsi="Cambria Math" w:cs="Arial"/>
            <w:sz w:val="22"/>
            <w:szCs w:val="22"/>
          </w:rPr>
          <m:t>λ</m:t>
        </m:r>
      </m:oMath>
      <w:r w:rsidRPr="0007255D">
        <w:rPr>
          <w:rFonts w:ascii="Arial" w:hAnsi="Arial" w:cs="Arial"/>
          <w:sz w:val="22"/>
          <w:szCs w:val="22"/>
        </w:rPr>
        <w:t xml:space="preserve"> ranking is shown in Figure </w:t>
      </w:r>
      <w:hyperlink w:anchor="fig:countries">
        <w:r w:rsidRPr="0007255D">
          <w:rPr>
            <w:rStyle w:val="Hyperlink"/>
            <w:rFonts w:ascii="Arial" w:hAnsi="Arial" w:cs="Arial"/>
            <w:sz w:val="22"/>
            <w:szCs w:val="22"/>
          </w:rPr>
          <w:t>4</w:t>
        </w:r>
      </w:hyperlink>
      <w:r w:rsidRPr="0007255D">
        <w:rPr>
          <w:rFonts w:ascii="Arial" w:hAnsi="Arial" w:cs="Arial"/>
          <w:sz w:val="22"/>
          <w:szCs w:val="22"/>
        </w:rPr>
        <w:t>.</w:t>
      </w:r>
    </w:p>
    <w:p w14:paraId="3D33A326" w14:textId="77777777" w:rsidR="00182D80" w:rsidRPr="0007255D" w:rsidRDefault="00182D80" w:rsidP="00182D80">
      <w:pPr>
        <w:pStyle w:val="CaptionedFigure"/>
        <w:rPr>
          <w:rFonts w:ascii="Arial" w:hAnsi="Arial" w:cs="Arial"/>
          <w:sz w:val="22"/>
          <w:szCs w:val="22"/>
        </w:rPr>
      </w:pPr>
      <w:bookmarkStart w:id="24" w:name="fig:s7b"/>
      <w:bookmarkEnd w:id="23"/>
      <w:r w:rsidRPr="0007255D">
        <w:rPr>
          <w:rFonts w:ascii="Arial" w:hAnsi="Arial" w:cs="Arial"/>
          <w:noProof/>
          <w:sz w:val="22"/>
          <w:szCs w:val="22"/>
        </w:rPr>
        <w:drawing>
          <wp:inline distT="0" distB="0" distL="0" distR="0" wp14:anchorId="5AEA5870" wp14:editId="6B4F96B4">
            <wp:extent cx="5334000" cy="1846384"/>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2" name="Picture" descr="FigureS7.png"/>
                    <pic:cNvPicPr>
                      <a:picLocks noChangeAspect="1" noChangeArrowheads="1"/>
                    </pic:cNvPicPr>
                  </pic:nvPicPr>
                  <pic:blipFill>
                    <a:blip r:embed="rId45"/>
                    <a:stretch>
                      <a:fillRect/>
                    </a:stretch>
                  </pic:blipFill>
                  <pic:spPr bwMode="auto">
                    <a:xfrm>
                      <a:off x="0" y="0"/>
                      <a:ext cx="5334000" cy="1846384"/>
                    </a:xfrm>
                    <a:prstGeom prst="rect">
                      <a:avLst/>
                    </a:prstGeom>
                    <a:noFill/>
                    <a:ln w="9525">
                      <a:noFill/>
                      <a:headEnd/>
                      <a:tailEnd/>
                    </a:ln>
                  </pic:spPr>
                </pic:pic>
              </a:graphicData>
            </a:graphic>
          </wp:inline>
        </w:drawing>
      </w:r>
    </w:p>
    <w:p w14:paraId="0106CFD6" w14:textId="77777777" w:rsidR="00182D80" w:rsidRPr="0007255D" w:rsidRDefault="00182D80" w:rsidP="00182D80">
      <w:pPr>
        <w:pStyle w:val="ImageCaption"/>
        <w:rPr>
          <w:rFonts w:ascii="Arial" w:hAnsi="Arial" w:cs="Arial"/>
          <w:sz w:val="22"/>
          <w:szCs w:val="22"/>
        </w:rPr>
      </w:pPr>
      <w:r w:rsidRPr="0007255D">
        <w:rPr>
          <w:rFonts w:ascii="Arial" w:hAnsi="Arial" w:cs="Arial"/>
          <w:b/>
          <w:bCs/>
          <w:sz w:val="22"/>
          <w:szCs w:val="22"/>
        </w:rPr>
        <w:t>Figure S7.</w:t>
      </w:r>
      <w:r w:rsidRPr="0007255D">
        <w:rPr>
          <w:rFonts w:ascii="Arial" w:hAnsi="Arial" w:cs="Arial"/>
          <w:sz w:val="22"/>
          <w:szCs w:val="22"/>
        </w:rPr>
        <w:t xml:space="preserve"> </w:t>
      </w:r>
      <w:r w:rsidRPr="0007255D">
        <w:rPr>
          <w:rFonts w:ascii="Arial" w:hAnsi="Arial" w:cs="Arial"/>
          <w:b/>
          <w:bCs/>
          <w:sz w:val="22"/>
          <w:szCs w:val="22"/>
        </w:rPr>
        <w:t>Diaspora network importation probability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w:rPr>
            <w:rFonts w:ascii="Cambria Math" w:hAnsi="Cambria Math" w:cs="Arial"/>
            <w:sz w:val="22"/>
            <w:szCs w:val="22"/>
          </w:rPr>
          <m:t>(≥1)</m:t>
        </m:r>
      </m:oMath>
      <w:r w:rsidRPr="0007255D">
        <w:rPr>
          <w:rFonts w:ascii="Arial" w:hAnsi="Arial" w:cs="Arial"/>
          <w:b/>
          <w:bCs/>
          <w:sz w:val="22"/>
          <w:szCs w:val="22"/>
        </w:rPr>
        <w:t>) for all five diseases at 11 US host cities.</w:t>
      </w:r>
      <w:r w:rsidRPr="0007255D">
        <w:rPr>
          <w:rFonts w:ascii="Arial" w:hAnsi="Arial" w:cs="Arial"/>
          <w:sz w:val="22"/>
          <w:szCs w:val="22"/>
        </w:rPr>
        <w:t xml:space="preserve"> Cells show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w:rPr>
            <w:rFonts w:ascii="Cambria Math" w:hAnsi="Cambria Math" w:cs="Arial"/>
            <w:sz w:val="22"/>
            <w:szCs w:val="22"/>
          </w:rPr>
          <m:t>(≥1</m:t>
        </m:r>
        <m:sSub>
          <m:sSubPr>
            <m:ctrlPr>
              <w:rPr>
                <w:rFonts w:ascii="Cambria Math" w:hAnsi="Cambria Math" w:cs="Arial"/>
                <w:sz w:val="22"/>
                <w:szCs w:val="22"/>
              </w:rPr>
            </m:ctrlPr>
          </m:sSubPr>
          <m:e>
            <m:r>
              <w:rPr>
                <w:rFonts w:ascii="Cambria Math" w:hAnsi="Cambria Math" w:cs="Arial"/>
                <w:sz w:val="22"/>
                <w:szCs w:val="22"/>
              </w:rPr>
              <m:t>)</m:t>
            </m:r>
          </m:e>
          <m:sub>
            <m:r>
              <w:rPr>
                <w:rFonts w:ascii="Cambria Math" w:hAnsi="Cambria Math" w:cs="Arial"/>
                <w:sz w:val="22"/>
                <w:szCs w:val="22"/>
              </w:rPr>
              <m:t>v,d</m:t>
            </m:r>
          </m:sub>
        </m:sSub>
      </m:oMath>
      <w:r w:rsidRPr="0007255D">
        <w:rPr>
          <w:rFonts w:ascii="Arial" w:hAnsi="Arial" w:cs="Arial"/>
          <w:sz w:val="22"/>
          <w:szCs w:val="22"/>
        </w:rPr>
        <w:t>, the probability that at least one imported case enters a co-national diaspora network at each host city. The dengue and malaria rows correspond to Panel A of Figure </w:t>
      </w:r>
      <w:hyperlink w:anchor="fig:diaspora">
        <w:r w:rsidRPr="0007255D">
          <w:rPr>
            <w:rStyle w:val="Hyperlink"/>
            <w:rFonts w:ascii="Arial" w:hAnsi="Arial" w:cs="Arial"/>
            <w:sz w:val="22"/>
            <w:szCs w:val="22"/>
          </w:rPr>
          <w:t>5</w:t>
        </w:r>
      </w:hyperlink>
      <w:r w:rsidRPr="0007255D">
        <w:rPr>
          <w:rFonts w:ascii="Arial" w:hAnsi="Arial" w:cs="Arial"/>
          <w:sz w:val="22"/>
          <w:szCs w:val="22"/>
        </w:rPr>
        <w:t xml:space="preserve"> in the main text.</w:t>
      </w:r>
    </w:p>
    <w:p w14:paraId="7D5FEED9" w14:textId="77777777" w:rsidR="00182D80" w:rsidRPr="0007255D" w:rsidRDefault="00182D80" w:rsidP="00182D80">
      <w:pPr>
        <w:pStyle w:val="CaptionedFigure"/>
        <w:rPr>
          <w:rFonts w:ascii="Arial" w:hAnsi="Arial" w:cs="Arial"/>
          <w:sz w:val="22"/>
          <w:szCs w:val="22"/>
        </w:rPr>
      </w:pPr>
      <w:bookmarkStart w:id="25" w:name="fig:s8"/>
      <w:bookmarkEnd w:id="24"/>
      <w:r w:rsidRPr="0007255D">
        <w:rPr>
          <w:rFonts w:ascii="Arial" w:hAnsi="Arial" w:cs="Arial"/>
          <w:noProof/>
          <w:sz w:val="22"/>
          <w:szCs w:val="22"/>
        </w:rPr>
        <w:lastRenderedPageBreak/>
        <w:drawing>
          <wp:inline distT="0" distB="0" distL="0" distR="0" wp14:anchorId="6755654F" wp14:editId="521C7385">
            <wp:extent cx="5334000" cy="2872153"/>
            <wp:effectExtent l="0" t="0" r="0" b="0"/>
            <wp:docPr id="155" name="Picture"/>
            <wp:cNvGraphicFramePr/>
            <a:graphic xmlns:a="http://schemas.openxmlformats.org/drawingml/2006/main">
              <a:graphicData uri="http://schemas.openxmlformats.org/drawingml/2006/picture">
                <pic:pic xmlns:pic="http://schemas.openxmlformats.org/drawingml/2006/picture">
                  <pic:nvPicPr>
                    <pic:cNvPr id="156" name="Picture" descr="FigureS8.png"/>
                    <pic:cNvPicPr>
                      <a:picLocks noChangeAspect="1" noChangeArrowheads="1"/>
                    </pic:cNvPicPr>
                  </pic:nvPicPr>
                  <pic:blipFill>
                    <a:blip r:embed="rId46"/>
                    <a:stretch>
                      <a:fillRect/>
                    </a:stretch>
                  </pic:blipFill>
                  <pic:spPr bwMode="auto">
                    <a:xfrm>
                      <a:off x="0" y="0"/>
                      <a:ext cx="5334000" cy="2872153"/>
                    </a:xfrm>
                    <a:prstGeom prst="rect">
                      <a:avLst/>
                    </a:prstGeom>
                    <a:noFill/>
                    <a:ln w="9525">
                      <a:noFill/>
                      <a:headEnd/>
                      <a:tailEnd/>
                    </a:ln>
                  </pic:spPr>
                </pic:pic>
              </a:graphicData>
            </a:graphic>
          </wp:inline>
        </w:drawing>
      </w:r>
    </w:p>
    <w:p w14:paraId="645AFE2E" w14:textId="77777777" w:rsidR="00182D80" w:rsidRPr="0007255D" w:rsidRDefault="00182D80" w:rsidP="00182D80">
      <w:pPr>
        <w:pStyle w:val="ImageCaption"/>
        <w:rPr>
          <w:rFonts w:ascii="Arial" w:hAnsi="Arial" w:cs="Arial"/>
          <w:sz w:val="22"/>
          <w:szCs w:val="22"/>
        </w:rPr>
      </w:pPr>
      <w:r w:rsidRPr="0007255D">
        <w:rPr>
          <w:rFonts w:ascii="Arial" w:hAnsi="Arial" w:cs="Arial"/>
          <w:b/>
          <w:bCs/>
          <w:sz w:val="22"/>
          <w:szCs w:val="22"/>
        </w:rPr>
        <w:t>Figure S8.</w:t>
      </w:r>
      <w:r w:rsidRPr="0007255D">
        <w:rPr>
          <w:rFonts w:ascii="Arial" w:hAnsi="Arial" w:cs="Arial"/>
          <w:sz w:val="22"/>
          <w:szCs w:val="22"/>
        </w:rPr>
        <w:t xml:space="preserve"> </w:t>
      </w:r>
      <w:r w:rsidRPr="0007255D">
        <w:rPr>
          <w:rFonts w:ascii="Arial" w:hAnsi="Arial" w:cs="Arial"/>
          <w:b/>
          <w:bCs/>
          <w:sz w:val="22"/>
          <w:szCs w:val="22"/>
        </w:rPr>
        <w:t>Source-country contributions to Mechanism B secondary seeding index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b/>
          <w:bCs/>
          <w:sz w:val="22"/>
          <w:szCs w:val="22"/>
        </w:rPr>
        <w:t>) for dengue and malaria.</w:t>
      </w:r>
      <w:r w:rsidRPr="0007255D">
        <w:rPr>
          <w:rFonts w:ascii="Arial" w:hAnsi="Arial" w:cs="Arial"/>
          <w:sz w:val="22"/>
          <w:szCs w:val="22"/>
        </w:rPr>
        <w:t xml:space="preserve"> Bars show the three largest source-country contributions to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sz w:val="22"/>
          <w:szCs w:val="22"/>
        </w:rPr>
        <w:t xml:space="preserve"> at each of the top 10 hub cities per disease, ranked by total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sz w:val="22"/>
          <w:szCs w:val="22"/>
        </w:rPr>
        <w:t>. Dot shape distinguishes World Cup venue cities (circle) from non-venue metropolitan areas (triangle). For malaria, Nigerian and Indian diaspora communities drive secondary seeding at all top hubs; non-venue cities (Washington, DC; Minneapolis; Austin; Charlotte; Detroit; and Chicago) rank alongside host cities (Houston, Dallas, and Philadelphia) because of their large co-national diaspora concentrations. For dengue, Mexican diaspora communities dominate, with non-venue hubs outranking most host cities.</w:t>
      </w:r>
      <w:bookmarkEnd w:id="17"/>
      <w:bookmarkEnd w:id="25"/>
    </w:p>
    <w:p w14:paraId="11D61FFA" w14:textId="77777777" w:rsidR="00182D80" w:rsidRPr="0007255D" w:rsidRDefault="00182D80" w:rsidP="00182D80">
      <w:pPr>
        <w:rPr>
          <w:rFonts w:ascii="Arial" w:hAnsi="Arial" w:cs="Arial"/>
          <w:sz w:val="22"/>
          <w:szCs w:val="22"/>
        </w:rPr>
      </w:pPr>
    </w:p>
    <w:p w14:paraId="5E95778F" w14:textId="77777777" w:rsidR="00182D80" w:rsidRPr="0007255D" w:rsidRDefault="00182D80" w:rsidP="00182D80">
      <w:pPr>
        <w:rPr>
          <w:rFonts w:ascii="Arial" w:hAnsi="Arial" w:cs="Arial"/>
          <w:sz w:val="22"/>
          <w:szCs w:val="22"/>
        </w:rPr>
      </w:pPr>
    </w:p>
    <w:p w14:paraId="27189C91" w14:textId="77777777" w:rsidR="00182D80" w:rsidRPr="0007255D" w:rsidRDefault="00182D80" w:rsidP="00182D80">
      <w:pPr>
        <w:rPr>
          <w:rFonts w:ascii="Arial" w:hAnsi="Arial" w:cs="Arial"/>
          <w:sz w:val="22"/>
          <w:szCs w:val="22"/>
        </w:rPr>
      </w:pPr>
    </w:p>
    <w:p w14:paraId="763B2490" w14:textId="77777777" w:rsidR="00182D80" w:rsidRPr="0007255D" w:rsidRDefault="00182D80" w:rsidP="00182D80">
      <w:pPr>
        <w:rPr>
          <w:rFonts w:ascii="Arial" w:hAnsi="Arial" w:cs="Arial"/>
          <w:sz w:val="22"/>
          <w:szCs w:val="22"/>
        </w:rPr>
      </w:pPr>
    </w:p>
    <w:p w14:paraId="55F6A9DD" w14:textId="77777777" w:rsidR="00182D80" w:rsidRPr="0007255D" w:rsidRDefault="00182D80" w:rsidP="00182D80">
      <w:pPr>
        <w:rPr>
          <w:rFonts w:ascii="Arial" w:hAnsi="Arial" w:cs="Arial"/>
          <w:sz w:val="22"/>
          <w:szCs w:val="22"/>
        </w:rPr>
      </w:pPr>
    </w:p>
    <w:p w14:paraId="72DF5F5F" w14:textId="77777777" w:rsidR="00182D80" w:rsidRPr="0007255D" w:rsidRDefault="00182D80" w:rsidP="00182D80">
      <w:pPr>
        <w:rPr>
          <w:rFonts w:ascii="Arial" w:hAnsi="Arial" w:cs="Arial"/>
          <w:sz w:val="22"/>
          <w:szCs w:val="22"/>
        </w:rPr>
      </w:pPr>
    </w:p>
    <w:p w14:paraId="7E5AA26A" w14:textId="77777777" w:rsidR="00182D80" w:rsidRPr="0007255D" w:rsidRDefault="00182D80" w:rsidP="00182D80">
      <w:pPr>
        <w:rPr>
          <w:rFonts w:ascii="Arial" w:hAnsi="Arial" w:cs="Arial"/>
          <w:sz w:val="22"/>
          <w:szCs w:val="22"/>
        </w:rPr>
      </w:pPr>
    </w:p>
    <w:p w14:paraId="28767930" w14:textId="77777777" w:rsidR="001C7304" w:rsidRDefault="001C7304"/>
    <w:sectPr w:rsidR="001C7304" w:rsidSect="00182D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33086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E06063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535075644">
    <w:abstractNumId w:val="0"/>
  </w:num>
  <w:num w:numId="2" w16cid:durableId="14560266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D80"/>
    <w:rsid w:val="00182D80"/>
    <w:rsid w:val="001C7304"/>
    <w:rsid w:val="003205EE"/>
    <w:rsid w:val="005859B1"/>
    <w:rsid w:val="00CE5F0F"/>
    <w:rsid w:val="00CF2049"/>
    <w:rsid w:val="00E40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940D5F"/>
  <w15:chartTrackingRefBased/>
  <w15:docId w15:val="{61BD0F44-8E4D-814E-BC04-72F471149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D80"/>
    <w:pPr>
      <w:spacing w:after="200" w:line="240" w:lineRule="auto"/>
    </w:pPr>
    <w:rPr>
      <w:rFonts w:eastAsiaTheme="minorEastAsia"/>
      <w:kern w:val="0"/>
      <w:lang w:eastAsia="zh-CN"/>
      <w14:ligatures w14:val="none"/>
    </w:rPr>
  </w:style>
  <w:style w:type="paragraph" w:styleId="Heading1">
    <w:name w:val="heading 1"/>
    <w:basedOn w:val="Normal"/>
    <w:next w:val="Normal"/>
    <w:link w:val="Heading1Char"/>
    <w:uiPriority w:val="9"/>
    <w:qFormat/>
    <w:rsid w:val="00182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2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2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D80"/>
    <w:rPr>
      <w:rFonts w:eastAsiaTheme="majorEastAsia" w:cstheme="majorBidi"/>
      <w:color w:val="272727" w:themeColor="text1" w:themeTint="D8"/>
    </w:rPr>
  </w:style>
  <w:style w:type="paragraph" w:styleId="Title">
    <w:name w:val="Title"/>
    <w:basedOn w:val="Normal"/>
    <w:next w:val="Normal"/>
    <w:link w:val="TitleChar"/>
    <w:uiPriority w:val="10"/>
    <w:qFormat/>
    <w:rsid w:val="00182D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D80"/>
    <w:pPr>
      <w:spacing w:before="160"/>
      <w:jc w:val="center"/>
    </w:pPr>
    <w:rPr>
      <w:i/>
      <w:iCs/>
      <w:color w:val="404040" w:themeColor="text1" w:themeTint="BF"/>
    </w:rPr>
  </w:style>
  <w:style w:type="character" w:customStyle="1" w:styleId="QuoteChar">
    <w:name w:val="Quote Char"/>
    <w:basedOn w:val="DefaultParagraphFont"/>
    <w:link w:val="Quote"/>
    <w:uiPriority w:val="29"/>
    <w:rsid w:val="00182D80"/>
    <w:rPr>
      <w:i/>
      <w:iCs/>
      <w:color w:val="404040" w:themeColor="text1" w:themeTint="BF"/>
    </w:rPr>
  </w:style>
  <w:style w:type="paragraph" w:styleId="ListParagraph">
    <w:name w:val="List Paragraph"/>
    <w:basedOn w:val="Normal"/>
    <w:uiPriority w:val="34"/>
    <w:qFormat/>
    <w:rsid w:val="00182D80"/>
    <w:pPr>
      <w:ind w:left="720"/>
      <w:contextualSpacing/>
    </w:pPr>
  </w:style>
  <w:style w:type="character" w:styleId="IntenseEmphasis">
    <w:name w:val="Intense Emphasis"/>
    <w:basedOn w:val="DefaultParagraphFont"/>
    <w:uiPriority w:val="21"/>
    <w:qFormat/>
    <w:rsid w:val="00182D80"/>
    <w:rPr>
      <w:i/>
      <w:iCs/>
      <w:color w:val="0F4761" w:themeColor="accent1" w:themeShade="BF"/>
    </w:rPr>
  </w:style>
  <w:style w:type="paragraph" w:styleId="IntenseQuote">
    <w:name w:val="Intense Quote"/>
    <w:basedOn w:val="Normal"/>
    <w:next w:val="Normal"/>
    <w:link w:val="IntenseQuoteChar"/>
    <w:uiPriority w:val="30"/>
    <w:qFormat/>
    <w:rsid w:val="00182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D80"/>
    <w:rPr>
      <w:i/>
      <w:iCs/>
      <w:color w:val="0F4761" w:themeColor="accent1" w:themeShade="BF"/>
    </w:rPr>
  </w:style>
  <w:style w:type="character" w:styleId="IntenseReference">
    <w:name w:val="Intense Reference"/>
    <w:basedOn w:val="DefaultParagraphFont"/>
    <w:uiPriority w:val="32"/>
    <w:qFormat/>
    <w:rsid w:val="00182D80"/>
    <w:rPr>
      <w:b/>
      <w:bCs/>
      <w:smallCaps/>
      <w:color w:val="0F4761" w:themeColor="accent1" w:themeShade="BF"/>
      <w:spacing w:val="5"/>
    </w:rPr>
  </w:style>
  <w:style w:type="paragraph" w:styleId="BodyText">
    <w:name w:val="Body Text"/>
    <w:basedOn w:val="Normal"/>
    <w:link w:val="BodyTextChar"/>
    <w:qFormat/>
    <w:rsid w:val="00182D80"/>
    <w:pPr>
      <w:spacing w:before="180" w:after="180"/>
    </w:pPr>
  </w:style>
  <w:style w:type="character" w:customStyle="1" w:styleId="BodyTextChar">
    <w:name w:val="Body Text Char"/>
    <w:basedOn w:val="DefaultParagraphFont"/>
    <w:link w:val="BodyText"/>
    <w:rsid w:val="00182D80"/>
    <w:rPr>
      <w:rFonts w:eastAsiaTheme="minorEastAsia"/>
      <w:kern w:val="0"/>
      <w:lang w:eastAsia="zh-CN"/>
      <w14:ligatures w14:val="none"/>
    </w:rPr>
  </w:style>
  <w:style w:type="paragraph" w:customStyle="1" w:styleId="FirstParagraph">
    <w:name w:val="First Paragraph"/>
    <w:basedOn w:val="BodyText"/>
    <w:next w:val="BodyText"/>
    <w:qFormat/>
    <w:rsid w:val="00182D80"/>
  </w:style>
  <w:style w:type="character" w:styleId="Hyperlink">
    <w:name w:val="Hyperlink"/>
    <w:basedOn w:val="DefaultParagraphFont"/>
    <w:rsid w:val="00182D80"/>
    <w:rPr>
      <w:color w:val="156082" w:themeColor="accent1"/>
    </w:rPr>
  </w:style>
  <w:style w:type="paragraph" w:customStyle="1" w:styleId="TableCaption">
    <w:name w:val="Table Caption"/>
    <w:basedOn w:val="Caption"/>
    <w:rsid w:val="00182D80"/>
    <w:pPr>
      <w:keepNext/>
      <w:spacing w:after="120"/>
    </w:pPr>
    <w:rPr>
      <w:iCs w:val="0"/>
      <w:color w:val="auto"/>
      <w:sz w:val="24"/>
      <w:szCs w:val="24"/>
    </w:rPr>
  </w:style>
  <w:style w:type="paragraph" w:styleId="Caption">
    <w:name w:val="caption"/>
    <w:basedOn w:val="Normal"/>
    <w:next w:val="Normal"/>
    <w:link w:val="CaptionChar"/>
    <w:unhideWhenUsed/>
    <w:qFormat/>
    <w:rsid w:val="00182D80"/>
    <w:rPr>
      <w:i/>
      <w:iCs/>
      <w:color w:val="0E2841" w:themeColor="text2"/>
      <w:sz w:val="18"/>
      <w:szCs w:val="18"/>
    </w:rPr>
  </w:style>
  <w:style w:type="table" w:styleId="TableGrid">
    <w:name w:val="Table Grid"/>
    <w:basedOn w:val="TableNormal"/>
    <w:uiPriority w:val="39"/>
    <w:rsid w:val="00182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batimChar">
    <w:name w:val="Verbatim Char"/>
    <w:basedOn w:val="DefaultParagraphFont"/>
    <w:link w:val="SourceCode"/>
    <w:rsid w:val="00182D80"/>
    <w:rPr>
      <w:rFonts w:ascii="Consolas" w:hAnsi="Consolas"/>
      <w:sz w:val="22"/>
    </w:rPr>
  </w:style>
  <w:style w:type="paragraph" w:customStyle="1" w:styleId="SourceCode">
    <w:name w:val="Source Code"/>
    <w:basedOn w:val="Normal"/>
    <w:link w:val="VerbatimChar"/>
    <w:rsid w:val="00182D80"/>
    <w:pPr>
      <w:wordWrap w:val="0"/>
    </w:pPr>
    <w:rPr>
      <w:rFonts w:ascii="Consolas" w:eastAsiaTheme="minorHAnsi" w:hAnsi="Consolas"/>
      <w:kern w:val="2"/>
      <w:sz w:val="22"/>
      <w:lang w:eastAsia="en-US"/>
      <w14:ligatures w14:val="standardContextual"/>
    </w:rPr>
  </w:style>
  <w:style w:type="paragraph" w:customStyle="1" w:styleId="ImageCaption">
    <w:name w:val="Image Caption"/>
    <w:basedOn w:val="Caption"/>
    <w:rsid w:val="00182D80"/>
    <w:pPr>
      <w:spacing w:after="120"/>
    </w:pPr>
    <w:rPr>
      <w:iCs w:val="0"/>
      <w:color w:val="auto"/>
      <w:sz w:val="24"/>
      <w:szCs w:val="24"/>
    </w:rPr>
  </w:style>
  <w:style w:type="paragraph" w:customStyle="1" w:styleId="Compact">
    <w:name w:val="Compact"/>
    <w:basedOn w:val="BodyText"/>
    <w:qFormat/>
    <w:rsid w:val="00182D80"/>
    <w:pPr>
      <w:spacing w:before="36" w:after="36"/>
    </w:pPr>
  </w:style>
  <w:style w:type="paragraph" w:customStyle="1" w:styleId="Author">
    <w:name w:val="Author"/>
    <w:basedOn w:val="Title"/>
    <w:next w:val="BodyText"/>
    <w:qFormat/>
    <w:rsid w:val="00182D80"/>
    <w:pPr>
      <w:keepNext/>
      <w:keepLines/>
      <w:jc w:val="center"/>
    </w:pPr>
    <w:rPr>
      <w:spacing w:val="0"/>
      <w:kern w:val="0"/>
      <w:sz w:val="24"/>
      <w:szCs w:val="24"/>
    </w:rPr>
  </w:style>
  <w:style w:type="paragraph" w:styleId="Date">
    <w:name w:val="Date"/>
    <w:basedOn w:val="Title"/>
    <w:next w:val="BodyText"/>
    <w:link w:val="DateChar"/>
    <w:qFormat/>
    <w:rsid w:val="00182D80"/>
    <w:pPr>
      <w:keepNext/>
      <w:keepLines/>
      <w:jc w:val="center"/>
    </w:pPr>
    <w:rPr>
      <w:spacing w:val="0"/>
      <w:kern w:val="0"/>
      <w:sz w:val="24"/>
      <w:szCs w:val="24"/>
    </w:rPr>
  </w:style>
  <w:style w:type="character" w:customStyle="1" w:styleId="DateChar">
    <w:name w:val="Date Char"/>
    <w:basedOn w:val="DefaultParagraphFont"/>
    <w:link w:val="Date"/>
    <w:rsid w:val="00182D80"/>
    <w:rPr>
      <w:rFonts w:asciiTheme="majorHAnsi" w:eastAsiaTheme="majorEastAsia" w:hAnsiTheme="majorHAnsi" w:cstheme="majorBidi"/>
      <w:kern w:val="0"/>
      <w:lang w:eastAsia="zh-CN"/>
      <w14:ligatures w14:val="none"/>
    </w:rPr>
  </w:style>
  <w:style w:type="paragraph" w:customStyle="1" w:styleId="AbstractTitle">
    <w:name w:val="Abstract Title"/>
    <w:basedOn w:val="Normal"/>
    <w:next w:val="Abstract"/>
    <w:qFormat/>
    <w:rsid w:val="00182D80"/>
    <w:pPr>
      <w:keepNext/>
      <w:keepLines/>
      <w:spacing w:before="300" w:after="0"/>
      <w:jc w:val="center"/>
    </w:pPr>
    <w:rPr>
      <w:b/>
      <w:sz w:val="20"/>
      <w:szCs w:val="20"/>
    </w:rPr>
  </w:style>
  <w:style w:type="paragraph" w:customStyle="1" w:styleId="Abstract">
    <w:name w:val="Abstract"/>
    <w:basedOn w:val="Normal"/>
    <w:next w:val="BodyText"/>
    <w:qFormat/>
    <w:rsid w:val="00182D80"/>
    <w:pPr>
      <w:keepNext/>
      <w:keepLines/>
      <w:spacing w:before="100" w:after="300"/>
    </w:pPr>
    <w:rPr>
      <w:sz w:val="20"/>
      <w:szCs w:val="20"/>
    </w:rPr>
  </w:style>
  <w:style w:type="paragraph" w:styleId="Bibliography">
    <w:name w:val="Bibliography"/>
    <w:basedOn w:val="Normal"/>
    <w:qFormat/>
    <w:rsid w:val="00182D80"/>
  </w:style>
  <w:style w:type="paragraph" w:styleId="BlockText">
    <w:name w:val="Block Text"/>
    <w:basedOn w:val="BodyText"/>
    <w:next w:val="BodyText"/>
    <w:uiPriority w:val="9"/>
    <w:unhideWhenUsed/>
    <w:qFormat/>
    <w:rsid w:val="00182D80"/>
    <w:pPr>
      <w:spacing w:before="100" w:after="100"/>
      <w:ind w:left="480" w:right="480"/>
    </w:pPr>
  </w:style>
  <w:style w:type="paragraph" w:styleId="FootnoteText">
    <w:name w:val="footnote text"/>
    <w:basedOn w:val="Normal"/>
    <w:link w:val="FootnoteTextChar"/>
    <w:uiPriority w:val="9"/>
    <w:unhideWhenUsed/>
    <w:qFormat/>
    <w:rsid w:val="00182D80"/>
  </w:style>
  <w:style w:type="character" w:customStyle="1" w:styleId="FootnoteTextChar">
    <w:name w:val="Footnote Text Char"/>
    <w:basedOn w:val="DefaultParagraphFont"/>
    <w:link w:val="FootnoteText"/>
    <w:uiPriority w:val="9"/>
    <w:rsid w:val="00182D80"/>
    <w:rPr>
      <w:rFonts w:eastAsiaTheme="minorEastAsia"/>
      <w:kern w:val="0"/>
      <w:lang w:eastAsia="zh-CN"/>
      <w14:ligatures w14:val="none"/>
    </w:rPr>
  </w:style>
  <w:style w:type="paragraph" w:customStyle="1" w:styleId="FootnoteBlockText">
    <w:name w:val="Footnote Block Text"/>
    <w:basedOn w:val="FootnoteText"/>
    <w:next w:val="FootnoteText"/>
    <w:uiPriority w:val="9"/>
    <w:unhideWhenUsed/>
    <w:qFormat/>
    <w:rsid w:val="00182D80"/>
    <w:pPr>
      <w:spacing w:before="100" w:after="100"/>
      <w:ind w:left="480" w:right="480"/>
    </w:pPr>
  </w:style>
  <w:style w:type="table" w:customStyle="1" w:styleId="Table">
    <w:name w:val="Table"/>
    <w:semiHidden/>
    <w:unhideWhenUsed/>
    <w:qFormat/>
    <w:rsid w:val="00182D80"/>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182D80"/>
    <w:pPr>
      <w:keepNext/>
      <w:keepLines/>
      <w:spacing w:after="0"/>
    </w:pPr>
    <w:rPr>
      <w:b/>
    </w:rPr>
  </w:style>
  <w:style w:type="paragraph" w:customStyle="1" w:styleId="Definition">
    <w:name w:val="Definition"/>
    <w:basedOn w:val="Normal"/>
    <w:rsid w:val="00182D80"/>
  </w:style>
  <w:style w:type="paragraph" w:customStyle="1" w:styleId="Figure">
    <w:name w:val="Figure"/>
    <w:basedOn w:val="Normal"/>
    <w:rsid w:val="00182D80"/>
  </w:style>
  <w:style w:type="paragraph" w:customStyle="1" w:styleId="CaptionedFigure">
    <w:name w:val="Captioned Figure"/>
    <w:basedOn w:val="Figure"/>
    <w:rsid w:val="00182D80"/>
    <w:pPr>
      <w:keepNext/>
    </w:pPr>
  </w:style>
  <w:style w:type="character" w:customStyle="1" w:styleId="CaptionChar">
    <w:name w:val="Caption Char"/>
    <w:basedOn w:val="DefaultParagraphFont"/>
    <w:link w:val="Caption"/>
    <w:rsid w:val="00182D80"/>
    <w:rPr>
      <w:rFonts w:eastAsiaTheme="minorEastAsia"/>
      <w:i/>
      <w:iCs/>
      <w:color w:val="0E2841" w:themeColor="text2"/>
      <w:kern w:val="0"/>
      <w:sz w:val="18"/>
      <w:szCs w:val="18"/>
      <w:lang w:eastAsia="zh-CN"/>
      <w14:ligatures w14:val="none"/>
    </w:rPr>
  </w:style>
  <w:style w:type="character" w:customStyle="1" w:styleId="SectionNumber">
    <w:name w:val="Section Number"/>
    <w:basedOn w:val="CaptionChar"/>
    <w:rsid w:val="00182D80"/>
    <w:rPr>
      <w:rFonts w:eastAsiaTheme="minorEastAsia"/>
      <w:i/>
      <w:iCs/>
      <w:color w:val="0E2841" w:themeColor="text2"/>
      <w:kern w:val="0"/>
      <w:sz w:val="18"/>
      <w:szCs w:val="18"/>
      <w:lang w:eastAsia="zh-CN"/>
      <w14:ligatures w14:val="none"/>
    </w:rPr>
  </w:style>
  <w:style w:type="character" w:styleId="FootnoteReference">
    <w:name w:val="footnote reference"/>
    <w:basedOn w:val="CaptionChar"/>
    <w:rsid w:val="00182D80"/>
    <w:rPr>
      <w:rFonts w:eastAsiaTheme="minorEastAsia"/>
      <w:i/>
      <w:iCs/>
      <w:color w:val="0E2841" w:themeColor="text2"/>
      <w:kern w:val="0"/>
      <w:sz w:val="18"/>
      <w:szCs w:val="18"/>
      <w:vertAlign w:val="superscript"/>
      <w:lang w:eastAsia="zh-CN"/>
      <w14:ligatures w14:val="none"/>
    </w:rPr>
  </w:style>
  <w:style w:type="paragraph" w:styleId="TOCHeading">
    <w:name w:val="TOC Heading"/>
    <w:basedOn w:val="Heading1"/>
    <w:next w:val="BodyText"/>
    <w:uiPriority w:val="39"/>
    <w:unhideWhenUsed/>
    <w:qFormat/>
    <w:rsid w:val="00182D80"/>
    <w:pPr>
      <w:spacing w:before="240" w:line="259" w:lineRule="auto"/>
      <w:outlineLvl w:val="9"/>
    </w:pPr>
  </w:style>
  <w:style w:type="character" w:customStyle="1" w:styleId="KeywordTok">
    <w:name w:val="KeywordTok"/>
    <w:basedOn w:val="VerbatimChar"/>
    <w:rsid w:val="00182D80"/>
    <w:rPr>
      <w:rFonts w:ascii="Consolas" w:hAnsi="Consolas"/>
      <w:b/>
      <w:color w:val="007020"/>
      <w:sz w:val="22"/>
    </w:rPr>
  </w:style>
  <w:style w:type="character" w:customStyle="1" w:styleId="DataTypeTok">
    <w:name w:val="DataTypeTok"/>
    <w:basedOn w:val="VerbatimChar"/>
    <w:rsid w:val="00182D80"/>
    <w:rPr>
      <w:rFonts w:ascii="Consolas" w:hAnsi="Consolas"/>
      <w:color w:val="902000"/>
      <w:sz w:val="22"/>
    </w:rPr>
  </w:style>
  <w:style w:type="character" w:customStyle="1" w:styleId="DecValTok">
    <w:name w:val="DecValTok"/>
    <w:basedOn w:val="VerbatimChar"/>
    <w:rsid w:val="00182D80"/>
    <w:rPr>
      <w:rFonts w:ascii="Consolas" w:hAnsi="Consolas"/>
      <w:color w:val="40A070"/>
      <w:sz w:val="22"/>
    </w:rPr>
  </w:style>
  <w:style w:type="character" w:customStyle="1" w:styleId="BaseNTok">
    <w:name w:val="BaseNTok"/>
    <w:basedOn w:val="VerbatimChar"/>
    <w:rsid w:val="00182D80"/>
    <w:rPr>
      <w:rFonts w:ascii="Consolas" w:hAnsi="Consolas"/>
      <w:color w:val="40A070"/>
      <w:sz w:val="22"/>
    </w:rPr>
  </w:style>
  <w:style w:type="character" w:customStyle="1" w:styleId="FloatTok">
    <w:name w:val="FloatTok"/>
    <w:basedOn w:val="VerbatimChar"/>
    <w:rsid w:val="00182D80"/>
    <w:rPr>
      <w:rFonts w:ascii="Consolas" w:hAnsi="Consolas"/>
      <w:color w:val="40A070"/>
      <w:sz w:val="22"/>
    </w:rPr>
  </w:style>
  <w:style w:type="character" w:customStyle="1" w:styleId="ConstantTok">
    <w:name w:val="ConstantTok"/>
    <w:basedOn w:val="VerbatimChar"/>
    <w:rsid w:val="00182D80"/>
    <w:rPr>
      <w:rFonts w:ascii="Consolas" w:hAnsi="Consolas"/>
      <w:color w:val="880000"/>
      <w:sz w:val="22"/>
    </w:rPr>
  </w:style>
  <w:style w:type="character" w:customStyle="1" w:styleId="CharTok">
    <w:name w:val="CharTok"/>
    <w:basedOn w:val="VerbatimChar"/>
    <w:rsid w:val="00182D80"/>
    <w:rPr>
      <w:rFonts w:ascii="Consolas" w:hAnsi="Consolas"/>
      <w:color w:val="4070A0"/>
      <w:sz w:val="22"/>
    </w:rPr>
  </w:style>
  <w:style w:type="character" w:customStyle="1" w:styleId="SpecialCharTok">
    <w:name w:val="SpecialCharTok"/>
    <w:basedOn w:val="VerbatimChar"/>
    <w:rsid w:val="00182D80"/>
    <w:rPr>
      <w:rFonts w:ascii="Consolas" w:hAnsi="Consolas"/>
      <w:color w:val="4070A0"/>
      <w:sz w:val="22"/>
    </w:rPr>
  </w:style>
  <w:style w:type="character" w:customStyle="1" w:styleId="StringTok">
    <w:name w:val="StringTok"/>
    <w:basedOn w:val="VerbatimChar"/>
    <w:rsid w:val="00182D80"/>
    <w:rPr>
      <w:rFonts w:ascii="Consolas" w:hAnsi="Consolas"/>
      <w:color w:val="4070A0"/>
      <w:sz w:val="22"/>
    </w:rPr>
  </w:style>
  <w:style w:type="character" w:customStyle="1" w:styleId="VerbatimStringTok">
    <w:name w:val="VerbatimStringTok"/>
    <w:basedOn w:val="VerbatimChar"/>
    <w:rsid w:val="00182D80"/>
    <w:rPr>
      <w:rFonts w:ascii="Consolas" w:hAnsi="Consolas"/>
      <w:color w:val="4070A0"/>
      <w:sz w:val="22"/>
    </w:rPr>
  </w:style>
  <w:style w:type="character" w:customStyle="1" w:styleId="SpecialStringTok">
    <w:name w:val="SpecialStringTok"/>
    <w:basedOn w:val="VerbatimChar"/>
    <w:rsid w:val="00182D80"/>
    <w:rPr>
      <w:rFonts w:ascii="Consolas" w:hAnsi="Consolas"/>
      <w:color w:val="BB6688"/>
      <w:sz w:val="22"/>
    </w:rPr>
  </w:style>
  <w:style w:type="character" w:customStyle="1" w:styleId="ImportTok">
    <w:name w:val="ImportTok"/>
    <w:basedOn w:val="VerbatimChar"/>
    <w:rsid w:val="00182D80"/>
    <w:rPr>
      <w:rFonts w:ascii="Consolas" w:hAnsi="Consolas"/>
      <w:b/>
      <w:color w:val="008000"/>
      <w:sz w:val="22"/>
    </w:rPr>
  </w:style>
  <w:style w:type="character" w:customStyle="1" w:styleId="CommentTok">
    <w:name w:val="CommentTok"/>
    <w:basedOn w:val="VerbatimChar"/>
    <w:rsid w:val="00182D80"/>
    <w:rPr>
      <w:rFonts w:ascii="Consolas" w:hAnsi="Consolas"/>
      <w:i/>
      <w:color w:val="60A0B0"/>
      <w:sz w:val="22"/>
    </w:rPr>
  </w:style>
  <w:style w:type="character" w:customStyle="1" w:styleId="DocumentationTok">
    <w:name w:val="DocumentationTok"/>
    <w:basedOn w:val="VerbatimChar"/>
    <w:rsid w:val="00182D80"/>
    <w:rPr>
      <w:rFonts w:ascii="Consolas" w:hAnsi="Consolas"/>
      <w:i/>
      <w:color w:val="BA2121"/>
      <w:sz w:val="22"/>
    </w:rPr>
  </w:style>
  <w:style w:type="character" w:customStyle="1" w:styleId="AnnotationTok">
    <w:name w:val="AnnotationTok"/>
    <w:basedOn w:val="VerbatimChar"/>
    <w:rsid w:val="00182D80"/>
    <w:rPr>
      <w:rFonts w:ascii="Consolas" w:hAnsi="Consolas"/>
      <w:b/>
      <w:i/>
      <w:color w:val="60A0B0"/>
      <w:sz w:val="22"/>
    </w:rPr>
  </w:style>
  <w:style w:type="character" w:customStyle="1" w:styleId="CommentVarTok">
    <w:name w:val="CommentVarTok"/>
    <w:basedOn w:val="VerbatimChar"/>
    <w:rsid w:val="00182D80"/>
    <w:rPr>
      <w:rFonts w:ascii="Consolas" w:hAnsi="Consolas"/>
      <w:b/>
      <w:i/>
      <w:color w:val="60A0B0"/>
      <w:sz w:val="22"/>
    </w:rPr>
  </w:style>
  <w:style w:type="character" w:customStyle="1" w:styleId="OtherTok">
    <w:name w:val="OtherTok"/>
    <w:basedOn w:val="VerbatimChar"/>
    <w:rsid w:val="00182D80"/>
    <w:rPr>
      <w:rFonts w:ascii="Consolas" w:hAnsi="Consolas"/>
      <w:color w:val="007020"/>
      <w:sz w:val="22"/>
    </w:rPr>
  </w:style>
  <w:style w:type="character" w:customStyle="1" w:styleId="FunctionTok">
    <w:name w:val="FunctionTok"/>
    <w:basedOn w:val="VerbatimChar"/>
    <w:rsid w:val="00182D80"/>
    <w:rPr>
      <w:rFonts w:ascii="Consolas" w:hAnsi="Consolas"/>
      <w:color w:val="06287E"/>
      <w:sz w:val="22"/>
    </w:rPr>
  </w:style>
  <w:style w:type="character" w:customStyle="1" w:styleId="VariableTok">
    <w:name w:val="VariableTok"/>
    <w:basedOn w:val="VerbatimChar"/>
    <w:rsid w:val="00182D80"/>
    <w:rPr>
      <w:rFonts w:ascii="Consolas" w:hAnsi="Consolas"/>
      <w:color w:val="19177C"/>
      <w:sz w:val="22"/>
    </w:rPr>
  </w:style>
  <w:style w:type="character" w:customStyle="1" w:styleId="ControlFlowTok">
    <w:name w:val="ControlFlowTok"/>
    <w:basedOn w:val="VerbatimChar"/>
    <w:rsid w:val="00182D80"/>
    <w:rPr>
      <w:rFonts w:ascii="Consolas" w:hAnsi="Consolas"/>
      <w:b/>
      <w:color w:val="007020"/>
      <w:sz w:val="22"/>
    </w:rPr>
  </w:style>
  <w:style w:type="character" w:customStyle="1" w:styleId="OperatorTok">
    <w:name w:val="OperatorTok"/>
    <w:basedOn w:val="VerbatimChar"/>
    <w:rsid w:val="00182D80"/>
    <w:rPr>
      <w:rFonts w:ascii="Consolas" w:hAnsi="Consolas"/>
      <w:color w:val="666666"/>
      <w:sz w:val="22"/>
    </w:rPr>
  </w:style>
  <w:style w:type="character" w:customStyle="1" w:styleId="BuiltInTok">
    <w:name w:val="BuiltInTok"/>
    <w:basedOn w:val="VerbatimChar"/>
    <w:rsid w:val="00182D80"/>
    <w:rPr>
      <w:rFonts w:ascii="Consolas" w:hAnsi="Consolas"/>
      <w:color w:val="008000"/>
      <w:sz w:val="22"/>
    </w:rPr>
  </w:style>
  <w:style w:type="character" w:customStyle="1" w:styleId="ExtensionTok">
    <w:name w:val="ExtensionTok"/>
    <w:basedOn w:val="VerbatimChar"/>
    <w:rsid w:val="00182D80"/>
    <w:rPr>
      <w:rFonts w:ascii="Consolas" w:hAnsi="Consolas"/>
      <w:sz w:val="22"/>
    </w:rPr>
  </w:style>
  <w:style w:type="character" w:customStyle="1" w:styleId="PreprocessorTok">
    <w:name w:val="PreprocessorTok"/>
    <w:basedOn w:val="VerbatimChar"/>
    <w:rsid w:val="00182D80"/>
    <w:rPr>
      <w:rFonts w:ascii="Consolas" w:hAnsi="Consolas"/>
      <w:color w:val="BC7A00"/>
      <w:sz w:val="22"/>
    </w:rPr>
  </w:style>
  <w:style w:type="character" w:customStyle="1" w:styleId="AttributeTok">
    <w:name w:val="AttributeTok"/>
    <w:basedOn w:val="VerbatimChar"/>
    <w:rsid w:val="00182D80"/>
    <w:rPr>
      <w:rFonts w:ascii="Consolas" w:hAnsi="Consolas"/>
      <w:color w:val="7D9029"/>
      <w:sz w:val="22"/>
    </w:rPr>
  </w:style>
  <w:style w:type="character" w:customStyle="1" w:styleId="RegionMarkerTok">
    <w:name w:val="RegionMarkerTok"/>
    <w:basedOn w:val="VerbatimChar"/>
    <w:rsid w:val="00182D80"/>
    <w:rPr>
      <w:rFonts w:ascii="Consolas" w:hAnsi="Consolas"/>
      <w:sz w:val="22"/>
    </w:rPr>
  </w:style>
  <w:style w:type="character" w:customStyle="1" w:styleId="InformationTok">
    <w:name w:val="InformationTok"/>
    <w:basedOn w:val="VerbatimChar"/>
    <w:rsid w:val="00182D80"/>
    <w:rPr>
      <w:rFonts w:ascii="Consolas" w:hAnsi="Consolas"/>
      <w:b/>
      <w:i/>
      <w:color w:val="60A0B0"/>
      <w:sz w:val="22"/>
    </w:rPr>
  </w:style>
  <w:style w:type="character" w:customStyle="1" w:styleId="WarningTok">
    <w:name w:val="WarningTok"/>
    <w:basedOn w:val="VerbatimChar"/>
    <w:rsid w:val="00182D80"/>
    <w:rPr>
      <w:rFonts w:ascii="Consolas" w:hAnsi="Consolas"/>
      <w:b/>
      <w:i/>
      <w:color w:val="60A0B0"/>
      <w:sz w:val="22"/>
    </w:rPr>
  </w:style>
  <w:style w:type="character" w:customStyle="1" w:styleId="AlertTok">
    <w:name w:val="AlertTok"/>
    <w:basedOn w:val="VerbatimChar"/>
    <w:rsid w:val="00182D80"/>
    <w:rPr>
      <w:rFonts w:ascii="Consolas" w:hAnsi="Consolas"/>
      <w:b/>
      <w:color w:val="FF0000"/>
      <w:sz w:val="22"/>
    </w:rPr>
  </w:style>
  <w:style w:type="character" w:customStyle="1" w:styleId="ErrorTok">
    <w:name w:val="ErrorTok"/>
    <w:basedOn w:val="VerbatimChar"/>
    <w:rsid w:val="00182D80"/>
    <w:rPr>
      <w:rFonts w:ascii="Consolas" w:hAnsi="Consolas"/>
      <w:b/>
      <w:color w:val="FF0000"/>
      <w:sz w:val="22"/>
    </w:rPr>
  </w:style>
  <w:style w:type="character" w:customStyle="1" w:styleId="NormalTok">
    <w:name w:val="NormalTok"/>
    <w:basedOn w:val="VerbatimChar"/>
    <w:rsid w:val="00182D80"/>
    <w:rPr>
      <w:rFonts w:ascii="Consolas" w:hAnsi="Consolas"/>
      <w:sz w:val="22"/>
    </w:rPr>
  </w:style>
  <w:style w:type="character" w:styleId="FollowedHyperlink">
    <w:name w:val="FollowedHyperlink"/>
    <w:basedOn w:val="DefaultParagraphFont"/>
    <w:rsid w:val="00182D8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nmni.2022.101055" TargetMode="External"/><Relationship Id="rId18" Type="http://schemas.openxmlformats.org/officeDocument/2006/relationships/hyperlink" Target="https://www.transtats.bts.gov/DL_SelectFields.aspx?gnoyr_VQ=FJE" TargetMode="External"/><Relationship Id="rId26" Type="http://schemas.openxmlformats.org/officeDocument/2006/relationships/hyperlink" Target="https://doi.org/10.1038/s41598-020-75261-9" TargetMode="External"/><Relationship Id="rId39" Type="http://schemas.openxmlformats.org/officeDocument/2006/relationships/image" Target="media/image6.png"/><Relationship Id="rId21" Type="http://schemas.openxmlformats.org/officeDocument/2006/relationships/hyperlink" Target="https://www.who.int/teams/global-malaria-programme/reports/world-malaria-report-2024" TargetMode="External"/><Relationship Id="rId34" Type="http://schemas.openxmlformats.org/officeDocument/2006/relationships/hyperlink" Target="https://doi.org/10.1016/S2213-2600(14)70034-7" TargetMode="External"/><Relationship Id="rId42" Type="http://schemas.openxmlformats.org/officeDocument/2006/relationships/image" Target="media/image9.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CRAN.R-project.org/package=tidycensus" TargetMode="External"/><Relationship Id="rId29" Type="http://schemas.openxmlformats.org/officeDocument/2006/relationships/hyperlink" Target="https://doi.org/10.1002/(SICI)1096-9071(199812)56:4%3c337::AID-JMV9%3e3.0.CO;2-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371/journal.pntd.0003063" TargetMode="External"/><Relationship Id="rId24" Type="http://schemas.openxmlformats.org/officeDocument/2006/relationships/hyperlink" Target="https://doi.org/10.1371/journal.pntd.0002056" TargetMode="External"/><Relationship Id="rId32" Type="http://schemas.openxmlformats.org/officeDocument/2006/relationships/hyperlink" Target="https://doi.org/10.1186/s12916-015-0382-8" TargetMode="External"/><Relationship Id="rId37" Type="http://schemas.openxmlformats.org/officeDocument/2006/relationships/hyperlink" Target="https://doi.org/10.15585/mmwr.mm7518a1" TargetMode="External"/><Relationship Id="rId40" Type="http://schemas.openxmlformats.org/officeDocument/2006/relationships/image" Target="media/image7.png"/><Relationship Id="rId45" Type="http://schemas.openxmlformats.org/officeDocument/2006/relationships/image" Target="media/image12.png"/><Relationship Id="rId5" Type="http://schemas.openxmlformats.org/officeDocument/2006/relationships/image" Target="media/image1.png"/><Relationship Id="rId15" Type="http://schemas.openxmlformats.org/officeDocument/2006/relationships/hyperlink" Target="https://www.census.gov/library/stories/2026/06/2026-world-cup.html" TargetMode="External"/><Relationship Id="rId23" Type="http://schemas.openxmlformats.org/officeDocument/2006/relationships/hyperlink" Target="https://doi.org/10.1038/nature12060" TargetMode="External"/><Relationship Id="rId28" Type="http://schemas.openxmlformats.org/officeDocument/2006/relationships/hyperlink" Target="https://doi.org/10.1016/S0140-6736(98)02364-2" TargetMode="External"/><Relationship Id="rId36" Type="http://schemas.openxmlformats.org/officeDocument/2006/relationships/hyperlink" Target="https://doi.org/10.1097/EDE.0000000000000340" TargetMode="External"/><Relationship Id="rId10" Type="http://schemas.openxmlformats.org/officeDocument/2006/relationships/hyperlink" Target="https://www.trade.gov/travel-and-tourism-forecasts" TargetMode="External"/><Relationship Id="rId19" Type="http://schemas.openxmlformats.org/officeDocument/2006/relationships/hyperlink" Target="https://www.worldometers.info/world-population/population-by-country/" TargetMode="External"/><Relationship Id="rId31" Type="http://schemas.openxmlformats.org/officeDocument/2006/relationships/hyperlink" Target="https://doi.org/10.1093/cid/ciz531" TargetMode="External"/><Relationship Id="rId44"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medrxiv.org/content/10.64898/2026.05.28.26354384" TargetMode="External"/><Relationship Id="rId22" Type="http://schemas.openxmlformats.org/officeDocument/2006/relationships/hyperlink" Target="https://immunizationdata.who.int" TargetMode="External"/><Relationship Id="rId27" Type="http://schemas.openxmlformats.org/officeDocument/2006/relationships/hyperlink" Target="https://doi.org/10.1016/S0140-6736(12)60522-4" TargetMode="External"/><Relationship Id="rId30" Type="http://schemas.openxmlformats.org/officeDocument/2006/relationships/hyperlink" Target="https://doi.org/10.1080/21645515.2016.1186313" TargetMode="External"/><Relationship Id="rId35" Type="http://schemas.openxmlformats.org/officeDocument/2006/relationships/hyperlink" Target="https://doi.org/10.1093/aje/kwm375" TargetMode="External"/><Relationship Id="rId43" Type="http://schemas.openxmlformats.org/officeDocument/2006/relationships/image" Target="media/image10.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doi.org/10.1016/j.tmaid.2018.06.010" TargetMode="External"/><Relationship Id="rId17" Type="http://schemas.openxmlformats.org/officeDocument/2006/relationships/hyperlink" Target="https://travel.trade.gov" TargetMode="External"/><Relationship Id="rId25" Type="http://schemas.openxmlformats.org/officeDocument/2006/relationships/hyperlink" Target="https://doi.org/10.1586/eri.13.45" TargetMode="External"/><Relationship Id="rId33" Type="http://schemas.openxmlformats.org/officeDocument/2006/relationships/hyperlink" Target="https://doi.org/10.1186/s12976-020-00129-4" TargetMode="External"/><Relationship Id="rId38" Type="http://schemas.openxmlformats.org/officeDocument/2006/relationships/hyperlink" Target="https://github.com/jdiestra1977/FIFA_worldCup_2026_risk" TargetMode="External"/><Relationship Id="rId46" Type="http://schemas.openxmlformats.org/officeDocument/2006/relationships/image" Target="media/image13.png"/><Relationship Id="rId20" Type="http://schemas.openxmlformats.org/officeDocument/2006/relationships/hyperlink" Target="https://www.who.int/data/gho" TargetMode="External"/><Relationship Id="rId4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7515</Words>
  <Characters>42837</Characters>
  <Application>Microsoft Office Word</Application>
  <DocSecurity>0</DocSecurity>
  <Lines>356</Lines>
  <Paragraphs>100</Paragraphs>
  <ScaleCrop>false</ScaleCrop>
  <Company/>
  <LinksUpToDate>false</LinksUpToDate>
  <CharactersWithSpaces>50252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Herrera Diestra, Jose</dc:creator>
  <cp:keywords/>
  <dc:description/>
  <cp:lastModifiedBy>Herrera Diestra, Jose</cp:lastModifiedBy>
  <cp:revision>2</cp:revision>
  <dcterms:created xsi:type="dcterms:W3CDTF">2026-08-12T22:03:00Z</dcterms:created>
  <dcterms:modified xsi:type="dcterms:W3CDTF">2026-08-13T13:52:00Z</dcterms:modified>
</cp:coreProperties>
</file>