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4.png" ContentType="image/png"/>
  <Override PartName="/word/media/rId29.png" ContentType="image/png"/>
  <Override PartName="/word/media/rId34.png" ContentType="image/png"/>
  <Override PartName="/word/media/rId39.png" ContentType="image/png"/>
  <Override PartName="/word/media/rId126.png" ContentType="image/png"/>
  <Override PartName="/word/media/rId130.png" ContentType="image/png"/>
  <Override PartName="/word/media/rId134.png" ContentType="image/png"/>
  <Override PartName="/word/media/rId138.png" ContentType="image/png"/>
  <Override PartName="/word/media/rId142.png" ContentType="image/png"/>
  <Override PartName="/word/media/rId146.png" ContentType="image/png"/>
  <Override PartName="/word/media/rId150.png" ContentType="image/png"/>
  <Override PartName="/word/media/rId1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The risk was already there: infectious disease</w:t>
      </w:r>
      <w:r>
        <w:rPr>
          <w:b/>
          <w:bCs/>
        </w:rPr>
        <w:t xml:space="preserve"> </w:t>
      </w:r>
      <w:r>
        <w:rPr>
          <w:b/>
          <w:bCs/>
        </w:rPr>
        <w:t xml:space="preserve">importation at the 2026 FIFA World Cup</w:t>
      </w:r>
    </w:p>
    <w:p>
      <w:pPr>
        <w:pStyle w:val="BodyText"/>
      </w:pPr>
      <w:r>
        <w:t xml:space="preserve">Jose L. Herrera-Diestra</w:t>
      </w:r>
      <m:oMath>
        <m:sSup>
          <m:e>
            <m:r>
              <m:t/>
            </m:r>
          </m:e>
          <m:sup>
            <m:r>
              <m:t>1</m:t>
            </m:r>
            <m:r>
              <m:rPr>
                <m:sty m:val="p"/>
              </m:rPr>
              <m:t>,</m:t>
            </m:r>
            <m:r>
              <m:rPr>
                <m:sty m:val="p"/>
              </m:rPr>
              <m:t>*</m:t>
            </m:r>
          </m:sup>
        </m:sSup>
      </m:oMath>
      <w:r>
        <w:t xml:space="preserve">, Nyall Jamieson</w:t>
      </w:r>
      <m:oMath>
        <m:sSup>
          <m:e>
            <m:r>
              <m:t/>
            </m:r>
          </m:e>
          <m:sup>
            <m:r>
              <m:t>2</m:t>
            </m:r>
          </m:sup>
        </m:sSup>
      </m:oMath>
      <w:r>
        <w:t xml:space="preserve">, Mallory J. Harris</w:t>
      </w:r>
      <m:oMath>
        <m:sSup>
          <m:e>
            <m:r>
              <m:t/>
            </m:r>
          </m:e>
          <m:sup>
            <m:r>
              <m:t>2</m:t>
            </m:r>
            <m:r>
              <m:rPr>
                <m:sty m:val="p"/>
              </m:rPr>
              <m:t>,</m:t>
            </m:r>
            <m:r>
              <m:t>3</m:t>
            </m:r>
            <m:r>
              <m:rPr>
                <m:sty m:val="p"/>
              </m:rPr>
              <m:t>,</m:t>
            </m:r>
            <m:r>
              <m:t>4</m:t>
            </m:r>
          </m:sup>
        </m:sSup>
      </m:oMath>
      <w:r>
        <w:t xml:space="preserve">, Kaiming Bi</w:t>
      </w:r>
      <m:oMath>
        <m:sSup>
          <m:e>
            <m:r>
              <m:t/>
            </m:r>
          </m:e>
          <m:sup>
            <m:r>
              <m:t>5</m:t>
            </m:r>
          </m:sup>
        </m:sSup>
      </m:oMath>
      <w:r>
        <w:t xml:space="preserve">, Martial L. Ndeffo-Mbah</w:t>
      </w:r>
      <m:oMath>
        <m:sSup>
          <m:e>
            <m:r>
              <m:t/>
            </m:r>
          </m:e>
          <m:sup>
            <m:r>
              <m:t>6</m:t>
            </m:r>
          </m:sup>
        </m:sSup>
      </m:oMath>
      <w:r>
        <w:t xml:space="preserve">, Melissa Zeynep Ertem</w:t>
      </w:r>
      <m:oMath>
        <m:sSup>
          <m:e>
            <m:r>
              <m:t/>
            </m:r>
          </m:e>
          <m:sup>
            <m:r>
              <m:t>7</m:t>
            </m:r>
          </m:sup>
        </m:sSup>
      </m:oMath>
      <w:r>
        <w:t xml:space="preserve">, Amera Al-Amery</w:t>
      </w:r>
      <m:oMath>
        <m:sSup>
          <m:e>
            <m:r>
              <m:t/>
            </m:r>
          </m:e>
          <m:sup>
            <m:r>
              <m:t>8</m:t>
            </m:r>
          </m:sup>
        </m:sSup>
      </m:oMath>
    </w:p>
    <w:p>
      <w:pPr>
        <w:pStyle w:val="BodyText"/>
      </w:pPr>
      <w:r>
        <w:t xml:space="preserve"> </w:t>
      </w:r>
      <m:oMath>
        <m:sSup>
          <m:e>
            <m:r>
              <m:t/>
            </m:r>
          </m:e>
          <m:sup>
            <m:r>
              <m:t>1</m:t>
            </m:r>
          </m:sup>
        </m:sSup>
      </m:oMath>
      <w:r>
        <w:t xml:space="preserve"> </w:t>
      </w:r>
      <w:r>
        <w:t xml:space="preserve">Department of Mathematics, Tarleton State University, Stephenville, TX 76402, USA</w:t>
      </w:r>
      <w:r>
        <w:br/>
      </w:r>
      <m:oMath>
        <m:sSup>
          <m:e>
            <m:r>
              <m:t/>
            </m:r>
          </m:e>
          <m:sup>
            <m:r>
              <m:t>2</m:t>
            </m:r>
          </m:sup>
        </m:sSup>
      </m:oMath>
      <w:r>
        <w:t xml:space="preserve"> </w:t>
      </w:r>
      <w:r>
        <w:t xml:space="preserve">Department of Integrative Biology, University of Texas at Austin, Austin, TX 78712, USA</w:t>
      </w:r>
      <w:r>
        <w:br/>
      </w:r>
      <m:oMath>
        <m:sSup>
          <m:e>
            <m:r>
              <m:t/>
            </m:r>
          </m:e>
          <m:sup>
            <m:r>
              <m:t>3</m:t>
            </m:r>
          </m:sup>
        </m:sSup>
      </m:oMath>
      <w:r>
        <w:t xml:space="preserve"> </w:t>
      </w:r>
      <w:r>
        <w:t xml:space="preserve">Department of Biology, University of Maryland, College Park, MD 20742, USA</w:t>
      </w:r>
      <w:r>
        <w:br/>
      </w:r>
      <m:oMath>
        <m:sSup>
          <m:e>
            <m:r>
              <m:t/>
            </m:r>
          </m:e>
          <m:sup>
            <m:r>
              <m:t>4</m:t>
            </m:r>
          </m:sup>
        </m:sSup>
      </m:oMath>
      <w:r>
        <w:t xml:space="preserve"> </w:t>
      </w:r>
      <w:r>
        <w:t xml:space="preserve">University of Maryland Institute for Health Computing, North Bethesda, MD 20852, USA</w:t>
      </w:r>
      <w:r>
        <w:br/>
      </w:r>
      <m:oMath>
        <m:sSup>
          <m:e>
            <m:r>
              <m:t/>
            </m:r>
          </m:e>
          <m:sup>
            <m:r>
              <m:t>5</m:t>
            </m:r>
          </m:sup>
        </m:sSup>
      </m:oMath>
      <w:r>
        <w:t xml:space="preserve"> </w:t>
      </w:r>
      <w:r>
        <w:t xml:space="preserve">Department of Management, Policy and Community Health, School of Public Health, The University of Texas Health Science Center at Houston, Houston, TX 77030</w:t>
      </w:r>
      <w:r>
        <w:br/>
      </w:r>
      <m:oMath>
        <m:sSup>
          <m:e>
            <m:r>
              <m:t/>
            </m:r>
          </m:e>
          <m:sup>
            <m:r>
              <m:t>6</m:t>
            </m:r>
          </m:sup>
        </m:sSup>
      </m:oMath>
      <w:r>
        <w:t xml:space="preserve"> </w:t>
      </w:r>
      <w:r>
        <w:t xml:space="preserve">Department of Veterinary Integrative Biosciences, College of Veterinary Medicine &amp; Biomedical Sciences, Texas A&amp;M University, College Station, TX 77843, USA</w:t>
      </w:r>
      <w:r>
        <w:br/>
      </w:r>
      <m:oMath>
        <m:sSup>
          <m:e>
            <m:r>
              <m:t/>
            </m:r>
          </m:e>
          <m:sup>
            <m:r>
              <m:t>7</m:t>
            </m:r>
          </m:sup>
        </m:sSup>
      </m:oMath>
      <w:r>
        <w:t xml:space="preserve"> </w:t>
      </w:r>
      <w:r>
        <w:t xml:space="preserve">Thomas J. Watson College of Engineering, State University of New York at Binghamton, NY, 13850, USA</w:t>
      </w:r>
      <w:r>
        <w:br/>
      </w:r>
      <m:oMath>
        <m:sSup>
          <m:e>
            <m:r>
              <m:t/>
            </m:r>
          </m:e>
          <m:sup>
            <m:r>
              <m:t>8</m:t>
            </m:r>
          </m:sup>
        </m:sSup>
      </m:oMath>
      <w:r>
        <w:t xml:space="preserve"> </w:t>
      </w:r>
      <w:r>
        <w:t xml:space="preserve">Department of Computer Information Systems, Jordan University of Science and Technology, Irbid, Jordan</w:t>
      </w:r>
      <w:r>
        <w:br/>
      </w:r>
      <m:oMath>
        <m:sSup>
          <m:e>
            <m:r>
              <m:t/>
            </m:r>
          </m:e>
          <m:sup>
            <m:r>
              <m:rPr>
                <m:sty m:val="p"/>
              </m:rPr>
              <m:t>*</m:t>
            </m:r>
          </m:sup>
        </m:sSup>
      </m:oMath>
      <w:r>
        <w:t xml:space="preserve"> </w:t>
      </w:r>
      <w:r>
        <w:t xml:space="preserve">Corresponding author.</w:t>
      </w:r>
      <w:r>
        <w:t xml:space="preserve"> </w:t>
      </w:r>
      <w:r>
        <w:t xml:space="preserve">E-mail:</w:t>
      </w:r>
      <w:r>
        <w:t xml:space="preserve"> </w:t>
      </w:r>
      <w:hyperlink r:id="rId9">
        <w:r>
          <w:rPr>
            <w:rStyle w:val="Hyperlink"/>
          </w:rPr>
          <w:t xml:space="preserve">jherreradiestra@tarleton.edu</w:t>
        </w:r>
      </w:hyperlink>
      <w:r>
        <w:t xml:space="preserve"> </w:t>
      </w:r>
    </w:p>
    <w:p>
      <w:pPr>
        <w:pStyle w:val="BodyText"/>
      </w:pPr>
      <w:r>
        <w:rPr>
          <w:b/>
          <w:bCs/>
        </w:rPr>
        <w:t xml:space="preserve">Running title:</w:t>
      </w:r>
      <w:r>
        <w:t xml:space="preserve"> </w:t>
      </w:r>
      <w:r>
        <w:t xml:space="preserve">Importation risk at FIFA World Cup 2026</w:t>
      </w:r>
    </w:p>
    <w:p>
      <w:pPr>
        <w:pStyle w:val="BodyText"/>
      </w:pPr>
      <w:r>
        <w:rPr>
          <w:b/>
          <w:bCs/>
        </w:rPr>
        <w:t xml:space="preserve">Word count (main text):</w:t>
      </w:r>
      <w:r>
        <w:t xml:space="preserve"> </w:t>
      </w:r>
      <m:oMath>
        <m:r>
          <m:rPr>
            <m:sty m:val="p"/>
          </m:rPr>
          <m:t>≈</m:t>
        </m:r>
      </m:oMath>
      <w:r>
        <w:t xml:space="preserve"> </w:t>
      </w:r>
      <w:r>
        <w:t xml:space="preserve">3,500</w:t>
      </w:r>
    </w:p>
    <w:p>
      <w:pPr>
        <w:pStyle w:val="BodyText"/>
      </w:pPr>
      <w:r>
        <w:rPr>
          <w:b/>
          <w:bCs/>
        </w:rPr>
        <w:t xml:space="preserve">Figures:</w:t>
      </w:r>
      <w:r>
        <w:t xml:space="preserve"> </w:t>
      </w:r>
      <w:r>
        <w:t xml:space="preserve">5 main + 8 supplementary</w:t>
      </w:r>
    </w:p>
    <w:p>
      <w:pPr>
        <w:pStyle w:val="BodyText"/>
      </w:pPr>
      <w:r>
        <w:rPr>
          <w:b/>
          <w:bCs/>
        </w:rPr>
        <w:t xml:space="preserve">Tables:</w:t>
      </w:r>
      <w:r>
        <w:t xml:space="preserve"> </w:t>
      </w:r>
      <w:r>
        <w:t xml:space="preserve">1</w:t>
      </w:r>
    </w:p>
    <w:bookmarkStart w:id="10" w:name="abstract"/>
    <w:p>
      <w:pPr>
        <w:pStyle w:val="Heading1"/>
      </w:pPr>
      <w:r>
        <w:t xml:space="preserve">Abstract</w:t>
      </w:r>
    </w:p>
    <w:p>
      <w:pPr>
        <w:pStyle w:val="FirstParagraph"/>
      </w:pPr>
      <w:r>
        <w:rPr>
          <w:b/>
          <w:bCs/>
        </w:rPr>
        <w:t xml:space="preserve">Objectives:</w:t>
      </w:r>
      <w:r>
        <w:t xml:space="preserve"> </w:t>
      </w:r>
      <w:r>
        <w:t xml:space="preserve">The 2026 FIFA World Cup will draw an estimated 3.5 million visitors from 48 nations to 11 US host cities. We estimated city-level importation risk for five infectious diseases with propagated uncertainty.</w:t>
      </w:r>
    </w:p>
    <w:p>
      <w:pPr>
        <w:pStyle w:val="BodyText"/>
      </w:pPr>
      <w:r>
        <w:rPr>
          <w:b/>
          <w:bCs/>
        </w:rPr>
        <w:t xml:space="preserve">Methods:</w:t>
      </w:r>
      <w:r>
        <w:t xml:space="preserve"> </w:t>
      </w:r>
      <w:r>
        <w:t xml:space="preserve">Three nested Poisson models were fitted: a pre-tournament baseline (M1), a World Cup-adjusted model (M2), and a schedule-driven model (M3) allocating fans by match venue. Parameter uncertainty was propagated via 5,000 Monte Carlo draws. A diaspora extension using US Census data estimated co-national network entry probabilities at 11 host cities and 15 non-venue cities.</w:t>
      </w:r>
    </w:p>
    <w:p>
      <w:pPr>
        <w:pStyle w:val="BodyText"/>
      </w:pPr>
      <w:r>
        <w:rPr>
          <w:b/>
          <w:bCs/>
        </w:rPr>
        <w:t xml:space="preserve">Results:</w:t>
      </w:r>
      <w:r>
        <w:t xml:space="preserve"> </w:t>
      </w:r>
      <w:r>
        <w:t xml:space="preserve">Under M3, importation probability exceeded 0.99 for dengue at Miami, New York, and Houston (median</w:t>
      </w:r>
      <w:r>
        <w:t xml:space="preserve"> </w:t>
      </w:r>
      <m:oMath>
        <m:r>
          <m:rPr>
            <m:sty m:val="p"/>
          </m:rPr>
          <m:t>Λ</m:t>
        </m:r>
        <m:r>
          <m:rPr>
            <m:sty m:val="p"/>
          </m:rPr>
          <m:t>=</m:t>
        </m:r>
        <m:r>
          <m:t>45.0</m:t>
        </m:r>
      </m:oMath>
      <w:r>
        <w:t xml:space="preserve">, 95% CI 16.0–92.3) and for malaria at Atlanta and New York. Baseline travel accounted for 86–93% of importations; the World Cup added only 7–14% above this pre-existing risk. Dengue diaspora-network entry probability was highest at Dallas (0.43), Houston (0.39), and Los Angeles (0.35); non-host cities exceeded most venue hubs.</w:t>
      </w:r>
    </w:p>
    <w:p>
      <w:pPr>
        <w:pStyle w:val="BodyText"/>
      </w:pPr>
      <w:r>
        <w:rPr>
          <w:b/>
          <w:bCs/>
        </w:rPr>
        <w:t xml:space="preserve">Conclusions:</w:t>
      </w:r>
      <w:r>
        <w:t xml:space="preserve"> </w:t>
      </w:r>
      <w:r>
        <w:t xml:space="preserve">Dengue is the dominant importation risk (Miami, New York, and Houston); malaria dominates at Atlanta and New York. City-level surveillance with targeted diaspora community outreach in host and non-host cities is warranted. The schedule-driven Poisson framework is directly transferable to future mega-events.</w:t>
      </w:r>
    </w:p>
    <w:p>
      <w:pPr>
        <w:pStyle w:val="BodyText"/>
      </w:pPr>
      <w:r>
        <w:rPr>
          <w:b/>
          <w:bCs/>
        </w:rPr>
        <w:t xml:space="preserve">Keywords:</w:t>
      </w:r>
      <w:r>
        <w:t xml:space="preserve"> </w:t>
      </w:r>
      <w:r>
        <w:t xml:space="preserve">importation risk; FIFA World Cup 2026; dengue; Poisson model; Monte Carlo uncertainty; diaspora networks</w:t>
      </w:r>
    </w:p>
    <w:bookmarkEnd w:id="10"/>
    <w:bookmarkStart w:id="11" w:name="introduction"/>
    <w:p>
      <w:pPr>
        <w:pStyle w:val="Heading1"/>
      </w:pPr>
      <w:r>
        <w:t xml:space="preserve">Introduction</w:t>
      </w:r>
    </w:p>
    <w:p>
      <w:pPr>
        <w:pStyle w:val="FirstParagraph"/>
      </w:pPr>
      <w:r>
        <w:t xml:space="preserve">Mass gathering events concentrate infectious disease importation risk by drawing large, diverse international populations into a small number of cities over a short period. The 2026 FIFA World Cup (June 11 – July 19, 2026) is the first edition with 48 participating nations, played across 16 venues in the United States, Canada, and Mexico. The 11 US host cities — Atlanta, Boston, Dallas, Houston, Kansas City, Los Angeles, Miami, New York, Philadelphia, San Francisco, and Seattle — are expected to receive approximately 3.5 million international visitors during the tournament period</w:t>
      </w:r>
      <w:r>
        <w:t xml:space="preserve"> </w:t>
      </w:r>
      <w:r>
        <w:t xml:space="preserve">(1)</w:t>
      </w:r>
      <w:r>
        <w:t xml:space="preserve">, representing the largest single sporting event in US history. The geographic distribution of all 16 WC2026 stadiums across the three host nations is shown in Supplementary Figure S4.</w:t>
      </w:r>
    </w:p>
    <w:p>
      <w:pPr>
        <w:pStyle w:val="BodyText"/>
      </w:pPr>
      <w:r>
        <w:t xml:space="preserve">Importation risk analyses preceding past FIFA World Cups have taken different approaches depending on the host country’s disease ecology. Ahead of the 2014 tournament in Brazil, van Panhuis et al. quantified dengue risk for international visitors using travel volumes and local incidence data</w:t>
      </w:r>
      <w:r>
        <w:t xml:space="preserve"> </w:t>
      </w:r>
      <w:r>
        <w:t xml:space="preserve">(2)</w:t>
      </w:r>
      <w:r>
        <w:t xml:space="preserve">. For Russia 2018, concerns centered on respiratory and vaccine-preventable infections in a temperate host, rather than vector-borne diseases</w:t>
      </w:r>
      <w:r>
        <w:t xml:space="preserve"> </w:t>
      </w:r>
      <w:r>
        <w:t xml:space="preserve">(3)</w:t>
      </w:r>
      <w:r>
        <w:t xml:space="preserve">. Qatar 2022 prompted assessments of multiple importation pathways — including dengue, COVID-19, and emerging pathogens — in a densely populated host nation receiving visitors from endemic regions</w:t>
      </w:r>
      <w:r>
        <w:t xml:space="preserve"> </w:t>
      </w:r>
      <w:r>
        <w:t xml:space="preserve">(4)</w:t>
      </w:r>
      <w:r>
        <w:t xml:space="preserve">. However, those analyses typically relied on regional-level travel aggregates, reported point estimates without uncertainty quantification, and did not account for the role of co-national diaspora communities as secondary amplification networks after importation. A concurrent multi-pathogen assessment for WC2026 by Lessler et al. </w:t>
      </w:r>
      <w:r>
        <w:t xml:space="preserve">(5)</w:t>
      </w:r>
      <w:r>
        <w:t xml:space="preserve">, using the GLEAM-EPIRisk mobility framework, screened 77 pathogens across importation risk, outbreak potential, and economic impact, identifying dengue, malaria, and seasonal respiratory viruses among the priority pathogens of elevated concern. The present study is complementary to that breadth-first screening: rather than covering the full pathogen space, we provide city-specific quantitative importation estimates with propagated parameter uncertainty and an explicit diaspora seeding pathway for the five highest-risk diseases. The current analysis focuses on the group-stage period (June 2026) rather than the full tournament window extending into July, as travel volumes and disease incidence inputs are calibrated to June.</w:t>
      </w:r>
    </w:p>
    <w:p>
      <w:pPr>
        <w:pStyle w:val="BodyText"/>
      </w:pPr>
      <w:r>
        <w:t xml:space="preserve">Three methodological gaps motivate this study. First, country-level air travel routing data from the Bureau of Transportation Statistics T-100 program enable city-specific risk stratification at all 11 US venues, including cities with historically limited international surveillance coverage (Atlanta, Kansas City, Seattle). Second, literature ranges for under-reporting correction factors and travel-while-infected probabilities span several-fold; propagating that uncertainty into estimates is essential for honest risk communication. Third, co-national diaspora communities — whose shared language, cultural spaces, and World Cup watch gatherings make them disproportionately likely to interact with infected travelers from the same country — represent a transmission pathway invisible to standard Poisson arrival models.</w:t>
      </w:r>
    </w:p>
    <w:p>
      <w:pPr>
        <w:pStyle w:val="BodyText"/>
      </w:pPr>
      <w:r>
        <w:t xml:space="preserve">We address these gaps with a three-tier nested Poisson importation model with 5,000-draw Monte Carlo uncertainty for five diseases (dengue, malaria, measles, pertussis, influenza), coupled to a diaspora concentration index derived from US Census Bureau American Community Survey data</w:t>
      </w:r>
      <w:r>
        <w:t xml:space="preserve"> </w:t>
      </w:r>
      <w:r>
        <w:t xml:space="preserve">(6,7)</w:t>
      </w:r>
      <w:r>
        <w:t xml:space="preserve">. The approach is fully reproducible using only publicly available data sources, and is designed to be extensible to additional diseases, geographies, and future mass gathering events. Its computational simplicity — requiring only routine air-travel statistics, published surveillance incidence, and standard statistical software — means it can serve as a rapidly deployable first-pass risk assessment that public health agencies can adapt without specialized mobility-simulation infrastructure, complementing more comprehensive frameworks where resources permit.</w:t>
      </w:r>
    </w:p>
    <w:bookmarkEnd w:id="11"/>
    <w:bookmarkStart w:id="18" w:name="methods"/>
    <w:p>
      <w:pPr>
        <w:pStyle w:val="Heading1"/>
      </w:pPr>
      <w:r>
        <w:t xml:space="preserve">Methods</w:t>
      </w:r>
    </w:p>
    <w:p>
      <w:pPr>
        <w:pStyle w:val="FirstParagraph"/>
      </w:pPr>
      <w:r>
        <w:t xml:space="preserve">We quantified importation risk for five infectious diseases (dengue, malaria, measles, pertussis, and influenza) at each of the 11 US FIFA World Cup 2026 host cities during June 2026, using three nested Poisson models that share identical disease data so that differences in results reflect travel volume assumptions only.</w:t>
      </w:r>
    </w:p>
    <w:bookmarkStart w:id="12" w:name="travel-data"/>
    <w:p>
      <w:pPr>
        <w:pStyle w:val="Heading2"/>
      </w:pPr>
      <w:r>
        <w:t xml:space="preserve">Travel data</w:t>
      </w:r>
    </w:p>
    <w:p>
      <w:pPr>
        <w:pStyle w:val="FirstParagraph"/>
      </w:pPr>
      <w:r>
        <w:t xml:space="preserve">Country-of-residence (COR) monthly arrivals were obtained from the US Customs and Border Protection I-94 programme</w:t>
      </w:r>
      <w:r>
        <w:t xml:space="preserve"> </w:t>
      </w:r>
      <w:r>
        <w:t xml:space="preserve">(8)</w:t>
      </w:r>
      <w:r>
        <w:t xml:space="preserve">. City-level routing fractions were derived from BTS T-100 International Segment (Form 41 Traffic) nonstop passenger records for June 2023–2025</w:t>
      </w:r>
      <w:r>
        <w:t xml:space="preserve"> </w:t>
      </w:r>
      <w:r>
        <w:t xml:space="preserve">(9)</w:t>
      </w:r>
      <w:r>
        <w:t xml:space="preserve">, computed as the share of each country’s US-bound passengers that landed at each venue city, averaged over three years for stability. National Travel and Tourism Office (NTTO) projections provided country-specific 2026 growth factors for the 12 largest US inbound source markets</w:t>
      </w:r>
      <w:r>
        <w:t xml:space="preserve"> </w:t>
      </w:r>
      <w:r>
        <w:t xml:space="preserve">(1)</w:t>
      </w:r>
      <w:r>
        <w:t xml:space="preserve">.</w:t>
      </w:r>
    </w:p>
    <w:bookmarkEnd w:id="12"/>
    <w:bookmarkStart w:id="13" w:name="three-nested-model-tiers"/>
    <w:p>
      <w:pPr>
        <w:pStyle w:val="Heading2"/>
      </w:pPr>
      <w:r>
        <w:t xml:space="preserve">Three nested model tiers</w:t>
      </w:r>
    </w:p>
    <w:p>
      <w:pPr>
        <w:pStyle w:val="FirstParagraph"/>
      </w:pPr>
      <w:r>
        <w:rPr>
          <w:b/>
          <w:bCs/>
        </w:rPr>
        <w:t xml:space="preserve">Baseline (M1)</w:t>
      </w:r>
      <w:r>
        <w:t xml:space="preserve"> </w:t>
      </w:r>
      <w:r>
        <w:t xml:space="preserve">used COR June 2024 arrivals routed by T-100 fractions with no World Cup growth adjustment, representing a pre-tournament counterfactual.</w:t>
      </w:r>
    </w:p>
    <w:p>
      <w:pPr>
        <w:pStyle w:val="BodyText"/>
      </w:pPr>
      <w:r>
        <w:rPr>
          <w:b/>
          <w:bCs/>
        </w:rPr>
        <w:t xml:space="preserve">WC-adjusted (M2)</w:t>
      </w:r>
      <w:r>
        <w:t xml:space="preserve"> </w:t>
      </w:r>
      <w:r>
        <w:t xml:space="preserve">applied country-specific growth factors (NTTO projection for top 12 markets; a global World Cup factor of 1.174 for other qualified nations; an empirical background trend factor for non-qualified countries) to project June 2026 arrivals, distributed across cities by T-100 fractions.</w:t>
      </w:r>
    </w:p>
    <w:p>
      <w:pPr>
        <w:pStyle w:val="BodyText"/>
      </w:pPr>
      <w:r>
        <w:rPr>
          <w:b/>
          <w:bCs/>
        </w:rPr>
        <w:t xml:space="preserve">Schedule-driven (M3)</w:t>
      </w:r>
      <w:r>
        <w:t xml:space="preserve"> </w:t>
      </w:r>
      <w:r>
        <w:t xml:space="preserve">decomposed travel into a World Cup fan stream — the marginal increment above background trend, routed proportionally to each team’s actual match venues — and a background stream routed by T-100 fractions. This tier correctly redirects fan travel to Canadian and Mexican venues when teams play there, producing a more realistic US city risk distribution.</w:t>
      </w:r>
    </w:p>
    <w:p>
      <w:pPr>
        <w:pStyle w:val="BodyText"/>
      </w:pPr>
      <w:r>
        <w:t xml:space="preserve">Full mathematical derivations of the projected number of arrivals (</w:t>
      </w:r>
      <m:oMath>
        <m:sSub>
          <m:e>
            <m:r>
              <m:t>N</m:t>
            </m:r>
          </m:e>
          <m:sub>
            <m:r>
              <m:t>c</m:t>
            </m:r>
            <m:r>
              <m:rPr>
                <m:sty m:val="p"/>
              </m:rPr>
              <m:t>,</m:t>
            </m:r>
            <m:r>
              <m:t>v</m:t>
            </m:r>
          </m:sub>
        </m:sSub>
      </m:oMath>
      <w:r>
        <w:t xml:space="preserve">) for each model tier, including all intermediate calculations and the formal definition of the routing fractions, are provided in Appendix A of the Supplementary Material.</w:t>
      </w:r>
    </w:p>
    <w:bookmarkEnd w:id="13"/>
    <w:bookmarkStart w:id="15" w:name="disease-data-and-poisson-framework"/>
    <w:p>
      <w:pPr>
        <w:pStyle w:val="Heading2"/>
      </w:pPr>
      <w:r>
        <w:t xml:space="preserve">Disease data and Poisson framework</w:t>
      </w:r>
    </w:p>
    <w:p>
      <w:pPr>
        <w:pStyle w:val="FirstParagraph"/>
      </w:pPr>
      <w:r>
        <w:t xml:space="preserve">For each source country</w:t>
      </w:r>
      <w:r>
        <w:t xml:space="preserve"> </w:t>
      </w:r>
      <m:oMath>
        <m:r>
          <m:t>c</m:t>
        </m:r>
      </m:oMath>
      <w:r>
        <w:t xml:space="preserve">, venue city</w:t>
      </w:r>
      <w:r>
        <w:t xml:space="preserve"> </w:t>
      </w:r>
      <m:oMath>
        <m:r>
          <m:t>v</m:t>
        </m:r>
      </m:oMath>
      <w:r>
        <w:t xml:space="preserve">, and disease</w:t>
      </w:r>
      <w:r>
        <w:t xml:space="preserve"> </w:t>
      </w:r>
      <m:oMath>
        <m:r>
          <m:t>d</m:t>
        </m:r>
      </m:oMath>
      <w:r>
        <w:t xml:space="preserve">, the expected number of infected arrivals is:</w:t>
      </w:r>
    </w:p>
    <w:p>
      <w:pPr>
        <w:pStyle w:val="BodyText"/>
      </w:pPr>
      <m:oMathPara>
        <m:oMathParaPr>
          <m:jc m:val="center"/>
        </m:oMathParaPr>
        <m:oMath>
          <m:sSub>
            <m:e>
              <m:r>
                <m:t>λ</m:t>
              </m:r>
            </m:e>
            <m:sub>
              <m:r>
                <m:t>c</m:t>
              </m:r>
              <m:r>
                <m:rPr>
                  <m:sty m:val="p"/>
                </m:rPr>
                <m:t>,</m:t>
              </m:r>
              <m:r>
                <m:t>v</m:t>
              </m:r>
              <m:r>
                <m:rPr>
                  <m:sty m:val="p"/>
                </m:rPr>
                <m:t>,</m:t>
              </m:r>
              <m:r>
                <m:t>d</m:t>
              </m:r>
            </m:sub>
          </m:sSub>
          <m:r>
            <m:rPr>
              <m:sty m:val="p"/>
            </m:rPr>
            <m:t>=</m:t>
          </m:r>
          <m:sSub>
            <m:e>
              <m:r>
                <m:t>N</m:t>
              </m:r>
            </m:e>
            <m:sub>
              <m:r>
                <m:t>c</m:t>
              </m:r>
              <m:r>
                <m:rPr>
                  <m:sty m:val="p"/>
                </m:rPr>
                <m:t>,</m:t>
              </m:r>
              <m:r>
                <m:t>v</m:t>
              </m:r>
            </m:sub>
          </m:sSub>
          <m:r>
            <m:t> </m:t>
          </m:r>
          <m:r>
            <m:rPr>
              <m:sty m:val="p"/>
            </m:rPr>
            <m:t>⋅</m:t>
          </m:r>
          <m:r>
            <m:t> </m:t>
          </m:r>
          <m:sSub>
            <m:e>
              <m:r>
                <m:t>ρ</m:t>
              </m:r>
            </m:e>
            <m:sub>
              <m:r>
                <m:t>d</m:t>
              </m:r>
            </m:sub>
          </m:sSub>
          <m:r>
            <m:t> </m:t>
          </m:r>
          <m:r>
            <m:rPr>
              <m:sty m:val="p"/>
            </m:rPr>
            <m:t>⋅</m:t>
          </m:r>
          <m:r>
            <m:t> </m:t>
          </m:r>
          <m:f>
            <m:fPr>
              <m:type m:val="bar"/>
            </m:fPr>
            <m:num>
              <m:sSub>
                <m:e>
                  <m:r>
                    <m:t>C</m:t>
                  </m:r>
                </m:e>
                <m:sub>
                  <m:r>
                    <m:t>c</m:t>
                  </m:r>
                  <m:r>
                    <m:rPr>
                      <m:sty m:val="p"/>
                    </m:rPr>
                    <m:t>,</m:t>
                  </m:r>
                  <m:r>
                    <m:t>d</m:t>
                  </m:r>
                </m:sub>
              </m:sSub>
            </m:num>
            <m:den>
              <m:sSub>
                <m:e>
                  <m:r>
                    <m:t>P</m:t>
                  </m:r>
                </m:e>
                <m:sub>
                  <m:r>
                    <m:t>c</m:t>
                  </m:r>
                </m:sub>
              </m:sSub>
            </m:den>
          </m:f>
          <m:r>
            <m:t> </m:t>
          </m:r>
          <m:r>
            <m:rPr>
              <m:sty m:val="p"/>
            </m:rPr>
            <m:t>⋅</m:t>
          </m:r>
          <m:r>
            <m:t> </m:t>
          </m:r>
          <m:sSub>
            <m:e>
              <m:r>
                <m:t>p</m:t>
              </m:r>
            </m:e>
            <m:sub>
              <m:r>
                <m:t>d</m:t>
              </m:r>
            </m:sub>
          </m:sSub>
        </m:oMath>
      </m:oMathPara>
    </w:p>
    <w:p>
      <w:pPr>
        <w:pStyle w:val="FirstParagraph"/>
      </w:pPr>
      <w:r>
        <w:t xml:space="preserve">where</w:t>
      </w:r>
      <w:r>
        <w:t xml:space="preserve"> </w:t>
      </w:r>
      <m:oMath>
        <m:sSub>
          <m:e>
            <m:r>
              <m:t>N</m:t>
            </m:r>
          </m:e>
          <m:sub>
            <m:r>
              <m:t>c</m:t>
            </m:r>
            <m:r>
              <m:rPr>
                <m:sty m:val="p"/>
              </m:rPr>
              <m:t>,</m:t>
            </m:r>
            <m:r>
              <m:t>v</m:t>
            </m:r>
          </m:sub>
        </m:sSub>
      </m:oMath>
      <w:r>
        <w:t xml:space="preserve"> </w:t>
      </w:r>
      <w:r>
        <w:t xml:space="preserve">is projected number of arrivals,</w:t>
      </w:r>
      <w:r>
        <w:t xml:space="preserve"> </w:t>
      </w:r>
      <m:oMath>
        <m:sSub>
          <m:e>
            <m:r>
              <m:t>ρ</m:t>
            </m:r>
          </m:e>
          <m:sub>
            <m:r>
              <m:t>d</m:t>
            </m:r>
          </m:sub>
        </m:sSub>
      </m:oMath>
      <w:r>
        <w:t xml:space="preserve"> </w:t>
      </w:r>
      <w:r>
        <w:t xml:space="preserve">is the source-country under-reporting correction (corrects for undetected cases in surveillance),</w:t>
      </w:r>
      <w:r>
        <w:t xml:space="preserve"> </w:t>
      </w:r>
      <m:oMath>
        <m:sSub>
          <m:e>
            <m:r>
              <m:t>C</m:t>
            </m:r>
          </m:e>
          <m:sub>
            <m:r>
              <m:t>c</m:t>
            </m:r>
            <m:r>
              <m:rPr>
                <m:sty m:val="p"/>
              </m:rPr>
              <m:t>,</m:t>
            </m:r>
            <m:r>
              <m:t>d</m:t>
            </m:r>
          </m:sub>
        </m:sSub>
        <m:r>
          <m:rPr>
            <m:sty m:val="p"/>
          </m:rPr>
          <m:t>/</m:t>
        </m:r>
        <m:sSub>
          <m:e>
            <m:r>
              <m:t>P</m:t>
            </m:r>
          </m:e>
          <m:sub>
            <m:r>
              <m:t>c</m:t>
            </m:r>
          </m:sub>
        </m:sSub>
      </m:oMath>
      <w:r>
        <w:t xml:space="preserve"> </w:t>
      </w:r>
      <w:r>
        <w:t xml:space="preserve">is the reported per-capita incidence (</w:t>
      </w:r>
      <m:oMath>
        <m:sSub>
          <m:e>
            <m:r>
              <m:t>P</m:t>
            </m:r>
          </m:e>
          <m:sub>
            <m:r>
              <m:t>c</m:t>
            </m:r>
          </m:sub>
        </m:sSub>
      </m:oMath>
      <w:r>
        <w:t xml:space="preserve"> </w:t>
      </w:r>
      <w:r>
        <w:t xml:space="preserve">are 2026 national population estimates</w:t>
      </w:r>
      <w:r>
        <w:t xml:space="preserve"> </w:t>
      </w:r>
      <w:r>
        <w:t xml:space="preserve">(10)</w:t>
      </w:r>
      <w:r>
        <w:t xml:space="preserve">), and</w:t>
      </w:r>
      <w:r>
        <w:t xml:space="preserve"> </w:t>
      </w:r>
      <m:oMath>
        <m:sSub>
          <m:e>
            <m:r>
              <m:t>p</m:t>
            </m:r>
          </m:e>
          <m:sub>
            <m:r>
              <m:t>d</m:t>
            </m:r>
          </m:sub>
        </m:sSub>
      </m:oMath>
      <w:r>
        <w:t xml:space="preserve"> </w:t>
      </w:r>
      <w:r>
        <w:t xml:space="preserve">is the probability that an infected individual presents with mild or no symptoms and therefore remains travel-capable (severely symptomatic individuals are assumed to opt out of international travel). City-level intensity and importation probability follow as</w:t>
      </w:r>
      <w:r>
        <w:t xml:space="preserve"> </w:t>
      </w:r>
      <m:oMath>
        <m:sSub>
          <m:e>
            <m:r>
              <m:rPr>
                <m:sty m:val="p"/>
              </m:rPr>
              <m:t>Λ</m:t>
            </m:r>
          </m:e>
          <m:sub>
            <m:r>
              <m:t>v</m:t>
            </m:r>
            <m:r>
              <m:rPr>
                <m:sty m:val="p"/>
              </m:rPr>
              <m:t>,</m:t>
            </m:r>
            <m:r>
              <m:t>d</m:t>
            </m:r>
          </m:sub>
        </m:sSub>
        <m:r>
          <m:rPr>
            <m:sty m:val="p"/>
          </m:rPr>
          <m:t>=</m:t>
        </m:r>
        <m:nary>
          <m:naryPr>
            <m:chr m:val="∑"/>
            <m:limLoc m:val="undOvr"/>
            <m:subHide m:val="off"/>
            <m:supHide m:val="on"/>
          </m:naryPr>
          <m:sub>
            <m:r>
              <m:t>c</m:t>
            </m:r>
          </m:sub>
          <m:sup>
            <m:r>
              <m:t/>
            </m:r>
          </m:sup>
          <m:e>
            <m:sSub>
              <m:e>
                <m:r>
                  <m:t>λ</m:t>
                </m:r>
              </m:e>
              <m:sub>
                <m:r>
                  <m:t>c</m:t>
                </m:r>
                <m:r>
                  <m:rPr>
                    <m:sty m:val="p"/>
                  </m:rPr>
                  <m:t>,</m:t>
                </m:r>
                <m:r>
                  <m:t>v</m:t>
                </m:r>
                <m:r>
                  <m:rPr>
                    <m:sty m:val="p"/>
                  </m:rPr>
                  <m:t>,</m:t>
                </m:r>
                <m:r>
                  <m:t>d</m:t>
                </m:r>
              </m:sub>
            </m:sSub>
          </m:e>
        </m:nary>
      </m:oMath>
      <w:r>
        <w:t xml:space="preserve"> </w:t>
      </w:r>
      <w:r>
        <w:t xml:space="preserve">and</w:t>
      </w:r>
      <w:r>
        <w:t xml:space="preserve"> </w:t>
      </w:r>
      <m:oMath>
        <m:r>
          <m:t>P</m:t>
        </m:r>
        <m:r>
          <m:rPr>
            <m:sty m:val="p"/>
          </m:rPr>
          <m:t>(</m:t>
        </m:r>
        <m:r>
          <m:rPr>
            <m:sty m:val="p"/>
          </m:rPr>
          <m:t>≥</m:t>
        </m:r>
        <m:r>
          <m:t>1</m:t>
        </m:r>
        <m:sSub>
          <m:e>
            <m:r>
              <m:rPr>
                <m:sty m:val="p"/>
              </m:rPr>
              <m:t>)</m:t>
            </m:r>
          </m:e>
          <m:sub>
            <m:r>
              <m:t>v</m:t>
            </m:r>
            <m:r>
              <m:rPr>
                <m:sty m:val="p"/>
              </m:rPr>
              <m:t>,</m:t>
            </m:r>
            <m:r>
              <m:t>d</m:t>
            </m:r>
          </m:sub>
        </m:sSub>
        <m:r>
          <m:rPr>
            <m:sty m:val="p"/>
          </m:rPr>
          <m:t>=</m:t>
        </m:r>
        <m:r>
          <m:t>1</m:t>
        </m:r>
        <m:r>
          <m:rPr>
            <m:sty m:val="p"/>
          </m:rPr>
          <m:t>−</m:t>
        </m:r>
        <m:sSup>
          <m:e>
            <m:r>
              <m:t>e</m:t>
            </m:r>
          </m:e>
          <m:sup>
            <m:r>
              <m:rPr>
                <m:sty m:val="p"/>
              </m:rPr>
              <m:t>−</m:t>
            </m:r>
            <m:sSub>
              <m:e>
                <m:r>
                  <m:rPr>
                    <m:sty m:val="p"/>
                  </m:rPr>
                  <m:t>Λ</m:t>
                </m:r>
              </m:e>
              <m:sub>
                <m:r>
                  <m:t>v</m:t>
                </m:r>
                <m:r>
                  <m:rPr>
                    <m:sty m:val="p"/>
                  </m:rPr>
                  <m:t>,</m:t>
                </m:r>
                <m:r>
                  <m:t>d</m:t>
                </m:r>
              </m:sub>
            </m:sSub>
          </m:sup>
        </m:sSup>
      </m:oMath>
      <w:r>
        <w:t xml:space="preserve">, where</w:t>
      </w:r>
      <w:r>
        <w:t xml:space="preserve"> </w:t>
      </w:r>
      <m:oMath>
        <m:sSub>
          <m:e>
            <m:r>
              <m:t>X</m:t>
            </m:r>
          </m:e>
          <m:sub>
            <m:r>
              <m:t>v</m:t>
            </m:r>
            <m:r>
              <m:rPr>
                <m:sty m:val="p"/>
              </m:rPr>
              <m:t>,</m:t>
            </m:r>
            <m:r>
              <m:t>d</m:t>
            </m:r>
          </m:sub>
        </m:sSub>
        <m:r>
          <m:rPr>
            <m:sty m:val="p"/>
          </m:rPr>
          <m:t>∼</m:t>
        </m:r>
        <m:r>
          <m:rPr>
            <m:sty m:val="p"/>
          </m:rPr>
          <m:t>P</m:t>
        </m:r>
        <m:r>
          <m:rPr>
            <m:sty m:val="p"/>
          </m:rPr>
          <m:t>o</m:t>
        </m:r>
        <m:r>
          <m:rPr>
            <m:sty m:val="p"/>
          </m:rPr>
          <m:t>i</m:t>
        </m:r>
        <m:r>
          <m:rPr>
            <m:sty m:val="p"/>
          </m:rPr>
          <m:t>s</m:t>
        </m:r>
        <m:r>
          <m:rPr>
            <m:sty m:val="p"/>
          </m:rPr>
          <m:t>s</m:t>
        </m:r>
        <m:r>
          <m:rPr>
            <m:sty m:val="p"/>
          </m:rPr>
          <m:t>o</m:t>
        </m:r>
        <m:r>
          <m:rPr>
            <m:sty m:val="p"/>
          </m:rPr>
          <m:t>n</m:t>
        </m:r>
        <m:r>
          <m:rPr>
            <m:sty m:val="p"/>
          </m:rPr>
          <m:t>(</m:t>
        </m:r>
        <m:sSub>
          <m:e>
            <m:r>
              <m:rPr>
                <m:sty m:val="p"/>
              </m:rPr>
              <m:t>Λ</m:t>
            </m:r>
          </m:e>
          <m:sub>
            <m:r>
              <m:t>v</m:t>
            </m:r>
            <m:r>
              <m:rPr>
                <m:sty m:val="p"/>
              </m:rPr>
              <m:t>,</m:t>
            </m:r>
            <m:r>
              <m:t>d</m:t>
            </m:r>
          </m:sub>
        </m:sSub>
        <m:r>
          <m:rPr>
            <m:sty m:val="p"/>
          </m:rPr>
          <m:t>)</m:t>
        </m:r>
      </m:oMath>
      <w:r>
        <w:t xml:space="preserve"> </w:t>
      </w:r>
      <w:r>
        <w:t xml:space="preserve">is the number of imported cases at city</w:t>
      </w:r>
      <w:r>
        <w:t xml:space="preserve"> </w:t>
      </w:r>
      <m:oMath>
        <m:r>
          <m:t>v</m:t>
        </m:r>
      </m:oMath>
      <w:r>
        <w:t xml:space="preserve"> </w:t>
      </w:r>
      <w:r>
        <w:t xml:space="preserve">for disease</w:t>
      </w:r>
      <w:r>
        <w:t xml:space="preserve"> </w:t>
      </w:r>
      <m:oMath>
        <m:r>
          <m:t>d</m:t>
        </m:r>
      </m:oMath>
      <w:r>
        <w:t xml:space="preserve">; for brevity we write this as</w:t>
      </w:r>
      <w:r>
        <w:t xml:space="preserve"> </w:t>
      </w:r>
      <m:oMath>
        <m:r>
          <m:t>P</m:t>
        </m:r>
        <m:r>
          <m:rPr>
            <m:sty m:val="p"/>
          </m:rPr>
          <m:t>(</m:t>
        </m:r>
        <m:r>
          <m:rPr>
            <m:sty m:val="p"/>
          </m:rPr>
          <m:t>≥</m:t>
        </m:r>
        <m:r>
          <m:t>1</m:t>
        </m:r>
        <m:sSub>
          <m:e>
            <m:r>
              <m:rPr>
                <m:sty m:val="p"/>
              </m:rPr>
              <m:t>)</m:t>
            </m:r>
          </m:e>
          <m:sub>
            <m:r>
              <m:t>v</m:t>
            </m:r>
            <m:r>
              <m:rPr>
                <m:sty m:val="p"/>
              </m:rPr>
              <m:t>,</m:t>
            </m:r>
            <m:r>
              <m:t>d</m:t>
            </m:r>
          </m:sub>
        </m:sSub>
      </m:oMath>
      <w:r>
        <w:t xml:space="preserve">.</w:t>
      </w:r>
    </w:p>
    <w:p>
      <w:pPr>
        <w:pStyle w:val="BodyText"/>
      </w:pPr>
      <w:r>
        <w:t xml:space="preserve">Disease-specific incidence was sourced from: WHO Global Dengue Surveillance dataset (monthly; June 2024–2025 average)</w:t>
      </w:r>
      <w:r>
        <w:t xml:space="preserve"> </w:t>
      </w:r>
      <w:r>
        <w:t xml:space="preserve">(11)</w:t>
      </w:r>
      <w:r>
        <w:t xml:space="preserve">; WHO World Malaria Report 2024 (annual incidence per 1,000 population)</w:t>
      </w:r>
      <w:r>
        <w:t xml:space="preserve"> </w:t>
      </w:r>
      <w:r>
        <w:t xml:space="preserve">(12)</w:t>
      </w:r>
      <w:r>
        <w:t xml:space="preserve">; WHO Immunization Data (annual incidence per million for measles and pertussis)</w:t>
      </w:r>
      <w:r>
        <w:t xml:space="preserve"> </w:t>
      </w:r>
      <w:r>
        <w:t xml:space="preserve">(13)</w:t>
      </w:r>
      <w:r>
        <w:t xml:space="preserve">; WHO FluNet GISRS (weekly positive specimens, ISO weeks 22–26, 2023–2025 average). Literature-derived disease parameters are summarised in Table </w:t>
      </w:r>
      <w:hyperlink w:anchor="tab:params">
        <w:r>
          <w:rPr>
            <w:rStyle w:val="Hyperlink"/>
          </w:rPr>
          <w:t xml:space="preserve">1</w:t>
        </w:r>
      </w:hyperlink>
      <w:r>
        <w:t xml:space="preserve">.</w:t>
      </w:r>
    </w:p>
    <w:bookmarkStart w:id="14" w:name="tab:params"/>
    <w:p>
      <w:pPr>
        <w:pStyle w:val="TableCaption"/>
      </w:pPr>
      <w:r>
        <w:rPr>
          <w:b/>
          <w:bCs/>
        </w:rPr>
        <w:t xml:space="preserve">Table 1.</w:t>
      </w:r>
      <w:r>
        <w:t xml:space="preserve"> </w:t>
      </w:r>
      <w:r>
        <w:t xml:space="preserve">Disease parameters and Monte Carlo uncertainty bounds used in all three model tiers. For each of 5,000 iterations,</w:t>
      </w:r>
      <w:r>
        <w:t xml:space="preserve"> </w:t>
      </w:r>
      <m:oMath>
        <m:sSub>
          <m:e>
            <m:r>
              <m:t>ρ</m:t>
            </m:r>
          </m:e>
          <m:sub>
            <m:r>
              <m:t>d</m:t>
            </m:r>
          </m:sub>
        </m:sSub>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sSub>
          <m:e>
            <m:r>
              <m:t>ρ</m:t>
            </m:r>
          </m:e>
          <m:sub>
            <m:r>
              <m:rPr>
                <m:sty m:val="p"/>
              </m:rPr>
              <m:t>min</m:t>
            </m:r>
          </m:sub>
        </m:sSub>
        <m:r>
          <m:rPr>
            <m:sty m:val="p"/>
          </m:rPr>
          <m:t>,</m:t>
        </m:r>
        <m:sSub>
          <m:e>
            <m:r>
              <m:t>ρ</m:t>
            </m:r>
          </m:e>
          <m:sub>
            <m:r>
              <m:rPr>
                <m:sty m:val="p"/>
              </m:rPr>
              <m:t>max</m:t>
            </m:r>
          </m:sub>
        </m:sSub>
        <m:r>
          <m:rPr>
            <m:sty m:val="p"/>
          </m:rPr>
          <m:t>)</m:t>
        </m:r>
      </m:oMath>
      <w:r>
        <w:t xml:space="preserve"> </w:t>
      </w:r>
      <w:r>
        <w:t xml:space="preserve">and</w:t>
      </w:r>
      <w:r>
        <w:t xml:space="preserve"> </w:t>
      </w:r>
      <m:oMath>
        <m:sSub>
          <m:e>
            <m:r>
              <m:t>p</m:t>
            </m:r>
          </m:e>
          <m:sub>
            <m:r>
              <m:t>d</m:t>
            </m:r>
          </m:sub>
        </m:sSub>
        <m:r>
          <m:rPr>
            <m:sty m:val="p"/>
          </m:rPr>
          <m:t>∼</m:t>
        </m:r>
        <m:r>
          <m:rPr>
            <m:sty m:val="p"/>
          </m:rPr>
          <m:t>U</m:t>
        </m:r>
        <m:r>
          <m:rPr>
            <m:sty m:val="p"/>
          </m:rPr>
          <m:t>n</m:t>
        </m:r>
        <m:r>
          <m:rPr>
            <m:sty m:val="p"/>
          </m:rPr>
          <m:t>i</m:t>
        </m:r>
        <m:r>
          <m:rPr>
            <m:sty m:val="p"/>
          </m:rPr>
          <m:t>f</m:t>
        </m:r>
        <m:r>
          <m:rPr>
            <m:sty m:val="p"/>
          </m:rPr>
          <m:t>o</m:t>
        </m:r>
        <m:r>
          <m:rPr>
            <m:sty m:val="p"/>
          </m:rPr>
          <m:t>r</m:t>
        </m:r>
        <m:r>
          <m:rPr>
            <m:sty m:val="p"/>
          </m:rPr>
          <m:t>m</m:t>
        </m:r>
        <m:r>
          <m:rPr>
            <m:sty m:val="p"/>
          </m:rPr>
          <m:t>(</m:t>
        </m:r>
        <m:sSub>
          <m:e>
            <m:r>
              <m:t>p</m:t>
            </m:r>
          </m:e>
          <m:sub>
            <m:r>
              <m:rPr>
                <m:sty m:val="p"/>
              </m:rPr>
              <m:t>min</m:t>
            </m:r>
          </m:sub>
        </m:sSub>
        <m:r>
          <m:rPr>
            <m:sty m:val="p"/>
          </m:rPr>
          <m:t>,</m:t>
        </m:r>
        <m:sSub>
          <m:e>
            <m:r>
              <m:t>p</m:t>
            </m:r>
          </m:e>
          <m:sub>
            <m:r>
              <m:rPr>
                <m:sty m:val="p"/>
              </m:rPr>
              <m:t>max</m:t>
            </m:r>
          </m:sub>
        </m:sSub>
        <m:r>
          <m:rPr>
            <m:sty m:val="p"/>
          </m:rPr>
          <m:t>)</m:t>
        </m:r>
      </m:oMath>
      <w:r>
        <w:t xml:space="preserve"> </w:t>
      </w:r>
      <w:r>
        <w:t xml:space="preserve">are drawn independently. All reported estimates are Monte Carlo medians with 95% uncertainty intervals. Dengue and influenza incidence are June-month values; malaria, measles, and pertussis use annual rates divided by 12 to approximate June incidence.</w:t>
      </w:r>
    </w:p>
    <w:tbl>
      <w:tblPr>
        <w:tblStyle w:val="Table"/>
        <w:tblW w:type="auto" w:w="0"/>
        <w:tblLook w:firstRow="1" w:lastRow="0" w:firstColumn="0" w:lastColumn="0" w:noHBand="0" w:noVBand="0" w:val="0020"/>
        <w:tblCaption w:val="Table 1. Disease parameters and Monte Carlo uncertainty bounds used in all three model tiers. For each of 5,000 iterations, \rho_d \sim \mathrm{Uniform}(\rho_{\min},\rho_{\max}) and p_d \sim \mathrm{Uniform}(p_{\min},p_{\max}) are drawn independently. All reported estimates are Monte Carlo medians with 95% uncertainty intervals. Dengue and influenza incidence are June-month values; malaria, measles, and pertussis use annual rates divided by 12 to approximate June incidence."/>
      </w:tblPr>
      <w:tblGrid>
        <w:gridCol w:w="1320"/>
        <w:gridCol w:w="1320"/>
        <w:gridCol w:w="1320"/>
        <w:gridCol w:w="1320"/>
        <w:gridCol w:w="1320"/>
        <w:gridCol w:w="1320"/>
      </w:tblGrid>
      <w:tr>
        <w:trPr>
          <w:tblHeader w:val="on"/>
        </w:trPr>
        <w:tc>
          <w:tcPr/>
          <w:p>
            <w:pPr>
              <w:pStyle w:val="Compact"/>
            </w:pPr>
          </w:p>
        </w:tc>
        <w:tc>
          <w:tcPr>
            <w:gridSpan w:val="2"/>
          </w:tcPr>
          <w:p>
            <w:pPr>
              <w:pStyle w:val="Compact"/>
              <w:jc w:val="center"/>
            </w:pPr>
            <m:oMath>
              <m:sSub>
                <m:e>
                  <m:r>
                    <m:rPr>
                      <m:sty m:val="bi"/>
                    </m:rPr>
                    <m:t>ρ</m:t>
                  </m:r>
                </m:e>
                <m:sub>
                  <m:r>
                    <m:rPr>
                      <m:sty m:val="bi"/>
                    </m:rPr>
                    <m:t>d</m:t>
                  </m:r>
                </m:sub>
              </m:sSub>
            </m:oMath>
          </w:p>
        </w:tc>
        <w:tc>
          <w:tcPr>
            <w:gridSpan w:val="2"/>
          </w:tcPr>
          <w:p>
            <w:pPr>
              <w:pStyle w:val="Compact"/>
              <w:jc w:val="center"/>
            </w:pPr>
            <m:oMath>
              <m:sSub>
                <m:e>
                  <m:r>
                    <m:rPr>
                      <m:sty m:val="bi"/>
                    </m:rPr>
                    <m:t>p</m:t>
                  </m:r>
                </m:e>
                <m:sub>
                  <m:r>
                    <m:rPr>
                      <m:sty m:val="bi"/>
                    </m:rPr>
                    <m:t>d</m:t>
                  </m:r>
                </m:sub>
              </m:sSub>
            </m:oMath>
          </w:p>
        </w:tc>
        <w:tc>
          <w:tcPr/>
          <w:p>
            <w:pPr>
              <w:pStyle w:val="Compact"/>
            </w:pPr>
          </w:p>
        </w:tc>
      </w:tr>
      <w:tr>
        <w:tc>
          <w:tcPr/>
          <w:p>
            <w:pPr>
              <w:pStyle w:val="Compact"/>
              <w:jc w:val="left"/>
            </w:pPr>
            <w:r>
              <w:t xml:space="preserve">2-3</w:t>
            </w:r>
            <w:r>
              <w:t xml:space="preserve">(lr)</w:t>
            </w:r>
            <w:r>
              <w:t xml:space="preserve">4-5</w:t>
            </w:r>
            <w:r>
              <w:t xml:space="preserve"> </w:t>
            </w:r>
            <w:r>
              <w:rPr>
                <w:b/>
                <w:bCs/>
              </w:rPr>
              <w:t xml:space="preserve">Disease</w:t>
            </w:r>
          </w:p>
        </w:tc>
        <w:tc>
          <w:tcPr/>
          <w:p>
            <w:pPr>
              <w:pStyle w:val="Compact"/>
              <w:jc w:val="right"/>
            </w:pPr>
            <w:r>
              <w:rPr>
                <w:b/>
                <w:bCs/>
              </w:rPr>
              <w:t xml:space="preserve">min</w:t>
            </w:r>
          </w:p>
        </w:tc>
        <w:tc>
          <w:tcPr/>
          <w:p>
            <w:pPr>
              <w:pStyle w:val="Compact"/>
              <w:jc w:val="right"/>
            </w:pPr>
            <w:r>
              <w:rPr>
                <w:b/>
                <w:bCs/>
              </w:rPr>
              <w:t xml:space="preserve">max</w:t>
            </w:r>
          </w:p>
        </w:tc>
        <w:tc>
          <w:tcPr/>
          <w:p>
            <w:pPr>
              <w:pStyle w:val="Compact"/>
              <w:jc w:val="right"/>
            </w:pPr>
            <w:r>
              <w:rPr>
                <w:b/>
                <w:bCs/>
              </w:rPr>
              <w:t xml:space="preserve">min</w:t>
            </w:r>
          </w:p>
        </w:tc>
        <w:tc>
          <w:tcPr/>
          <w:p>
            <w:pPr>
              <w:pStyle w:val="Compact"/>
              <w:jc w:val="right"/>
            </w:pPr>
            <w:r>
              <w:rPr>
                <w:b/>
                <w:bCs/>
              </w:rPr>
              <w:t xml:space="preserve">max</w:t>
            </w:r>
          </w:p>
        </w:tc>
        <w:tc>
          <w:tcPr/>
          <w:p>
            <w:pPr>
              <w:pStyle w:val="Compact"/>
              <w:jc w:val="left"/>
            </w:pPr>
            <w:r>
              <w:rPr>
                <w:b/>
                <w:bCs/>
              </w:rPr>
              <w:t xml:space="preserve">References</w:t>
            </w:r>
          </w:p>
        </w:tc>
      </w:tr>
      <w:tr>
        <w:tc>
          <w:tcPr/>
          <w:p>
            <w:pPr>
              <w:pStyle w:val="Compact"/>
              <w:jc w:val="left"/>
            </w:pPr>
            <w:r>
              <w:t xml:space="preserve">Dengue</w:t>
            </w:r>
          </w:p>
        </w:tc>
        <w:tc>
          <w:tcPr/>
          <w:p>
            <w:pPr>
              <w:pStyle w:val="Compact"/>
              <w:jc w:val="right"/>
            </w:pPr>
            <w:r>
              <w:t xml:space="preserve">0.06</w:t>
            </w:r>
          </w:p>
        </w:tc>
        <w:tc>
          <w:tcPr/>
          <w:p>
            <w:pPr>
              <w:pStyle w:val="Compact"/>
              <w:jc w:val="right"/>
            </w:pPr>
            <w:r>
              <w:t xml:space="preserve">0.26</w:t>
            </w:r>
          </w:p>
        </w:tc>
        <w:tc>
          <w:tcPr/>
          <w:p>
            <w:pPr>
              <w:pStyle w:val="Compact"/>
              <w:jc w:val="right"/>
            </w:pPr>
            <w:r>
              <w:t xml:space="preserve">0.30</w:t>
            </w:r>
          </w:p>
        </w:tc>
        <w:tc>
          <w:tcPr/>
          <w:p>
            <w:pPr>
              <w:pStyle w:val="Compact"/>
              <w:jc w:val="right"/>
            </w:pPr>
            <w:r>
              <w:t xml:space="preserve">0.70</w:t>
            </w:r>
          </w:p>
        </w:tc>
        <w:tc>
          <w:tcPr/>
          <w:p>
            <w:pPr>
              <w:pStyle w:val="Compact"/>
              <w:jc w:val="left"/>
            </w:pPr>
            <w:r>
              <w:t xml:space="preserve">(14,15)</w:t>
            </w:r>
          </w:p>
        </w:tc>
      </w:tr>
      <w:tr>
        <w:tc>
          <w:tcPr/>
          <w:p>
            <w:pPr>
              <w:pStyle w:val="Compact"/>
              <w:jc w:val="left"/>
            </w:pPr>
            <w:r>
              <w:t xml:space="preserve">Malaria</w:t>
            </w:r>
          </w:p>
        </w:tc>
        <w:tc>
          <w:tcPr/>
          <w:p>
            <w:pPr>
              <w:pStyle w:val="Compact"/>
              <w:jc w:val="right"/>
            </w:pPr>
            <w:r>
              <w:t xml:space="preserve">0.10</w:t>
            </w:r>
          </w:p>
        </w:tc>
        <w:tc>
          <w:tcPr/>
          <w:p>
            <w:pPr>
              <w:pStyle w:val="Compact"/>
              <w:jc w:val="right"/>
            </w:pPr>
            <w:r>
              <w:t xml:space="preserve">0.35</w:t>
            </w:r>
          </w:p>
        </w:tc>
        <w:tc>
          <w:tcPr/>
          <w:p>
            <w:pPr>
              <w:pStyle w:val="Compact"/>
              <w:jc w:val="right"/>
            </w:pPr>
            <w:r>
              <w:t xml:space="preserve">0.10</w:t>
            </w:r>
          </w:p>
        </w:tc>
        <w:tc>
          <w:tcPr/>
          <w:p>
            <w:pPr>
              <w:pStyle w:val="Compact"/>
              <w:jc w:val="right"/>
            </w:pPr>
            <w:r>
              <w:t xml:space="preserve">0.50</w:t>
            </w:r>
          </w:p>
        </w:tc>
        <w:tc>
          <w:tcPr/>
          <w:p>
            <w:pPr>
              <w:pStyle w:val="Compact"/>
              <w:jc w:val="left"/>
            </w:pPr>
            <w:r>
              <w:t xml:space="preserve">(12,16,17)</w:t>
            </w:r>
          </w:p>
        </w:tc>
      </w:tr>
      <w:tr>
        <w:tc>
          <w:tcPr/>
          <w:p>
            <w:pPr>
              <w:pStyle w:val="Compact"/>
              <w:jc w:val="left"/>
            </w:pPr>
            <w:r>
              <w:t xml:space="preserve">Measles</w:t>
            </w:r>
          </w:p>
        </w:tc>
        <w:tc>
          <w:tcPr/>
          <w:p>
            <w:pPr>
              <w:pStyle w:val="Compact"/>
              <w:jc w:val="right"/>
            </w:pPr>
            <w:r>
              <w:t xml:space="preserve">0.40</w:t>
            </w:r>
          </w:p>
        </w:tc>
        <w:tc>
          <w:tcPr/>
          <w:p>
            <w:pPr>
              <w:pStyle w:val="Compact"/>
              <w:jc w:val="right"/>
            </w:pPr>
            <w:r>
              <w:t xml:space="preserve">0.80</w:t>
            </w:r>
          </w:p>
        </w:tc>
        <w:tc>
          <w:tcPr/>
          <w:p>
            <w:pPr>
              <w:pStyle w:val="Compact"/>
              <w:jc w:val="right"/>
            </w:pPr>
            <w:r>
              <w:t xml:space="preserve">0.02</w:t>
            </w:r>
          </w:p>
        </w:tc>
        <w:tc>
          <w:tcPr/>
          <w:p>
            <w:pPr>
              <w:pStyle w:val="Compact"/>
              <w:jc w:val="right"/>
            </w:pPr>
            <w:r>
              <w:t xml:space="preserve">0.10</w:t>
            </w:r>
          </w:p>
        </w:tc>
        <w:tc>
          <w:tcPr/>
          <w:p>
            <w:pPr>
              <w:pStyle w:val="Compact"/>
              <w:jc w:val="left"/>
            </w:pPr>
            <w:r>
              <w:t xml:space="preserve">(18–20)</w:t>
            </w:r>
          </w:p>
        </w:tc>
      </w:tr>
      <w:tr>
        <w:tc>
          <w:tcPr/>
          <w:p>
            <w:pPr>
              <w:pStyle w:val="Compact"/>
              <w:jc w:val="left"/>
            </w:pPr>
            <w:r>
              <w:t xml:space="preserve">Pertussis</w:t>
            </w:r>
          </w:p>
        </w:tc>
        <w:tc>
          <w:tcPr/>
          <w:p>
            <w:pPr>
              <w:pStyle w:val="Compact"/>
              <w:jc w:val="right"/>
            </w:pPr>
            <w:r>
              <w:t xml:space="preserve">0.01</w:t>
            </w:r>
          </w:p>
        </w:tc>
        <w:tc>
          <w:tcPr/>
          <w:p>
            <w:pPr>
              <w:pStyle w:val="Compact"/>
              <w:jc w:val="right"/>
            </w:pPr>
            <w:r>
              <w:t xml:space="preserve">0.10</w:t>
            </w:r>
          </w:p>
        </w:tc>
        <w:tc>
          <w:tcPr/>
          <w:p>
            <w:pPr>
              <w:pStyle w:val="Compact"/>
              <w:jc w:val="right"/>
            </w:pPr>
            <w:r>
              <w:t xml:space="preserve">0.50</w:t>
            </w:r>
          </w:p>
        </w:tc>
        <w:tc>
          <w:tcPr/>
          <w:p>
            <w:pPr>
              <w:pStyle w:val="Compact"/>
              <w:jc w:val="right"/>
            </w:pPr>
            <w:r>
              <w:t xml:space="preserve">0.90</w:t>
            </w:r>
          </w:p>
        </w:tc>
        <w:tc>
          <w:tcPr/>
          <w:p>
            <w:pPr>
              <w:pStyle w:val="Compact"/>
              <w:jc w:val="left"/>
            </w:pPr>
            <w:r>
              <w:t xml:space="preserve">(21–23)</w:t>
            </w:r>
          </w:p>
        </w:tc>
      </w:tr>
      <w:tr>
        <w:tc>
          <w:tcPr/>
          <w:p>
            <w:pPr>
              <w:pStyle w:val="Compact"/>
              <w:jc w:val="left"/>
            </w:pPr>
            <w:r>
              <w:t xml:space="preserve">Influenza</w:t>
            </w:r>
          </w:p>
        </w:tc>
        <w:tc>
          <w:tcPr/>
          <w:p>
            <w:pPr>
              <w:pStyle w:val="Compact"/>
              <w:jc w:val="right"/>
            </w:pPr>
            <w:r>
              <w:t xml:space="preserve">0.01</w:t>
            </w:r>
          </w:p>
        </w:tc>
        <w:tc>
          <w:tcPr/>
          <w:p>
            <w:pPr>
              <w:pStyle w:val="Compact"/>
              <w:jc w:val="right"/>
            </w:pPr>
            <w:r>
              <w:t xml:space="preserve">0.10</w:t>
            </w:r>
          </w:p>
        </w:tc>
        <w:tc>
          <w:tcPr/>
          <w:p>
            <w:pPr>
              <w:pStyle w:val="Compact"/>
              <w:jc w:val="right"/>
            </w:pPr>
            <w:r>
              <w:t xml:space="preserve">0.30</w:t>
            </w:r>
          </w:p>
        </w:tc>
        <w:tc>
          <w:tcPr/>
          <w:p>
            <w:pPr>
              <w:pStyle w:val="Compact"/>
              <w:jc w:val="right"/>
            </w:pPr>
            <w:r>
              <w:t xml:space="preserve">0.70</w:t>
            </w:r>
          </w:p>
        </w:tc>
        <w:tc>
          <w:tcPr/>
          <w:p>
            <w:pPr>
              <w:pStyle w:val="Compact"/>
              <w:jc w:val="left"/>
            </w:pPr>
            <w:r>
              <w:t xml:space="preserve">(24–27)</w:t>
            </w:r>
          </w:p>
        </w:tc>
      </w:tr>
    </w:tbl>
    <w:bookmarkEnd w:id="14"/>
    <w:bookmarkEnd w:id="15"/>
    <w:bookmarkStart w:id="16" w:name="monte-carlo-uncertainty-quantification"/>
    <w:p>
      <w:pPr>
        <w:pStyle w:val="Heading2"/>
      </w:pPr>
      <w:r>
        <w:t xml:space="preserve">Monte Carlo uncertainty quantification</w:t>
      </w:r>
    </w:p>
    <w:p>
      <w:pPr>
        <w:pStyle w:val="FirstParagraph"/>
      </w:pPr>
      <w:r>
        <w:t xml:space="preserve">The under-reporting correction</w:t>
      </w:r>
      <w:r>
        <w:t xml:space="preserve"> </w:t>
      </w:r>
      <m:oMath>
        <m:sSub>
          <m:e>
            <m:r>
              <m:t>ρ</m:t>
            </m:r>
          </m:e>
          <m:sub>
            <m:r>
              <m:t>d</m:t>
            </m:r>
          </m:sub>
        </m:sSub>
      </m:oMath>
      <w:r>
        <w:t xml:space="preserve"> </w:t>
      </w:r>
      <w:r>
        <w:t xml:space="preserve">and travel-while-infected probability</w:t>
      </w:r>
      <w:r>
        <w:t xml:space="preserve"> </w:t>
      </w:r>
      <m:oMath>
        <m:sSub>
          <m:e>
            <m:r>
              <m:t>p</m:t>
            </m:r>
          </m:e>
          <m:sub>
            <m:r>
              <m:t>d</m:t>
            </m:r>
          </m:sub>
        </m:sSub>
      </m:oMath>
      <w:r>
        <w:t xml:space="preserve"> </w:t>
      </w:r>
      <w:r>
        <w:t xml:space="preserve">each have wide literature ranges reflecting heterogeneity across surveillance systems and epidemiological settings. We treated both as independent Uniform random variables within their literature bounds (Table </w:t>
      </w:r>
      <w:hyperlink w:anchor="tab:params">
        <w:r>
          <w:rPr>
            <w:rStyle w:val="Hyperlink"/>
          </w:rPr>
          <w:t xml:space="preserve">1</w:t>
        </w:r>
      </w:hyperlink>
      <w:r>
        <w:t xml:space="preserve">) and drew 5,000 samples per disease. For each draw, all city-level</w:t>
      </w:r>
      <w:r>
        <w:t xml:space="preserve"> </w:t>
      </w:r>
      <m:oMath>
        <m:sSub>
          <m:e>
            <m:r>
              <m:rPr>
                <m:sty m:val="p"/>
              </m:rPr>
              <m:t>Λ</m:t>
            </m:r>
          </m:e>
          <m:sub>
            <m:r>
              <m:t>v</m:t>
            </m:r>
            <m:r>
              <m:rPr>
                <m:sty m:val="p"/>
              </m:rPr>
              <m:t>,</m:t>
            </m:r>
            <m:r>
              <m:t>d</m:t>
            </m:r>
          </m:sub>
        </m:sSub>
      </m:oMath>
      <w:r>
        <w:t xml:space="preserve"> </w:t>
      </w:r>
      <w:r>
        <w:t xml:space="preserve">values were recomputed. Reported estimates are Monte Carlo medians with 95% uncertainty intervals (2.5th–97.5th percentiles). Because</w:t>
      </w:r>
      <w:r>
        <w:t xml:space="preserve"> </w:t>
      </w:r>
      <m:oMath>
        <m:sSub>
          <m:e>
            <m:r>
              <m:t>ρ</m:t>
            </m:r>
          </m:e>
          <m:sub>
            <m:r>
              <m:t>d</m:t>
            </m:r>
          </m:sub>
        </m:sSub>
      </m:oMath>
      <w:r>
        <w:t xml:space="preserve"> </w:t>
      </w:r>
      <w:r>
        <w:t xml:space="preserve">and</w:t>
      </w:r>
      <w:r>
        <w:t xml:space="preserve"> </w:t>
      </w:r>
      <m:oMath>
        <m:sSub>
          <m:e>
            <m:r>
              <m:t>p</m:t>
            </m:r>
          </m:e>
          <m:sub>
            <m:r>
              <m:t>d</m:t>
            </m:r>
          </m:sub>
        </m:sSub>
      </m:oMath>
      <w:r>
        <w:t xml:space="preserve"> </w:t>
      </w:r>
      <w:r>
        <w:t xml:space="preserve">enter multiplicatively, uncertainty intervals are asymmetric. For dengue, the reference</w:t>
      </w:r>
      <w:r>
        <w:t xml:space="preserve"> </w:t>
      </w:r>
      <m:oMath>
        <m:sSub>
          <m:e>
            <m:r>
              <m:t>ρ</m:t>
            </m:r>
          </m:e>
          <m:sub>
            <m:r>
              <m:t>d</m:t>
            </m:r>
          </m:sub>
        </m:sSub>
      </m:oMath>
      <w:r>
        <w:t xml:space="preserve"> </w:t>
      </w:r>
      <w:r>
        <w:t xml:space="preserve">lies near the lower literature bound, producing strongly right-skewed intervals that indicate the reported estimate is conservative; for pertussis, the reference</w:t>
      </w:r>
      <w:r>
        <w:t xml:space="preserve"> </w:t>
      </w:r>
      <m:oMath>
        <m:sSub>
          <m:e>
            <m:r>
              <m:t>ρ</m:t>
            </m:r>
          </m:e>
          <m:sub>
            <m:r>
              <m:t>d</m:t>
            </m:r>
          </m:sub>
        </m:sSub>
      </m:oMath>
      <w:r>
        <w:t xml:space="preserve"> </w:t>
      </w:r>
      <w:r>
        <w:t xml:space="preserve">equals the upper bound, producing left-skewed intervals (Supplementary Figure S3).</w:t>
      </w:r>
    </w:p>
    <w:bookmarkEnd w:id="16"/>
    <w:bookmarkStart w:id="17" w:name="diaspora-network-extension"/>
    <w:p>
      <w:pPr>
        <w:pStyle w:val="Heading2"/>
      </w:pPr>
      <w:r>
        <w:t xml:space="preserve">Diaspora network extension</w:t>
      </w:r>
    </w:p>
    <w:p>
      <w:pPr>
        <w:pStyle w:val="FirstParagraph"/>
      </w:pPr>
      <w:r>
        <w:t xml:space="preserve">Standard Poisson models treat all arrivals identically regardless of the social environment they enter. We extended the framework to estimate the probability that imported cases reach co-national diaspora networks at each host city.</w:t>
      </w:r>
    </w:p>
    <w:p>
      <w:pPr>
        <w:pStyle w:val="BodyText"/>
      </w:pPr>
      <w:r>
        <w:t xml:space="preserve">Diaspora concentration was computed from US Census Bureau American Community Survey 5-year estimates (2019–2023), Table B05006, via the</w:t>
      </w:r>
      <w:r>
        <w:t xml:space="preserve"> </w:t>
      </w:r>
      <w:r>
        <w:rPr>
          <w:rStyle w:val="VerbatimChar"/>
        </w:rPr>
        <w:t xml:space="preserve">tidycensus</w:t>
      </w:r>
      <w:r>
        <w:t xml:space="preserve"> </w:t>
      </w:r>
      <w:r>
        <w:t xml:space="preserve">R package</w:t>
      </w:r>
      <w:r>
        <w:t xml:space="preserve"> </w:t>
      </w:r>
      <w:r>
        <w:t xml:space="preserve">(6,7)</w:t>
      </w:r>
      <w:r>
        <w:t xml:space="preserve">, defined as the share of each metro area’s total foreign-born population born in each source country.</w:t>
      </w:r>
    </w:p>
    <w:p>
      <w:pPr>
        <w:pStyle w:val="BodyText"/>
      </w:pPr>
      <w:r>
        <w:rPr>
          <w:b/>
          <w:bCs/>
        </w:rPr>
        <w:t xml:space="preserve">Mechanism A (local social mixing).</w:t>
      </w:r>
      <w:r>
        <w:t xml:space="preserve"> </w:t>
      </w:r>
      <w:r>
        <w:t xml:space="preserve">Each infected arrival independently contacts the co-national community with a probability proportional to the diaspora concentration index. This yields a city-level probability that at least one imported case enters a co-national network, directly comparable to the main model’s</w:t>
      </w:r>
      <w:r>
        <w:t xml:space="preserve"> </w:t>
      </w:r>
      <m:oMath>
        <m:r>
          <m:t>P</m:t>
        </m:r>
        <m:r>
          <m:rPr>
            <m:sty m:val="p"/>
          </m:rPr>
          <m:t>(</m:t>
        </m:r>
        <m:r>
          <m:rPr>
            <m:sty m:val="p"/>
          </m:rPr>
          <m:t>≥</m:t>
        </m:r>
        <m:r>
          <m:t>1</m:t>
        </m:r>
        <m:r>
          <m:rPr>
            <m:sty m:val="p"/>
          </m:rPr>
          <m:t>)</m:t>
        </m:r>
      </m:oMath>
      <w:r>
        <w:t xml:space="preserve"> </w:t>
      </w:r>
      <w:r>
        <w:t xml:space="preserve">metric.</w:t>
      </w:r>
    </w:p>
    <w:p>
      <w:pPr>
        <w:pStyle w:val="BodyText"/>
      </w:pPr>
      <w:r>
        <w:rPr>
          <w:b/>
          <w:bCs/>
        </w:rPr>
        <w:t xml:space="preserve">Mechanism B (return seeding).</w:t>
      </w:r>
      <w:r>
        <w:t xml:space="preserve"> </w:t>
      </w:r>
      <w:r>
        <w:t xml:space="preserve">US diaspora members may travel domestically to match venues and carry infection back to their home city. A secondary seeding index ranks candidate hub cities by their exposure potential, combining the importation intensity at the match venue with the diaspora concentration in the hub city. Hub cities comprise both the 11 host metropolitan areas and 15 major non-host metropolitan areas with large immigrant populations, drawn from the same ACS country-of-birth data, so that risk returning to non-venue cities is captured.</w:t>
      </w:r>
    </w:p>
    <w:p>
      <w:pPr>
        <w:pStyle w:val="BodyText"/>
      </w:pPr>
      <w:r>
        <w:t xml:space="preserve">Full mathematical derivations of both mechanisms and the formal relationship between the diaspora-adjusted and standard importation probabilities, are provided in Appendix B of the Supplementary Material.</w:t>
      </w:r>
    </w:p>
    <w:p>
      <w:pPr>
        <w:pStyle w:val="BodyText"/>
      </w:pPr>
      <w:r>
        <w:t xml:space="preserve">All analyses were conducted in R (version 4.4) using packages</w:t>
      </w:r>
      <w:r>
        <w:t xml:space="preserve"> </w:t>
      </w:r>
      <w:r>
        <w:rPr>
          <w:rStyle w:val="VerbatimChar"/>
        </w:rPr>
        <w:t xml:space="preserve">tidyverse</w:t>
      </w:r>
      <w:r>
        <w:t xml:space="preserve">,</w:t>
      </w:r>
      <w:r>
        <w:t xml:space="preserve"> </w:t>
      </w:r>
      <w:r>
        <w:rPr>
          <w:rStyle w:val="VerbatimChar"/>
        </w:rPr>
        <w:t xml:space="preserve">readxl</w:t>
      </w:r>
      <w:r>
        <w:t xml:space="preserve">,</w:t>
      </w:r>
      <w:r>
        <w:t xml:space="preserve"> </w:t>
      </w:r>
      <w:r>
        <w:rPr>
          <w:rStyle w:val="VerbatimChar"/>
        </w:rPr>
        <w:t xml:space="preserve">cowplot</w:t>
      </w:r>
      <w:r>
        <w:t xml:space="preserve">, and</w:t>
      </w:r>
      <w:r>
        <w:t xml:space="preserve"> </w:t>
      </w:r>
      <w:r>
        <w:rPr>
          <w:rStyle w:val="VerbatimChar"/>
        </w:rPr>
        <w:t xml:space="preserve">tidycensus</w:t>
      </w:r>
      <w:r>
        <w:t xml:space="preserve">.</w:t>
      </w:r>
    </w:p>
    <w:bookmarkEnd w:id="17"/>
    <w:bookmarkEnd w:id="18"/>
    <w:bookmarkStart w:id="44" w:name="results"/>
    <w:p>
      <w:pPr>
        <w:pStyle w:val="Heading1"/>
      </w:pPr>
      <w:r>
        <w:t xml:space="preserve">Results</w:t>
      </w:r>
    </w:p>
    <w:p>
      <w:pPr>
        <w:pStyle w:val="FirstParagraph"/>
      </w:pPr>
      <w:r>
        <w:t xml:space="preserve">Unless otherwise noted, results below refer to the schedule-driven model (M3), which allocates World Cup fan travel by match schedule and is the most faithful representation of actual visitor flows; a direct comparison across all three model tiers is provided in Section </w:t>
      </w:r>
      <w:hyperlink w:anchor="sec:comparison">
        <w:r>
          <w:rPr>
            <w:rStyle w:val="Hyperlink"/>
          </w:rPr>
          <w:t xml:space="preserve">3.3</w:t>
        </w:r>
      </w:hyperlink>
      <w:r>
        <w:t xml:space="preserve">.</w:t>
      </w:r>
    </w:p>
    <w:bookmarkStart w:id="23" w:name="Xc8ffbeabdddb4f2dd51d83011e023394231f812"/>
    <w:p>
      <w:pPr>
        <w:pStyle w:val="Heading2"/>
      </w:pPr>
      <w:r>
        <w:t xml:space="preserve">Importation risk by disease and host city</w:t>
      </w:r>
    </w:p>
    <w:p>
      <w:pPr>
        <w:pStyle w:val="FirstParagraph"/>
      </w:pPr>
      <w:r>
        <w:t xml:space="preserve">Under the schedule-driven model (M3), the probability of at least one dengue importation exceeded 99% in Miami, New York, and Houston (Figure </w:t>
      </w:r>
      <w:hyperlink w:anchor="fig:heatmap">
        <w:r>
          <w:rPr>
            <w:rStyle w:val="Hyperlink"/>
          </w:rPr>
          <w:t xml:space="preserve">1</w:t>
        </w:r>
      </w:hyperlink>
      <w:r>
        <w:t xml:space="preserve">; equivalent heatmaps for the Baseline (M1) and WC-adjusted (M2) models are shown in Supplementary Figures S1 and S2). Miami had the highest absolute importation intensity (</w:t>
      </w:r>
      <m:oMath>
        <m:r>
          <m:rPr>
            <m:sty m:val="p"/>
          </m:rPr>
          <m:t>Λ</m:t>
        </m:r>
        <m:r>
          <m:rPr>
            <m:sty m:val="p"/>
          </m:rPr>
          <m:t>=</m:t>
        </m:r>
        <m:r>
          <m:t>15.8</m:t>
        </m:r>
      </m:oMath>
      <w:r>
        <w:t xml:space="preserve">, 95% CI 5.6–32.3), followed by New York (10.5, 95% CI 3.7–21.5) and Houston (5.6, 95% CI 2.0–11.4). The dengue importation probabilities exceeded 0.95 in Dallas and Atlanta, while smaller venues — Boston, Seattle, and Kansas City — showed substantially lower probabilities. Dengue importation intensity in 11 cities under M3 was 45.0 (95% CI 16.0–92.3). Malaria risk exceeded</w:t>
      </w:r>
      <w:r>
        <w:t xml:space="preserve"> </w:t>
      </w:r>
      <m:oMath>
        <m:r>
          <m:t>P</m:t>
        </m:r>
        <m:r>
          <m:rPr>
            <m:sty m:val="p"/>
          </m:rPr>
          <m:t>(</m:t>
        </m:r>
        <m:r>
          <m:rPr>
            <m:sty m:val="p"/>
          </m:rPr>
          <m:t>≥</m:t>
        </m:r>
        <m:r>
          <m:t>1</m:t>
        </m:r>
        <m:r>
          <m:rPr>
            <m:sty m:val="p"/>
          </m:rPr>
          <m:t>)</m:t>
        </m:r>
        <m:r>
          <m:rPr>
            <m:sty m:val="p"/>
          </m:rPr>
          <m:t>&gt;</m:t>
        </m:r>
        <m:r>
          <m:t>0.99</m:t>
        </m:r>
      </m:oMath>
      <w:r>
        <w:t xml:space="preserve"> </w:t>
      </w:r>
      <w:r>
        <w:t xml:space="preserve">in Atlanta and New York, with Atlanta carrying the highest absolute intensity (</w:t>
      </w:r>
      <m:oMath>
        <m:r>
          <m:rPr>
            <m:sty m:val="p"/>
          </m:rPr>
          <m:t>Λ</m:t>
        </m:r>
        <m:r>
          <m:rPr>
            <m:sty m:val="p"/>
          </m:rPr>
          <m:t>=</m:t>
        </m:r>
        <m:r>
          <m:t>8.54</m:t>
        </m:r>
      </m:oMath>
      <w:r>
        <w:t xml:space="preserve">), reflecting the concentration of Sub-Saharan African air routes through Hartsfield-Jackson airport; malaria importation intensity in the 11 cities was 16.4 (95% CI 4.9–39.1). Pertussis (</w:t>
      </w:r>
      <m:oMath>
        <m:r>
          <m:rPr>
            <m:sty m:val="p"/>
          </m:rPr>
          <m:t>Λ</m:t>
        </m:r>
        <m:r>
          <m:rPr>
            <m:sty m:val="p"/>
          </m:rPr>
          <m:t>=</m:t>
        </m:r>
        <m:r>
          <m:t>2.0</m:t>
        </m:r>
      </m:oMath>
      <w:r>
        <w:t xml:space="preserve">, 95% CI 0.5––4.2) and influenza (</w:t>
      </w:r>
      <m:oMath>
        <m:r>
          <m:rPr>
            <m:sty m:val="p"/>
          </m:rPr>
          <m:t>Λ</m:t>
        </m:r>
        <m:r>
          <m:rPr>
            <m:sty m:val="p"/>
          </m:rPr>
          <m:t>=</m:t>
        </m:r>
        <m:r>
          <m:t>1.8</m:t>
        </m:r>
      </m:oMath>
      <w:r>
        <w:t xml:space="preserve">, 95% CI 0.4––4.0) showed intermediate importation intensities. Measles had near-zero expected importation intensity (</w:t>
      </w:r>
      <m:oMath>
        <m:r>
          <m:rPr>
            <m:sty m:val="p"/>
          </m:rPr>
          <m:t>Λ</m:t>
        </m:r>
        <m:r>
          <m:rPr>
            <m:sty m:val="p"/>
          </m:rPr>
          <m:t>=</m:t>
        </m:r>
        <m:r>
          <m:t>0.05</m:t>
        </m:r>
      </m:oMath>
      <w:r>
        <w:t xml:space="preserve">, 95% CI 0.02–0.10) because WHO-reported per-capita incidence is very low across most World Cup source countries; US measles cases arise primarily from outbreak chains seeded by a small number of imports rather than a large number of imported cases.</w:t>
      </w:r>
    </w:p>
    <w:bookmarkStart w:id="22" w:name="fig:heatmap"/>
    <w:p>
      <w:pPr>
        <w:pStyle w:val="CaptionedFigure"/>
      </w:pPr>
      <w:r>
        <w:drawing>
          <wp:inline>
            <wp:extent cx="5334000" cy="1920240"/>
            <wp:effectExtent b="0" l="0" r="0" t="0"/>
            <wp:docPr descr="" title="" id="20" name="Picture"/>
            <a:graphic>
              <a:graphicData uri="http://schemas.openxmlformats.org/drawingml/2006/picture">
                <pic:pic>
                  <pic:nvPicPr>
                    <pic:cNvPr descr="Figure1.png" id="21" name="Picture"/>
                    <pic:cNvPicPr>
                      <a:picLocks noChangeArrowheads="1" noChangeAspect="1"/>
                    </pic:cNvPicPr>
                  </pic:nvPicPr>
                  <pic:blipFill>
                    <a:blip r:embed="rId19"/>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rPr>
          <w:b/>
          <w:bCs/>
        </w:rPr>
        <w:t xml:space="preserve">Figure 1.</w:t>
      </w:r>
      <w:r>
        <w:t xml:space="preserve"> </w:t>
      </w:r>
      <w:r>
        <w:rPr>
          <w:b/>
          <w:bCs/>
        </w:rPr>
        <w:t xml:space="preserve">Importation probability for five infectious diseases at 11 US FIFA World Cup 2026 host cities.</w:t>
      </w:r>
      <w:r>
        <w:t xml:space="preserve"> </w:t>
      </w:r>
      <w:r>
        <w:t xml:space="preserve">Cells show</w:t>
      </w:r>
      <w:r>
        <w:t xml:space="preserve"> </w:t>
      </w:r>
      <m:oMath>
        <m:r>
          <m:t>P</m:t>
        </m:r>
        <m:r>
          <m:rPr>
            <m:sty m:val="p"/>
          </m:rPr>
          <m:t>(</m:t>
        </m:r>
        <m:r>
          <m:rPr>
            <m:sty m:val="p"/>
          </m:rPr>
          <m:t>≥</m:t>
        </m:r>
        <m:r>
          <m:t>1</m:t>
        </m:r>
        <m:r>
          <m:rPr>
            <m:sty m:val="p"/>
          </m:rPr>
          <m:t>)</m:t>
        </m:r>
      </m:oMath>
      <w:r>
        <w:t xml:space="preserve">, the probability of at least one imported case at each city in June 2026, under the schedule-driven model (M3) Monte Carlo median. Cities are ordered by total importation intensity. Values</w:t>
      </w:r>
      <w:r>
        <w:t xml:space="preserve"> </w:t>
      </w:r>
      <m:oMath>
        <m:r>
          <m:rPr>
            <m:sty m:val="p"/>
          </m:rPr>
          <m:t>&lt;</m:t>
        </m:r>
        <m:r>
          <m:t>0.01</m:t>
        </m:r>
      </m:oMath>
      <w:r>
        <w:t xml:space="preserve"> </w:t>
      </w:r>
      <w:r>
        <w:t xml:space="preserve">and</w:t>
      </w:r>
      <w:r>
        <w:t xml:space="preserve"> </w:t>
      </w:r>
      <m:oMath>
        <m:r>
          <m:rPr>
            <m:sty m:val="p"/>
          </m:rPr>
          <m:t>&gt;</m:t>
        </m:r>
        <m:r>
          <m:t>0.99</m:t>
        </m:r>
      </m:oMath>
      <w:r>
        <w:t xml:space="preserve"> </w:t>
      </w:r>
      <w:r>
        <w:t xml:space="preserve">are shown as such.</w:t>
      </w:r>
    </w:p>
    <w:bookmarkEnd w:id="22"/>
    <w:bookmarkEnd w:id="23"/>
    <w:bookmarkStart w:id="28" w:name="X35d9fb1ee0324878103f930a0ab791a42f755c5"/>
    <w:p>
      <w:pPr>
        <w:pStyle w:val="Heading2"/>
      </w:pPr>
      <w:r>
        <w:t xml:space="preserve">Expected importation intensity and parameter uncertainty</w:t>
      </w:r>
    </w:p>
    <w:p>
      <w:pPr>
        <w:pStyle w:val="FirstParagraph"/>
      </w:pPr>
      <w:r>
        <w:t xml:space="preserve">Figure </w:t>
      </w:r>
      <w:hyperlink w:anchor="fig:lambdaci">
        <w:r>
          <w:rPr>
            <w:rStyle w:val="Hyperlink"/>
          </w:rPr>
          <w:t xml:space="preserve">2</w:t>
        </w:r>
      </w:hyperlink>
      <w:r>
        <w:t xml:space="preserve"> </w:t>
      </w:r>
      <w:r>
        <w:t xml:space="preserve">shows Monte Carlo median</w:t>
      </w:r>
      <w:r>
        <w:t xml:space="preserve"> </w:t>
      </w:r>
      <m:oMath>
        <m:r>
          <m:rPr>
            <m:sty m:val="p"/>
          </m:rPr>
          <m:t>Λ</m:t>
        </m:r>
      </m:oMath>
      <w:r>
        <w:t xml:space="preserve"> </w:t>
      </w:r>
      <w:r>
        <w:t xml:space="preserve">and 95% uncertainty intervals for each disease and city. Dengue intensities are roughly 3-fold higher than malaria and nearly three orders of magnitude above measles. Interval asymmetry is disease-specific; for dengue, the upper interval bound is roughly twice the median while the lower bound is about one third of the median, indicating that the central estimate lies in the lower half of the plausible range. For pertussis, the upper CI is compressed toward the median, confirming that estimates are conservative upper bounds (the reference detection rate equals the upper literature limit).</w:t>
      </w:r>
    </w:p>
    <w:bookmarkStart w:id="27" w:name="fig:lambdaci"/>
    <w:p>
      <w:pPr>
        <w:pStyle w:val="CaptionedFigure"/>
      </w:pPr>
      <w:r>
        <w:drawing>
          <wp:inline>
            <wp:extent cx="5334000" cy="3429000"/>
            <wp:effectExtent b="0" l="0" r="0" t="0"/>
            <wp:docPr descr="" title="" id="25" name="Picture"/>
            <a:graphic>
              <a:graphicData uri="http://schemas.openxmlformats.org/drawingml/2006/picture">
                <pic:pic>
                  <pic:nvPicPr>
                    <pic:cNvPr descr="Figure2.png" id="26" name="Picture"/>
                    <pic:cNvPicPr>
                      <a:picLocks noChangeArrowheads="1" noChangeAspect="1"/>
                    </pic:cNvPicPr>
                  </pic:nvPicPr>
                  <pic:blipFill>
                    <a:blip r:embed="rId24"/>
                    <a:stretch>
                      <a:fillRect/>
                    </a:stretch>
                  </pic:blipFill>
                  <pic:spPr bwMode="auto">
                    <a:xfrm>
                      <a:off x="0" y="0"/>
                      <a:ext cx="5334000" cy="3429000"/>
                    </a:xfrm>
                    <a:prstGeom prst="rect">
                      <a:avLst/>
                    </a:prstGeom>
                    <a:noFill/>
                    <a:ln w="9525">
                      <a:noFill/>
                      <a:headEnd/>
                      <a:tailEnd/>
                    </a:ln>
                  </pic:spPr>
                </pic:pic>
              </a:graphicData>
            </a:graphic>
          </wp:inline>
        </w:drawing>
      </w:r>
    </w:p>
    <w:p>
      <w:pPr>
        <w:pStyle w:val="ImageCaption"/>
      </w:pPr>
      <w:r>
        <w:rPr>
          <w:b/>
          <w:bCs/>
        </w:rPr>
        <w:t xml:space="preserve">Figure 2.</w:t>
      </w:r>
      <w:r>
        <w:t xml:space="preserve"> </w:t>
      </w:r>
      <w:r>
        <w:rPr>
          <w:b/>
          <w:bCs/>
        </w:rPr>
        <w:t xml:space="preserve">Three-model comparison of expected importation intensity (</w:t>
      </w:r>
      <m:oMath>
        <m:r>
          <m:rPr>
            <m:sty m:val="p"/>
          </m:rPr>
          <m:t>Λ</m:t>
        </m:r>
      </m:oMath>
      <w:r>
        <w:rPr>
          <w:b/>
          <w:bCs/>
        </w:rPr>
        <w:t xml:space="preserve">) with 95% Monte Carlo uncertainty intervals by disease across the six highest-risk US host cities.</w:t>
      </w:r>
      <w:r>
        <w:t xml:space="preserve"> </w:t>
      </w:r>
      <w:r>
        <w:t xml:space="preserve">Points are Monte Carlo medians; horizontal bars span the 2.5th–97.5th percentiles from 5,000 Uniform draws on</w:t>
      </w:r>
      <w:r>
        <w:t xml:space="preserve"> </w:t>
      </w:r>
      <m:oMath>
        <m:sSub>
          <m:e>
            <m:r>
              <m:t>ρ</m:t>
            </m:r>
          </m:e>
          <m:sub>
            <m:r>
              <m:t>d</m:t>
            </m:r>
          </m:sub>
        </m:sSub>
      </m:oMath>
      <w:r>
        <w:t xml:space="preserve"> </w:t>
      </w:r>
      <w:r>
        <w:t xml:space="preserve">and</w:t>
      </w:r>
      <w:r>
        <w:t xml:space="preserve"> </w:t>
      </w:r>
      <m:oMath>
        <m:sSub>
          <m:e>
            <m:r>
              <m:t>p</m:t>
            </m:r>
          </m:e>
          <m:sub>
            <m:r>
              <m:t>d</m:t>
            </m:r>
          </m:sub>
        </m:sSub>
      </m:oMath>
      <w:r>
        <w:t xml:space="preserve">. Interval asymmetry is examined in Supplementary Figure S3. Each disease panel has an independent x-axis. Colors correspond to model: M1 = Baseline (COR June 2024, no World Cup adjustment); M2 = WC-adjusted (2026 projections, T-100 routing for all travellers); M3 = Schedule-driven (World Cup fans routed by match schedule, background travellers by T-100).</w:t>
      </w:r>
    </w:p>
    <w:bookmarkEnd w:id="27"/>
    <w:bookmarkEnd w:id="28"/>
    <w:bookmarkStart w:id="33" w:name="sec:comparison"/>
    <w:p>
      <w:pPr>
        <w:pStyle w:val="Heading2"/>
      </w:pPr>
      <w:r>
        <w:t xml:space="preserve">Effect of the World Cup travel surge across model tiers</w:t>
      </w:r>
    </w:p>
    <w:p>
      <w:pPr>
        <w:pStyle w:val="FirstParagraph"/>
      </w:pPr>
      <w:r>
        <w:t xml:space="preserve">The World Cup travel surge (M1</w:t>
      </w:r>
      <w:r>
        <w:t xml:space="preserve"> </w:t>
      </w:r>
      <m:oMath>
        <m:r>
          <m:rPr>
            <m:sty m:val="p"/>
          </m:rPr>
          <m:t>→</m:t>
        </m:r>
      </m:oMath>
      <w:r>
        <w:t xml:space="preserve"> </w:t>
      </w:r>
      <w:r>
        <w:t xml:space="preserve">M2) increased the 11-city dengue total by approximately 17% (39.7 to 46.6; Figure </w:t>
      </w:r>
      <w:hyperlink w:anchor="fig:lambdaci">
        <w:r>
          <w:rPr>
            <w:rStyle w:val="Hyperlink"/>
          </w:rPr>
          <w:t xml:space="preserve">2</w:t>
        </w:r>
      </w:hyperlink>
      <w:r>
        <w:t xml:space="preserve">). The schedule-driven model (M3: 45.0) fell slightly below the WC-adjusted model (M2: 46.6) because the fan increment for teams playing in Canada and Mexico was redirected to non-US venues, reducing US city totals. M2 allocates all World Cup growth to US cities via T-100 routing and cannot make this distinction, so M3 gives a more accurate estimate of the US-specific burden. Comparable patterns held for malaria (M1: 14.7, M2: 16.6, M3: 16.4) and the other diseases.</w:t>
      </w:r>
    </w:p>
    <w:p>
      <w:pPr>
        <w:pStyle w:val="BodyText"/>
      </w:pPr>
      <w:r>
        <w:t xml:space="preserve">Figure </w:t>
      </w:r>
      <w:hyperlink w:anchor="fig:excess">
        <w:r>
          <w:rPr>
            <w:rStyle w:val="Hyperlink"/>
          </w:rPr>
          <w:t xml:space="preserve">3</w:t>
        </w:r>
      </w:hyperlink>
      <w:r>
        <w:t xml:space="preserve"> </w:t>
      </w:r>
      <w:r>
        <w:t xml:space="preserve">decomposes the 11-city total into baseline travel (M1) and the World Cup-specific increment (M3</w:t>
      </w:r>
      <w:r>
        <w:t xml:space="preserve"> </w:t>
      </w:r>
      <m:oMath>
        <m:r>
          <m:rPr>
            <m:sty m:val="p"/>
          </m:rPr>
          <m:t>−</m:t>
        </m:r>
      </m:oMath>
      <w:r>
        <w:t xml:space="preserve"> </w:t>
      </w:r>
      <w:r>
        <w:t xml:space="preserve">M1) for each disease. Baseline travel accounts for 86–93% of total expected importations across all diseases; the World Cup adds only 7–14%. Most of the risk is thus present without the tournament, and surveillance confined to the World Cup window will miss most of it.</w:t>
      </w:r>
    </w:p>
    <w:bookmarkStart w:id="32" w:name="fig:excess"/>
    <w:p>
      <w:pPr>
        <w:pStyle w:val="CaptionedFigure"/>
      </w:pPr>
      <w:r>
        <w:drawing>
          <wp:inline>
            <wp:extent cx="5334000" cy="2222500"/>
            <wp:effectExtent b="0" l="0" r="0" t="0"/>
            <wp:docPr descr="" title="" id="30" name="Picture"/>
            <a:graphic>
              <a:graphicData uri="http://schemas.openxmlformats.org/drawingml/2006/picture">
                <pic:pic>
                  <pic:nvPicPr>
                    <pic:cNvPr descr="Figure3.png" id="31" name="Picture"/>
                    <pic:cNvPicPr>
                      <a:picLocks noChangeArrowheads="1" noChangeAspect="1"/>
                    </pic:cNvPicPr>
                  </pic:nvPicPr>
                  <pic:blipFill>
                    <a:blip r:embed="rId29"/>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rPr>
          <w:b/>
          <w:bCs/>
        </w:rPr>
        <w:t xml:space="preserve">Figure 3.</w:t>
      </w:r>
      <w:r>
        <w:t xml:space="preserve"> </w:t>
      </w:r>
      <w:r>
        <w:rPr>
          <w:b/>
          <w:bCs/>
        </w:rPr>
        <w:t xml:space="preserve">World Cup travel increment above baseline importation by disease.</w:t>
      </w:r>
      <w:r>
        <w:t xml:space="preserve"> </w:t>
      </w:r>
      <w:r>
        <w:t xml:space="preserve">Each bar shows the 11-city Monte Carlo median</w:t>
      </w:r>
      <w:r>
        <w:t xml:space="preserve"> </w:t>
      </w:r>
      <m:oMath>
        <m:r>
          <m:rPr>
            <m:sty m:val="p"/>
          </m:rPr>
          <m:t>Λ</m:t>
        </m:r>
      </m:oMath>
      <w:r>
        <w:t xml:space="preserve"> </w:t>
      </w:r>
      <w:r>
        <w:t xml:space="preserve">split into baseline travel (M1, blue) and the schedule-driven WC increment (M3</w:t>
      </w:r>
      <w:r>
        <w:t xml:space="preserve"> </w:t>
      </w:r>
      <m:oMath>
        <m:r>
          <m:rPr>
            <m:sty m:val="p"/>
          </m:rPr>
          <m:t>−</m:t>
        </m:r>
      </m:oMath>
      <w:r>
        <w:t xml:space="preserve"> </w:t>
      </w:r>
      <w:r>
        <w:t xml:space="preserve">M1, red). Percentage labels indicate the WC increment as a share of the M1 baseline. The inset shows a zoomed view of the estimates for measles, which are otherwise not visible on the same scale as the other diseases. Baseline travel dominates across all five diseases, contributing 86–93% of total expected importations.</w:t>
      </w:r>
    </w:p>
    <w:bookmarkEnd w:id="32"/>
    <w:bookmarkEnd w:id="33"/>
    <w:bookmarkStart w:id="38" w:name="source-country-contributions"/>
    <w:p>
      <w:pPr>
        <w:pStyle w:val="Heading2"/>
      </w:pPr>
      <w:r>
        <w:t xml:space="preserve">Source-country contributions</w:t>
      </w:r>
    </w:p>
    <w:p>
      <w:pPr>
        <w:pStyle w:val="FirstParagraph"/>
      </w:pPr>
      <w:r>
        <w:t xml:space="preserve">Brazil and Mexico were the dominant dengue contributors across New York, Miami, and Houston (Figure </w:t>
      </w:r>
      <w:hyperlink w:anchor="fig:countries">
        <w:r>
          <w:rPr>
            <w:rStyle w:val="Hyperlink"/>
          </w:rPr>
          <w:t xml:space="preserve">4</w:t>
        </w:r>
      </w:hyperlink>
      <w:r>
        <w:t xml:space="preserve">). Nigeria and Ghana drove malaria risk at Atlanta and New York. For dengue at World Cup fan countries, contributions were split between a fan-specific stream (concentrated at match venues) and a background stream (distributed by routine T-100 routing). This confirms that the surge amplification is real but built on pre-existing high baseline travel from endemic source countries. Supplementary Figure S6 ranks the same top-10 source countries by diaspora-weighted importation intensity (</w:t>
      </w:r>
      <m:oMath>
        <m:sSup>
          <m:e>
            <m:r>
              <m:rPr>
                <m:sty m:val="p"/>
              </m:rPr>
              <m:t>Ω</m:t>
            </m:r>
          </m:e>
          <m:sup>
            <m:r>
              <m:t>A</m:t>
            </m:r>
          </m:sup>
        </m:sSup>
      </m:oMath>
      <w:r>
        <w:t xml:space="preserve">) rather than raw</w:t>
      </w:r>
      <w:r>
        <w:t xml:space="preserve"> </w:t>
      </w:r>
      <m:oMath>
        <m:r>
          <m:t>λ</m:t>
        </m:r>
      </m:oMath>
      <w:r>
        <w:t xml:space="preserve">; countries with large co-national communities concentrated in their primary destination cities rank higher in</w:t>
      </w:r>
      <w:r>
        <w:t xml:space="preserve"> </w:t>
      </w:r>
      <m:oMath>
        <m:sSup>
          <m:e>
            <m:r>
              <m:rPr>
                <m:sty m:val="p"/>
              </m:rPr>
              <m:t>Ω</m:t>
            </m:r>
          </m:e>
          <m:sup>
            <m:r>
              <m:t>A</m:t>
            </m:r>
          </m:sup>
        </m:sSup>
      </m:oMath>
      <w:r>
        <w:t xml:space="preserve"> </w:t>
      </w:r>
      <w:r>
        <w:t xml:space="preserve">than in</w:t>
      </w:r>
      <w:r>
        <w:t xml:space="preserve"> </w:t>
      </w:r>
      <m:oMath>
        <m:r>
          <m:t>λ</m:t>
        </m:r>
      </m:oMath>
      <w:r>
        <w:t xml:space="preserve">, revealing an additional layer of community-level exposure not visible from travel volumes alone.</w:t>
      </w:r>
    </w:p>
    <w:bookmarkStart w:id="37" w:name="fig:countries"/>
    <w:p>
      <w:pPr>
        <w:pStyle w:val="CaptionedFigure"/>
      </w:pPr>
      <w:r>
        <w:drawing>
          <wp:inline>
            <wp:extent cx="5334000" cy="4622800"/>
            <wp:effectExtent b="0" l="0" r="0" t="0"/>
            <wp:docPr descr="" title="" id="35" name="Picture"/>
            <a:graphic>
              <a:graphicData uri="http://schemas.openxmlformats.org/drawingml/2006/picture">
                <pic:pic>
                  <pic:nvPicPr>
                    <pic:cNvPr descr="Figure4.png" id="36" name="Picture"/>
                    <pic:cNvPicPr>
                      <a:picLocks noChangeArrowheads="1" noChangeAspect="1"/>
                    </pic:cNvPicPr>
                  </pic:nvPicPr>
                  <pic:blipFill>
                    <a:blip r:embed="rId34"/>
                    <a:stretch>
                      <a:fillRect/>
                    </a:stretch>
                  </pic:blipFill>
                  <pic:spPr bwMode="auto">
                    <a:xfrm>
                      <a:off x="0" y="0"/>
                      <a:ext cx="5334000" cy="4622800"/>
                    </a:xfrm>
                    <a:prstGeom prst="rect">
                      <a:avLst/>
                    </a:prstGeom>
                    <a:noFill/>
                    <a:ln w="9525">
                      <a:noFill/>
                      <a:headEnd/>
                      <a:tailEnd/>
                    </a:ln>
                  </pic:spPr>
                </pic:pic>
              </a:graphicData>
            </a:graphic>
          </wp:inline>
        </w:drawing>
      </w:r>
    </w:p>
    <w:p>
      <w:pPr>
        <w:pStyle w:val="ImageCaption"/>
      </w:pPr>
      <w:r>
        <w:rPr>
          <w:b/>
          <w:bCs/>
        </w:rPr>
        <w:t xml:space="preserve">Figure 4.</w:t>
      </w:r>
      <w:r>
        <w:t xml:space="preserve"> </w:t>
      </w:r>
      <w:r>
        <w:rPr>
          <w:b/>
          <w:bCs/>
        </w:rPr>
        <w:t xml:space="preserve">Top 10 source-country contributors to expected importation intensity by disease, under the schedule-driven model (M3).</w:t>
      </w:r>
      <w:r>
        <w:t xml:space="preserve"> </w:t>
      </w:r>
      <w:r>
        <w:t xml:space="preserve">Bars show expected importations</w:t>
      </w:r>
      <w:r>
        <w:t xml:space="preserve"> </w:t>
      </w:r>
      <m:oMath>
        <m:sSub>
          <m:e>
            <m:r>
              <m:t>λ</m:t>
            </m:r>
          </m:e>
          <m:sub>
            <m:r>
              <m:t>c</m:t>
            </m:r>
            <m:r>
              <m:rPr>
                <m:sty m:val="p"/>
              </m:rPr>
              <m:t>,</m:t>
            </m:r>
            <m:r>
              <m:rPr>
                <m:sty m:val="p"/>
              </m:rPr>
              <m:t>⋅</m:t>
            </m:r>
            <m:r>
              <m:rPr>
                <m:sty m:val="p"/>
              </m:rPr>
              <m:t>,</m:t>
            </m:r>
            <m:r>
              <m:t>d</m:t>
            </m:r>
          </m:sub>
        </m:sSub>
      </m:oMath>
      <w:r>
        <w:t xml:space="preserve"> </w:t>
      </w:r>
      <w:r>
        <w:t xml:space="preserve">summed across all 11 US venue cities; error bars show 95% Monte Carlo uncertainty intervals. Colors denote world region (Canada and Mexico grouped as North America). Panels: (A) dengue, (B) influenza, (C) pertussis, (D) malaria, (E) measles.</w:t>
      </w:r>
    </w:p>
    <w:bookmarkEnd w:id="37"/>
    <w:bookmarkEnd w:id="38"/>
    <w:bookmarkStart w:id="43" w:name="diaspora-network-seeding-risk"/>
    <w:p>
      <w:pPr>
        <w:pStyle w:val="Heading2"/>
      </w:pPr>
      <w:r>
        <w:t xml:space="preserve">Diaspora network seeding risk</w:t>
      </w:r>
    </w:p>
    <w:p>
      <w:pPr>
        <w:pStyle w:val="FirstParagraph"/>
      </w:pPr>
      <w:r>
        <w:t xml:space="preserve">Figure </w:t>
      </w:r>
      <w:hyperlink w:anchor="fig:diaspora">
        <w:r>
          <w:rPr>
            <w:rStyle w:val="Hyperlink"/>
          </w:rPr>
          <w:t xml:space="preserve">5</w:t>
        </w:r>
      </w:hyperlink>
      <w:r>
        <w:t xml:space="preserve"> </w:t>
      </w:r>
      <w:r>
        <w:t xml:space="preserve">summarizes both diaspora risk mechanisms for dengue and malaria, the two diseases with meaningful diaspora signal. Panel A shows</w:t>
      </w:r>
      <w:r>
        <w:t xml:space="preserve"> </w:t>
      </w:r>
      <m:oMath>
        <m:sSup>
          <m:e>
            <m:r>
              <m:t>P</m:t>
            </m:r>
          </m:e>
          <m:sup>
            <m:r>
              <m:t>A</m:t>
            </m:r>
          </m:sup>
        </m:sSup>
        <m:r>
          <m:rPr>
            <m:sty m:val="p"/>
          </m:rPr>
          <m:t>(</m:t>
        </m:r>
        <m:r>
          <m:rPr>
            <m:sty m:val="p"/>
          </m:rPr>
          <m:t>≥</m:t>
        </m:r>
        <m:r>
          <m:t>1</m:t>
        </m:r>
        <m:sSub>
          <m:e>
            <m:r>
              <m:rPr>
                <m:sty m:val="p"/>
              </m:rPr>
              <m:t>)</m:t>
            </m:r>
          </m:e>
          <m:sub>
            <m:r>
              <m:t>v</m:t>
            </m:r>
            <m:r>
              <m:rPr>
                <m:sty m:val="p"/>
              </m:rPr>
              <m:t>,</m:t>
            </m:r>
            <m:r>
              <m:t>d</m:t>
            </m:r>
          </m:sub>
        </m:sSub>
      </m:oMath>
      <w:r>
        <w:t xml:space="preserve">, the probability that at least one imported case enters a co-national diaspora social network at each host city. For dengue, the diaspora signal was highest at Dallas, Houston, and Los Angeles (</w:t>
      </w:r>
      <m:oMath>
        <m:sSup>
          <m:e>
            <m:r>
              <m:t>P</m:t>
            </m:r>
          </m:e>
          <m:sup>
            <m:r>
              <m:t>A</m:t>
            </m:r>
          </m:sup>
        </m:sSup>
        <m:r>
          <m:rPr>
            <m:sty m:val="p"/>
          </m:rPr>
          <m:t>(</m:t>
        </m:r>
        <m:r>
          <m:rPr>
            <m:sty m:val="p"/>
          </m:rPr>
          <m:t>≥</m:t>
        </m:r>
        <m:r>
          <m:t>1</m:t>
        </m:r>
        <m:r>
          <m:rPr>
            <m:sty m:val="p"/>
          </m:rPr>
          <m:t>)</m:t>
        </m:r>
        <m:r>
          <m:rPr>
            <m:sty m:val="p"/>
          </m:rPr>
          <m:t>=</m:t>
        </m:r>
        <m:r>
          <m:t>0.43</m:t>
        </m:r>
      </m:oMath>
      <w:r>
        <w:t xml:space="preserve">,</w:t>
      </w:r>
      <w:r>
        <w:t xml:space="preserve"> </w:t>
      </w:r>
      <m:oMath>
        <m:r>
          <m:t>0.39</m:t>
        </m:r>
      </m:oMath>
      <w:r>
        <w:t xml:space="preserve">, and</w:t>
      </w:r>
      <w:r>
        <w:t xml:space="preserve"> </w:t>
      </w:r>
      <m:oMath>
        <m:r>
          <m:t>0.35</m:t>
        </m:r>
      </m:oMath>
      <w:r>
        <w:t xml:space="preserve">), driven by the large Mexican diaspora in these cities (</w:t>
      </w:r>
      <m:oMath>
        <m:r>
          <m:t>κ</m:t>
        </m:r>
        <m:r>
          <m:rPr>
            <m:sty m:val="p"/>
          </m:rPr>
          <m:t>=</m:t>
        </m:r>
        <m:r>
          <m:t>0.39</m:t>
        </m:r>
      </m:oMath>
      <w:r>
        <w:t xml:space="preserve">,</w:t>
      </w:r>
      <w:r>
        <w:t xml:space="preserve"> </w:t>
      </w:r>
      <m:oMath>
        <m:r>
          <m:t>0.34</m:t>
        </m:r>
      </m:oMath>
      <w:r>
        <w:t xml:space="preserve">, and</w:t>
      </w:r>
      <w:r>
        <w:t xml:space="preserve"> </w:t>
      </w:r>
      <m:oMath>
        <m:r>
          <m:t>0.34</m:t>
        </m:r>
      </m:oMath>
      <w:r>
        <w:t xml:space="preserve">); Miami (</w:t>
      </w:r>
      <m:oMath>
        <m:sSup>
          <m:e>
            <m:r>
              <m:t>P</m:t>
            </m:r>
          </m:e>
          <m:sup>
            <m:r>
              <m:t>A</m:t>
            </m:r>
          </m:sup>
        </m:sSup>
        <m:r>
          <m:rPr>
            <m:sty m:val="p"/>
          </m:rPr>
          <m:t>(</m:t>
        </m:r>
        <m:r>
          <m:rPr>
            <m:sty m:val="p"/>
          </m:rPr>
          <m:t>≥</m:t>
        </m:r>
        <m:r>
          <m:t>1</m:t>
        </m:r>
        <m:r>
          <m:rPr>
            <m:sty m:val="p"/>
          </m:rPr>
          <m:t>)</m:t>
        </m:r>
        <m:r>
          <m:rPr>
            <m:sty m:val="p"/>
          </m:rPr>
          <m:t>=</m:t>
        </m:r>
        <m:r>
          <m:t>0.26</m:t>
        </m:r>
      </m:oMath>
      <w:r>
        <w:t xml:space="preserve">) was the exception, driven by its Colombian and Brazilian communities (</w:t>
      </w:r>
      <m:oMath>
        <m:r>
          <m:t>κ</m:t>
        </m:r>
        <m:r>
          <m:rPr>
            <m:sty m:val="p"/>
          </m:rPr>
          <m:t>=</m:t>
        </m:r>
        <m:r>
          <m:t>0.076</m:t>
        </m:r>
      </m:oMath>
      <w:r>
        <w:t xml:space="preserve"> </w:t>
      </w:r>
      <w:r>
        <w:t xml:space="preserve">and</w:t>
      </w:r>
      <w:r>
        <w:t xml:space="preserve"> </w:t>
      </w:r>
      <m:oMath>
        <m:r>
          <m:t>0.025</m:t>
        </m:r>
      </m:oMath>
      <w:r>
        <w:t xml:space="preserve">). Although dengue importation is very likely at the city level in these metropolitan areas (</w:t>
      </w:r>
      <m:oMath>
        <m:r>
          <m:t>P</m:t>
        </m:r>
        <m:r>
          <m:rPr>
            <m:sty m:val="p"/>
          </m:rPr>
          <m:t>(</m:t>
        </m:r>
        <m:r>
          <m:rPr>
            <m:sty m:val="p"/>
          </m:rPr>
          <m:t>≥</m:t>
        </m:r>
        <m:r>
          <m:t>1</m:t>
        </m:r>
        <m:r>
          <m:rPr>
            <m:sty m:val="p"/>
          </m:rPr>
          <m:t>)</m:t>
        </m:r>
        <m:r>
          <m:rPr>
            <m:sty m:val="p"/>
          </m:rPr>
          <m:t>&gt;</m:t>
        </m:r>
        <m:r>
          <m:t>0.95</m:t>
        </m:r>
      </m:oMath>
      <w:r>
        <w:t xml:space="preserve">; Figure </w:t>
      </w:r>
      <w:hyperlink w:anchor="fig:heatmap">
        <w:r>
          <w:rPr>
            <w:rStyle w:val="Hyperlink"/>
          </w:rPr>
          <w:t xml:space="preserve">1</w:t>
        </w:r>
      </w:hyperlink>
      <w:r>
        <w:t xml:space="preserve">), the probability that an imported case enters a co-national diaspora network is much lower (</w:t>
      </w:r>
      <m:oMath>
        <m:sSup>
          <m:e>
            <m:r>
              <m:t>P</m:t>
            </m:r>
          </m:e>
          <m:sup>
            <m:r>
              <m:t>A</m:t>
            </m:r>
          </m:sup>
        </m:sSup>
        <m:r>
          <m:rPr>
            <m:sty m:val="p"/>
          </m:rPr>
          <m:t>(</m:t>
        </m:r>
        <m:r>
          <m:rPr>
            <m:sty m:val="p"/>
          </m:rPr>
          <m:t>≥</m:t>
        </m:r>
        <m:r>
          <m:t>1</m:t>
        </m:r>
        <m:r>
          <m:rPr>
            <m:sty m:val="p"/>
          </m:rPr>
          <m:t>)</m:t>
        </m:r>
        <m:r>
          <m:rPr>
            <m:sty m:val="p"/>
          </m:rPr>
          <m:t>≤</m:t>
        </m:r>
        <m:r>
          <m:t>0.43</m:t>
        </m:r>
      </m:oMath>
      <w:r>
        <w:t xml:space="preserve">), indicating that most imported dengue risk disperses into the general urban population rather than concentrating within a single co-national community. For malaria, Atlanta showed the highest</w:t>
      </w:r>
      <w:r>
        <w:t xml:space="preserve"> </w:t>
      </w:r>
      <m:oMath>
        <m:sSup>
          <m:e>
            <m:r>
              <m:t>P</m:t>
            </m:r>
          </m:e>
          <m:sup>
            <m:r>
              <m:t>A</m:t>
            </m:r>
          </m:sup>
        </m:sSup>
        <m:r>
          <m:rPr>
            <m:sty m:val="p"/>
          </m:rPr>
          <m:t>(</m:t>
        </m:r>
        <m:r>
          <m:rPr>
            <m:sty m:val="p"/>
          </m:rPr>
          <m:t>≥</m:t>
        </m:r>
        <m:r>
          <m:t>1</m:t>
        </m:r>
        <m:r>
          <m:rPr>
            <m:sty m:val="p"/>
          </m:rPr>
          <m:t>)</m:t>
        </m:r>
      </m:oMath>
      <w:r>
        <w:t xml:space="preserve"> </w:t>
      </w:r>
      <w:r>
        <w:t xml:space="preserve">(</w:t>
      </w:r>
      <m:oMath>
        <m:r>
          <m:t>0.23</m:t>
        </m:r>
      </m:oMath>
      <w:r>
        <w:t xml:space="preserve">), reflecting the high malaria importation intensity routed through Hartsfield-Jackson airport channeled into the city’s Nigerian diaspora (</w:t>
      </w:r>
      <m:oMath>
        <m:r>
          <m:t>κ</m:t>
        </m:r>
        <m:r>
          <m:rPr>
            <m:sty m:val="p"/>
          </m:rPr>
          <m:t>=</m:t>
        </m:r>
        <m:r>
          <m:t>0.031</m:t>
        </m:r>
      </m:oMath>
      <w:r>
        <w:t xml:space="preserve">).</w:t>
      </w:r>
    </w:p>
    <w:p>
      <w:pPr>
        <w:pStyle w:val="BodyText"/>
      </w:pPr>
      <w:r>
        <w:t xml:space="preserve">Panel B shows the Mechanism B secondary seeding index (</w:t>
      </w:r>
      <m:oMath>
        <m:sSup>
          <m:e>
            <m:r>
              <m:rPr>
                <m:sty m:val="p"/>
              </m:rPr>
              <m:t>Ω</m:t>
            </m:r>
          </m:e>
          <m:sup>
            <m:r>
              <m:t>B</m:t>
            </m:r>
          </m:sup>
        </m:sSup>
      </m:oMath>
      <w:r>
        <w:t xml:space="preserve">): the importation intensity at a match venue weighted by the diaspora concentration of the home metropolitan area to which fans return, evaluated across the 11 host cities and 15 major non-host metropolitan areas. For dengue, the seven highest-ranked hubs were all non-host cities with large Mexican diaspora populations — San Antonio (</w:t>
      </w:r>
      <m:oMath>
        <m:sSup>
          <m:e>
            <m:r>
              <m:rPr>
                <m:sty m:val="p"/>
              </m:rPr>
              <m:t>Ω</m:t>
            </m:r>
          </m:e>
          <m:sup>
            <m:r>
              <m:t>B</m:t>
            </m:r>
          </m:sup>
        </m:sSup>
        <m:r>
          <m:rPr>
            <m:sty m:val="p"/>
          </m:rPr>
          <m:t>=</m:t>
        </m:r>
        <m:r>
          <m:t>4.1</m:t>
        </m:r>
      </m:oMath>
      <w:r>
        <w:t xml:space="preserve">), Phoenix (</w:t>
      </w:r>
      <m:oMath>
        <m:r>
          <m:t>3.4</m:t>
        </m:r>
      </m:oMath>
      <w:r>
        <w:t xml:space="preserve">), San Diego, Denver, Chicago, Austin, and Las Vegas — each ranking above the leading host-city hub (Dallas,</w:t>
      </w:r>
      <w:r>
        <w:t xml:space="preserve"> </w:t>
      </w:r>
      <m:oMath>
        <m:r>
          <m:t>2.3</m:t>
        </m:r>
      </m:oMath>
      <w:r>
        <w:t xml:space="preserve">). For malaria, secondary seeding was more evenly divided between host cities (Houston, Dallas, Philadelphia, and Boston) and non-host cities (Washington, DC; Minneapolis; Austin; Charlotte; Detroit; and Chicago), reflecting their Nigerian and Indian diaspora communities (Supplementary Figure  S8). Results for all five diseases are provided in Supplementary Figure S5. The full Mechanism A diaspora probability (</w:t>
      </w:r>
      <m:oMath>
        <m:sSup>
          <m:e>
            <m:r>
              <m:t>P</m:t>
            </m:r>
          </m:e>
          <m:sup>
            <m:r>
              <m:t>A</m:t>
            </m:r>
          </m:sup>
        </m:sSup>
        <m:r>
          <m:rPr>
            <m:sty m:val="p"/>
          </m:rPr>
          <m:t>(</m:t>
        </m:r>
        <m:r>
          <m:rPr>
            <m:sty m:val="p"/>
          </m:rPr>
          <m:t>≥</m:t>
        </m:r>
        <m:r>
          <m:t>1</m:t>
        </m:r>
        <m:r>
          <m:rPr>
            <m:sty m:val="p"/>
          </m:rPr>
          <m:t>)</m:t>
        </m:r>
      </m:oMath>
      <w:r>
        <w:t xml:space="preserve">) across all five diseases and 11 host cities is provided in Supplementary Figure S7.</w:t>
      </w:r>
    </w:p>
    <w:bookmarkStart w:id="42" w:name="fig:diaspora"/>
    <w:p>
      <w:pPr>
        <w:pStyle w:val="CaptionedFigure"/>
      </w:pPr>
      <w:r>
        <w:drawing>
          <wp:inline>
            <wp:extent cx="5334000" cy="4103076"/>
            <wp:effectExtent b="0" l="0" r="0" t="0"/>
            <wp:docPr descr="" title="" id="40" name="Picture"/>
            <a:graphic>
              <a:graphicData uri="http://schemas.openxmlformats.org/drawingml/2006/picture">
                <pic:pic>
                  <pic:nvPicPr>
                    <pic:cNvPr descr="Figure5.png" id="41" name="Picture"/>
                    <pic:cNvPicPr>
                      <a:picLocks noChangeArrowheads="1" noChangeAspect="1"/>
                    </pic:cNvPicPr>
                  </pic:nvPicPr>
                  <pic:blipFill>
                    <a:blip r:embed="rId39"/>
                    <a:stretch>
                      <a:fillRect/>
                    </a:stretch>
                  </pic:blipFill>
                  <pic:spPr bwMode="auto">
                    <a:xfrm>
                      <a:off x="0" y="0"/>
                      <a:ext cx="5334000" cy="4103076"/>
                    </a:xfrm>
                    <a:prstGeom prst="rect">
                      <a:avLst/>
                    </a:prstGeom>
                    <a:noFill/>
                    <a:ln w="9525">
                      <a:noFill/>
                      <a:headEnd/>
                      <a:tailEnd/>
                    </a:ln>
                  </pic:spPr>
                </pic:pic>
              </a:graphicData>
            </a:graphic>
          </wp:inline>
        </w:drawing>
      </w:r>
    </w:p>
    <w:p>
      <w:pPr>
        <w:pStyle w:val="ImageCaption"/>
      </w:pPr>
      <w:r>
        <w:rPr>
          <w:b/>
          <w:bCs/>
        </w:rPr>
        <w:t xml:space="preserve">Figure 5.</w:t>
      </w:r>
      <w:r>
        <w:t xml:space="preserve"> </w:t>
      </w:r>
      <w:r>
        <w:rPr>
          <w:b/>
          <w:bCs/>
        </w:rPr>
        <w:t xml:space="preserve">Diaspora network seeding risk for dengue and malaria.</w:t>
      </w:r>
      <w:r>
        <w:t xml:space="preserve"> </w:t>
      </w:r>
      <w:r>
        <w:rPr>
          <w:b/>
          <w:bCs/>
        </w:rPr>
        <w:t xml:space="preserve">Panel A (Mechanism A):</w:t>
      </w:r>
      <w:r>
        <w:t xml:space="preserve"> </w:t>
      </w:r>
      <w:r>
        <w:t xml:space="preserve">probability that at least one imported case enters a co-national diaspora network at each host city,</w:t>
      </w:r>
      <w:r>
        <w:t xml:space="preserve"> </w:t>
      </w:r>
      <m:oMath>
        <m:sSup>
          <m:e>
            <m:r>
              <m:t>P</m:t>
            </m:r>
          </m:e>
          <m:sup>
            <m:r>
              <m:t>A</m:t>
            </m:r>
          </m:sup>
        </m:sSup>
        <m:r>
          <m:rPr>
            <m:sty m:val="p"/>
          </m:rPr>
          <m:t>(</m:t>
        </m:r>
        <m:r>
          <m:rPr>
            <m:sty m:val="p"/>
          </m:rPr>
          <m:t>≥</m:t>
        </m:r>
        <m:r>
          <m:t>1</m:t>
        </m:r>
        <m:sSub>
          <m:e>
            <m:r>
              <m:rPr>
                <m:sty m:val="p"/>
              </m:rPr>
              <m:t>)</m:t>
            </m:r>
          </m:e>
          <m:sub>
            <m:r>
              <m:t>v</m:t>
            </m:r>
            <m:r>
              <m:rPr>
                <m:sty m:val="p"/>
              </m:rPr>
              <m:t>,</m:t>
            </m:r>
            <m:r>
              <m:t>d</m:t>
            </m:r>
          </m:sub>
        </m:sSub>
      </m:oMath>
      <w:r>
        <w:t xml:space="preserve">.</w:t>
      </w:r>
      <w:r>
        <w:t xml:space="preserve"> </w:t>
      </w:r>
      <w:r>
        <w:rPr>
          <w:b/>
          <w:bCs/>
        </w:rPr>
        <w:t xml:space="preserve">Panel B (Mechanism B):</w:t>
      </w:r>
      <w:r>
        <w:t xml:space="preserve"> </w:t>
      </w:r>
      <w:r>
        <w:t xml:space="preserve">secondary seeding index</w:t>
      </w:r>
      <w:r>
        <w:t xml:space="preserve"> </w:t>
      </w:r>
      <m:oMath>
        <m:sSup>
          <m:e>
            <m:r>
              <m:rPr>
                <m:sty m:val="p"/>
              </m:rPr>
              <m:t>Ω</m:t>
            </m:r>
          </m:e>
          <m:sup>
            <m:r>
              <m:t>B</m:t>
            </m:r>
          </m:sup>
        </m:sSup>
      </m:oMath>
      <w:r>
        <w:t xml:space="preserve"> </w:t>
      </w:r>
      <w:r>
        <w:t xml:space="preserve">for the top 10 hub metropolitan areas per disease, colored by whether the hub is a World Cup host city or a non-host city. Hubs are the home cities to which fans return after attending matches.</w:t>
      </w:r>
    </w:p>
    <w:bookmarkEnd w:id="42"/>
    <w:bookmarkEnd w:id="43"/>
    <w:bookmarkEnd w:id="44"/>
    <w:bookmarkStart w:id="45" w:name="discussion"/>
    <w:p>
      <w:pPr>
        <w:pStyle w:val="Heading1"/>
      </w:pPr>
      <w:r>
        <w:t xml:space="preserve">Discussion</w:t>
      </w:r>
    </w:p>
    <w:p>
      <w:pPr>
        <w:pStyle w:val="FirstParagraph"/>
      </w:pPr>
      <w:r>
        <w:t xml:space="preserve">Dengue presents the highest importation risk across the 11 host cities. Miami, New York, and Houston each reach</w:t>
      </w:r>
      <w:r>
        <w:t xml:space="preserve"> </w:t>
      </w:r>
      <m:oMath>
        <m:r>
          <m:t>P</m:t>
        </m:r>
        <m:r>
          <m:rPr>
            <m:sty m:val="p"/>
          </m:rPr>
          <m:t>(</m:t>
        </m:r>
        <m:r>
          <m:rPr>
            <m:sty m:val="p"/>
          </m:rPr>
          <m:t>≥</m:t>
        </m:r>
        <m:r>
          <m:t>1</m:t>
        </m:r>
        <m:r>
          <m:rPr>
            <m:sty m:val="p"/>
          </m:rPr>
          <m:t>)</m:t>
        </m:r>
        <m:r>
          <m:rPr>
            <m:sty m:val="p"/>
          </m:rPr>
          <m:t>&gt;</m:t>
        </m:r>
        <m:r>
          <m:t>0.99</m:t>
        </m:r>
      </m:oMath>
      <w:r>
        <w:t xml:space="preserve"> </w:t>
      </w:r>
      <w:r>
        <w:t xml:space="preserve">under M3, driven by high June dengue burden in WC-qualified Latin American nations, large bilateral travel volumes, and a relatively wide infectious-but-travel-capable window (</w:t>
      </w:r>
      <m:oMath>
        <m:sSub>
          <m:e>
            <m:r>
              <m:t>p</m:t>
            </m:r>
          </m:e>
          <m:sub>
            <m:r>
              <m:t>d</m:t>
            </m:r>
          </m:sub>
        </m:sSub>
        <m:r>
          <m:rPr>
            <m:sty m:val="p"/>
          </m:rPr>
          <m:t>=</m:t>
        </m:r>
        <m:r>
          <m:t>0.30</m:t>
        </m:r>
      </m:oMath>
      <w:r>
        <w:t xml:space="preserve">–</w:t>
      </w:r>
      <m:oMath>
        <m:r>
          <m:t>0.70</m:t>
        </m:r>
      </m:oMath>
      <w:r>
        <w:t xml:space="preserve">). Dallas and Atlanta reach</w:t>
      </w:r>
      <w:r>
        <w:t xml:space="preserve"> </w:t>
      </w:r>
      <m:oMath>
        <m:r>
          <m:t>P</m:t>
        </m:r>
        <m:r>
          <m:rPr>
            <m:sty m:val="p"/>
          </m:rPr>
          <m:t>(</m:t>
        </m:r>
        <m:r>
          <m:rPr>
            <m:sty m:val="p"/>
          </m:rPr>
          <m:t>≥</m:t>
        </m:r>
        <m:r>
          <m:t>1</m:t>
        </m:r>
        <m:r>
          <m:rPr>
            <m:sty m:val="p"/>
          </m:rPr>
          <m:t>)</m:t>
        </m:r>
        <m:r>
          <m:rPr>
            <m:sty m:val="p"/>
          </m:rPr>
          <m:t>&gt;</m:t>
        </m:r>
        <m:r>
          <m:t>0.95</m:t>
        </m:r>
      </m:oMath>
      <w:r>
        <w:t xml:space="preserve">; the remaining venues fall substantially below that threshold. The 11-city dengue total carries a right-skewed uncertainty distribution (median 45.0, 95% CI 16.0–92.3), due to the reference under-reporting correction (</w:t>
      </w:r>
      <m:oMath>
        <m:sSub>
          <m:e>
            <m:r>
              <m:t>ρ</m:t>
            </m:r>
          </m:e>
          <m:sub>
            <m:r>
              <m:t>d</m:t>
            </m:r>
          </m:sub>
        </m:sSub>
        <m:r>
          <m:rPr>
            <m:sty m:val="p"/>
          </m:rPr>
          <m:t>=</m:t>
        </m:r>
        <m:r>
          <m:t>0.10</m:t>
        </m:r>
      </m:oMath>
      <w:r>
        <w:t xml:space="preserve">) sits near the lower end of the literature range (0.06–0.26), the upper bound of 92.3 is therefore a plausible outcome, and the median should be read as a conservative estimate.</w:t>
      </w:r>
    </w:p>
    <w:p>
      <w:pPr>
        <w:pStyle w:val="BodyText"/>
      </w:pPr>
      <w:r>
        <w:t xml:space="preserve">In 2024, 3,798 travel-associated dengue cases were reported in the US — a 359% increase over the historical average</w:t>
      </w:r>
      <w:r>
        <w:t xml:space="preserve"> </w:t>
      </w:r>
      <w:r>
        <w:t xml:space="preserve">(28)</w:t>
      </w:r>
      <w:r>
        <w:t xml:space="preserve"> </w:t>
      </w:r>
      <w:r>
        <w:t xml:space="preserve">— consistent with the high modeled baseline. Although 2025 incidence moderated, routine bilateral travel from endemic Latin American nations sustains this pre-existing risk; the World Cup surge adds a further 7–14% above baseline. M3 differs from M2 because fan travel for teams playing in Canada or Mexico is routed to those venues rather than distributed across US cities via T-100 fractions. For dengue, this reduces the 11-city M2 total (46.6) to the M3 estimate (45.0), a 3% downward adjustment that varies by venue depending on the match schedule. Preparedness resources calibrated to M3 are therefore directed to the cities where fan flows actually land.</w:t>
      </w:r>
    </w:p>
    <w:p>
      <w:pPr>
        <w:pStyle w:val="BodyText"/>
      </w:pPr>
      <w:r>
        <w:t xml:space="preserve">The most policy-relevant finding is that baseline travel accounts for 86–93% of total expected importations across all five diseases (Figure </w:t>
      </w:r>
      <w:hyperlink w:anchor="fig:excess">
        <w:r>
          <w:rPr>
            <w:rStyle w:val="Hyperlink"/>
          </w:rPr>
          <w:t xml:space="preserve">3</w:t>
        </w:r>
      </w:hyperlink>
      <w:r>
        <w:t xml:space="preserve">). The World Cup adds 7–14% above a risk that exists every June, tournament or not. Year-round monitoring of international travelers arriving at US airports from endemic regions is therefore indispensable; targeted tournament-period surveillance is a complement, not a substitute. The marginal contribution of the WC travel surge is real but modest relative to the structural baseline, and any risk assessment that excludes a pre-tournament counterfactual will overstate it.</w:t>
      </w:r>
    </w:p>
    <w:p>
      <w:pPr>
        <w:pStyle w:val="BodyText"/>
      </w:pPr>
      <w:r>
        <w:t xml:space="preserve">The diaspora extension asks whether an imported case enters a concentrated co-national social network or disperses into the general population, a distinction absent from standard importation models. This distinction is operationally important because co-national networks have higher contact rates for disease transmission, may face language and access barriers to healthcare, and are often the focus of World Cup watch-party gatherings that could amplify early transmission chains. The</w:t>
      </w:r>
      <w:r>
        <w:t xml:space="preserve"> </w:t>
      </w:r>
      <m:oMath>
        <m:sSup>
          <m:e>
            <m:r>
              <m:t>P</m:t>
            </m:r>
          </m:e>
          <m:sup>
            <m:r>
              <m:t>A</m:t>
            </m:r>
          </m:sup>
        </m:sSup>
        <m:r>
          <m:rPr>
            <m:sty m:val="p"/>
          </m:rPr>
          <m:t>(</m:t>
        </m:r>
        <m:r>
          <m:rPr>
            <m:sty m:val="p"/>
          </m:rPr>
          <m:t>≥</m:t>
        </m:r>
        <m:r>
          <m:t>1</m:t>
        </m:r>
        <m:r>
          <m:rPr>
            <m:sty m:val="p"/>
          </m:rPr>
          <m:t>)</m:t>
        </m:r>
      </m:oMath>
      <w:r>
        <w:t xml:space="preserve"> </w:t>
      </w:r>
      <w:r>
        <w:t xml:space="preserve">metric provides a directly actionable quantity for targeted community health outreach that complements city-level</w:t>
      </w:r>
      <w:r>
        <w:t xml:space="preserve"> </w:t>
      </w:r>
      <m:oMath>
        <m:r>
          <m:t>P</m:t>
        </m:r>
        <m:r>
          <m:rPr>
            <m:sty m:val="p"/>
          </m:rPr>
          <m:t>(</m:t>
        </m:r>
        <m:r>
          <m:rPr>
            <m:sty m:val="p"/>
          </m:rPr>
          <m:t>≥</m:t>
        </m:r>
        <m:r>
          <m:t>1</m:t>
        </m:r>
        <m:r>
          <m:rPr>
            <m:sty m:val="p"/>
          </m:rPr>
          <m:t>)</m:t>
        </m:r>
      </m:oMath>
      <w:r>
        <w:t xml:space="preserve"> </w:t>
      </w:r>
      <w:r>
        <w:t xml:space="preserve">monitoring.</w:t>
      </w:r>
    </w:p>
    <w:p>
      <w:pPr>
        <w:pStyle w:val="BodyText"/>
      </w:pPr>
      <w:r>
        <w:t xml:space="preserve">Our analysis has several limitations. First, Poisson assumes independence and equates mean with variance; correlated arrivals from coordinated group travel by fans from the same country introduce overdispersion, so variance is understated and uncertainty bounds are narrower than the true sampling distribution warrants. Second,</w:t>
      </w:r>
      <w:r>
        <w:t xml:space="preserve"> </w:t>
      </w:r>
      <m:oMath>
        <m:sSub>
          <m:e>
            <m:r>
              <m:t>ρ</m:t>
            </m:r>
          </m:e>
          <m:sub>
            <m:r>
              <m:t>d</m:t>
            </m:r>
          </m:sub>
        </m:sSub>
      </m:oMath>
      <w:r>
        <w:t xml:space="preserve"> </w:t>
      </w:r>
      <w:r>
        <w:t xml:space="preserve">corrects for under-reporting in source-country surveillance but does not model US detection rates; our</w:t>
      </w:r>
      <w:r>
        <w:t xml:space="preserve"> </w:t>
      </w:r>
      <m:oMath>
        <m:r>
          <m:rPr>
            <m:sty m:val="p"/>
          </m:rPr>
          <m:t>Λ</m:t>
        </m:r>
      </m:oMath>
      <w:r>
        <w:t xml:space="preserve"> </w:t>
      </w:r>
      <w:r>
        <w:t xml:space="preserve">estimates represent true infected arrivals, not detected US cases, so comparisons with CDC surveillance tallies require additional adjustment. Third,</w:t>
      </w:r>
      <w:r>
        <w:t xml:space="preserve"> </w:t>
      </w:r>
      <m:oMath>
        <m:sSub>
          <m:e>
            <m:r>
              <m:t>C</m:t>
            </m:r>
          </m:e>
          <m:sub>
            <m:r>
              <m:t>c</m:t>
            </m:r>
            <m:r>
              <m:rPr>
                <m:sty m:val="p"/>
              </m:rPr>
              <m:t>,</m:t>
            </m:r>
            <m:r>
              <m:t>d</m:t>
            </m:r>
          </m:sub>
        </m:sSub>
        <m:r>
          <m:rPr>
            <m:sty m:val="p"/>
          </m:rPr>
          <m:t>/</m:t>
        </m:r>
        <m:sSub>
          <m:e>
            <m:r>
              <m:t>P</m:t>
            </m:r>
          </m:e>
          <m:sub>
            <m:r>
              <m:t>c</m:t>
            </m:r>
          </m:sub>
        </m:sSub>
      </m:oMath>
      <w:r>
        <w:t xml:space="preserve"> </w:t>
      </w:r>
      <w:r>
        <w:t xml:space="preserve">uses total-population incidence without age stratification, which introduces directional biases that vary by disease; malaria risk from high-endemic sub-Saharan African settings is likely overestimated because pediatric cases dominate reported burden while adult travelers typically carry partial acquired immunity through repeated prior exposure, whereas for pertussis the bias is smaller because waning vaccine-induced immunity has progressively shifted burden toward the young-adult traveler demographic. Fourth, diaspora concentration</w:t>
      </w:r>
      <w:r>
        <w:t xml:space="preserve"> </w:t>
      </w:r>
      <m:oMath>
        <m:sSub>
          <m:e>
            <m:r>
              <m:t>κ</m:t>
            </m:r>
          </m:e>
          <m:sub>
            <m:r>
              <m:t>c</m:t>
            </m:r>
            <m:r>
              <m:rPr>
                <m:sty m:val="p"/>
              </m:rPr>
              <m:t>,</m:t>
            </m:r>
            <m:r>
              <m:t>v</m:t>
            </m:r>
          </m:sub>
        </m:sSub>
      </m:oMath>
      <w:r>
        <w:t xml:space="preserve"> </w:t>
      </w:r>
      <w:r>
        <w:t xml:space="preserve">is derived from ACS 2019–2023 data spanning the COVID-19 pandemic, which altered immigration patterns; values may not perfectly reflect the June 2026 population distribution. Fifth, the analysis covers only the 11 US host cities; Canadian and Mexican venues, which receive meaningful World Cup fan flows, are outside the primary scope. Sixth, the near-zero measles estimate reflects the model’s scope — it estimates independent seeding events, not outbreak chains; US measles case counts typically arise from a small number of imports followed by local transmission in undervaccinated communities, a process not captured by the Poisson framework. Seventh, the World Cup growth factors</w:t>
      </w:r>
      <w:r>
        <w:t xml:space="preserve"> </w:t>
      </w:r>
      <m:oMath>
        <m:sSub>
          <m:e>
            <m:r>
              <m:t>ϕ</m:t>
            </m:r>
          </m:e>
          <m:sub>
            <m:r>
              <m:t>c</m:t>
            </m:r>
          </m:sub>
        </m:sSub>
      </m:oMath>
      <w:r>
        <w:t xml:space="preserve"> </w:t>
      </w:r>
      <w:r>
        <w:t xml:space="preserve">are derived from NTTO point projections and treated as deterministic; uncertainty in fan-travel forecasts is not propagated into the reported intervals, so the true uncertainty bounds are likely wider than reported for M2 and M3 estimates. Finally, because</w:t>
      </w:r>
      <w:r>
        <w:t xml:space="preserve"> </w:t>
      </w:r>
      <m:oMath>
        <m:sSub>
          <m:e>
            <m:r>
              <m:t>p</m:t>
            </m:r>
          </m:e>
          <m:sub>
            <m:r>
              <m:t>d</m:t>
            </m:r>
          </m:sub>
        </m:sSub>
      </m:oMath>
      <w:r>
        <w:t xml:space="preserve"> </w:t>
      </w:r>
      <w:r>
        <w:t xml:space="preserve">enters multiplicatively it is a key driver of uncertainty; a one-parameter sensitivity analysis (Table S1) confirms that malaria and measles estimates are most sensitive to this parameter (fold-change up to 5.0</w:t>
      </w:r>
      <m:oMath>
        <m:r>
          <m:rPr>
            <m:sty m:val="p"/>
          </m:rPr>
          <m:t>×</m:t>
        </m:r>
      </m:oMath>
      <w:r>
        <w:t xml:space="preserve"> </w:t>
      </w:r>
      <w:r>
        <w:t xml:space="preserve">across the literature range), while pertussis is least sensitive (1.8</w:t>
      </w:r>
      <m:oMath>
        <m:r>
          <m:rPr>
            <m:sty m:val="p"/>
          </m:rPr>
          <m:t>×</m:t>
        </m:r>
      </m:oMath>
      <w:r>
        <w:t xml:space="preserve">); absolute importation counts at each</w:t>
      </w:r>
      <w:r>
        <w:t xml:space="preserve"> </w:t>
      </w:r>
      <m:oMath>
        <m:sSub>
          <m:e>
            <m:r>
              <m:t>p</m:t>
            </m:r>
          </m:e>
          <m:sub>
            <m:r>
              <m:t>d</m:t>
            </m:r>
          </m:sub>
        </m:sSub>
      </m:oMath>
      <w:r>
        <w:t xml:space="preserve"> </w:t>
      </w:r>
      <w:r>
        <w:t xml:space="preserve">level are provided in the analysis code repository.</w:t>
      </w:r>
    </w:p>
    <w:bookmarkEnd w:id="45"/>
    <w:bookmarkStart w:id="46" w:name="conclusions"/>
    <w:p>
      <w:pPr>
        <w:pStyle w:val="Heading1"/>
      </w:pPr>
      <w:r>
        <w:t xml:space="preserve">Conclusions</w:t>
      </w:r>
    </w:p>
    <w:p>
      <w:pPr>
        <w:pStyle w:val="FirstParagraph"/>
      </w:pPr>
      <w:r>
        <w:t xml:space="preserve">Dengue importation probability exceeds 0.99 in Miami, New York, and Houston, and exceeds 0.95 in Dallas and Atlanta; malaria is the dominant threat in Atlanta and New York, where</w:t>
      </w:r>
      <w:r>
        <w:t xml:space="preserve"> </w:t>
      </w:r>
      <m:oMath>
        <m:r>
          <m:t>P</m:t>
        </m:r>
        <m:r>
          <m:rPr>
            <m:sty m:val="p"/>
          </m:rPr>
          <m:t>(</m:t>
        </m:r>
        <m:r>
          <m:rPr>
            <m:sty m:val="p"/>
          </m:rPr>
          <m:t>≥</m:t>
        </m:r>
        <m:r>
          <m:t>1</m:t>
        </m:r>
        <m:r>
          <m:rPr>
            <m:sty m:val="p"/>
          </m:rPr>
          <m:t>)</m:t>
        </m:r>
      </m:oMath>
      <w:r>
        <w:t xml:space="preserve"> </w:t>
      </w:r>
      <w:r>
        <w:t xml:space="preserve">also exceeds 0.99. Baseline travel accounts for 86–93% of total expected importations across all diseases, confirming that the dominant risk exists year-round independently of the tournament; the World Cup travel surge contributes a real but modest 7–14% increment above that pre-existing burden. A two-tier surveillance strategy is warranted, combining increased city-level monitoring for dengue and malaria with targeted community outreach within co-national diaspora networks at Dallas, Houston, Los Angeles, and Miami, where</w:t>
      </w:r>
      <w:r>
        <w:t xml:space="preserve"> </w:t>
      </w:r>
      <m:oMath>
        <m:sSup>
          <m:e>
            <m:r>
              <m:t>P</m:t>
            </m:r>
          </m:e>
          <m:sup>
            <m:r>
              <m:t>A</m:t>
            </m:r>
          </m:sup>
        </m:sSup>
        <m:r>
          <m:rPr>
            <m:sty m:val="p"/>
          </m:rPr>
          <m:t>(</m:t>
        </m:r>
        <m:r>
          <m:rPr>
            <m:sty m:val="p"/>
          </m:rPr>
          <m:t>≥</m:t>
        </m:r>
        <m:r>
          <m:t>1</m:t>
        </m:r>
        <m:r>
          <m:rPr>
            <m:sty m:val="p"/>
          </m:rPr>
          <m:t>)</m:t>
        </m:r>
      </m:oMath>
      <w:r>
        <w:t xml:space="preserve"> </w:t>
      </w:r>
      <w:r>
        <w:t xml:space="preserve">reaches 0.43, 0.39, 0.35, and 0.26, respectively. The schedule-driven Poisson framework is directly reusable for future mega-events by substituting updated travel volumes and disease incidence data, and its reliance on publicly available inputs makes it a practical first-pass tool for public health agencies planning risk assessments for any large international gathering.</w:t>
      </w:r>
    </w:p>
    <w:bookmarkEnd w:id="46"/>
    <w:bookmarkStart w:id="48" w:name="data-availability"/>
    <w:p>
      <w:pPr>
        <w:pStyle w:val="Heading1"/>
      </w:pPr>
      <w:r>
        <w:t xml:space="preserve">Data availability</w:t>
      </w:r>
    </w:p>
    <w:p>
      <w:pPr>
        <w:pStyle w:val="FirstParagraph"/>
      </w:pPr>
      <w:r>
        <w:t xml:space="preserve">All disease data are publicly available from WHO repositories cited</w:t>
      </w:r>
      <w:r>
        <w:t xml:space="preserve"> </w:t>
      </w:r>
      <w:r>
        <w:t xml:space="preserve">below. BTS T-100 and COR/I-94 travel data are available from the</w:t>
      </w:r>
      <w:r>
        <w:t xml:space="preserve"> </w:t>
      </w:r>
      <w:r>
        <w:t xml:space="preserve">Bureau of Transportation Statistics and US Customs and Border</w:t>
      </w:r>
      <w:r>
        <w:t xml:space="preserve"> </w:t>
      </w:r>
      <w:r>
        <w:t xml:space="preserve">Protection respectively. Diaspora data were obtained from the</w:t>
      </w:r>
      <w:r>
        <w:t xml:space="preserve"> </w:t>
      </w:r>
      <w:r>
        <w:t xml:space="preserve">US Census Bureau ACS 5-year estimates (Table B05006).</w:t>
      </w:r>
      <w:r>
        <w:t xml:space="preserve"> </w:t>
      </w:r>
      <w:r>
        <w:t xml:space="preserve">Analysis code is available at</w:t>
      </w:r>
      <w:r>
        <w:t xml:space="preserve"> </w:t>
      </w:r>
      <w:hyperlink r:id="rId47">
        <w:r>
          <w:rPr>
            <w:rStyle w:val="Hyperlink"/>
          </w:rPr>
          <w:t xml:space="preserve">https://github.com/jdiestra1977/FIFA_worldCup_2026_risk</w:t>
        </w:r>
      </w:hyperlink>
      <w:r>
        <w:t xml:space="preserve">.</w:t>
      </w:r>
    </w:p>
    <w:bookmarkEnd w:id="48"/>
    <w:bookmarkStart w:id="49" w:name="conflict-of-interest"/>
    <w:p>
      <w:pPr>
        <w:pStyle w:val="Heading1"/>
      </w:pPr>
      <w:r>
        <w:t xml:space="preserve">Conflict of Interest</w:t>
      </w:r>
    </w:p>
    <w:p>
      <w:pPr>
        <w:pStyle w:val="FirstParagraph"/>
      </w:pPr>
      <w:r>
        <w:t xml:space="preserve">The author declares no conflict of interest.</w:t>
      </w:r>
    </w:p>
    <w:bookmarkEnd w:id="49"/>
    <w:bookmarkStart w:id="50" w:name="funding-source"/>
    <w:p>
      <w:pPr>
        <w:pStyle w:val="Heading1"/>
      </w:pPr>
      <w:r>
        <w:t xml:space="preserve">Funding Source</w:t>
      </w:r>
    </w:p>
    <w:p>
      <w:pPr>
        <w:pStyle w:val="FirstParagraph"/>
      </w:pPr>
      <w:r>
        <w:t xml:space="preserve">This research received no specific grant from any funding agency in the public, commercial, or not-for-profit sectors. J.L.H-D. acknowledges the support of the Department of Mathematics at Tarleton State University.</w:t>
      </w:r>
    </w:p>
    <w:bookmarkEnd w:id="50"/>
    <w:bookmarkStart w:id="51" w:name="ethical-approval"/>
    <w:p>
      <w:pPr>
        <w:pStyle w:val="Heading1"/>
      </w:pPr>
      <w:r>
        <w:t xml:space="preserve">Ethical Approval</w:t>
      </w:r>
    </w:p>
    <w:p>
      <w:pPr>
        <w:pStyle w:val="FirstParagraph"/>
      </w:pPr>
      <w:r>
        <w:t xml:space="preserve">This study did not involve human subjects, animal subjects, or the collection of primary or identifiable data. All data used were obtained from publicly available, de-identified, aggregate sources (WHO surveillance reports, US Customs and Border Protection I-94 statistics, Bureau of Transportation Statistics T-100 data, and US Census Bureau American Community Survey estimates). Ethical approval was therefore not required.</w:t>
      </w:r>
    </w:p>
    <w:bookmarkEnd w:id="51"/>
    <w:bookmarkStart w:id="159" w:name="references"/>
    <w:p>
      <w:pPr>
        <w:pStyle w:val="Heading1"/>
      </w:pPr>
      <w:r>
        <w:t xml:space="preserve">References</w:t>
      </w:r>
    </w:p>
    <w:bookmarkStart w:id="109" w:name="refs"/>
    <w:bookmarkStart w:id="53" w:name="ref-NTTO2025"/>
    <w:p>
      <w:pPr>
        <w:pStyle w:val="Bibliography"/>
      </w:pPr>
      <w:r>
        <w:t xml:space="preserve">1.</w:t>
      </w:r>
      <w:r>
        <w:t xml:space="preserve"> </w:t>
      </w:r>
      <w:r>
        <w:t xml:space="preserve">	</w:t>
      </w:r>
      <w:r>
        <w:t xml:space="preserve">National Travel and Tourism Office. International visitor forecast: 2025–2029.</w:t>
      </w:r>
      <w:r>
        <w:t xml:space="preserve"> </w:t>
      </w:r>
      <w:hyperlink r:id="rId52">
        <w:r>
          <w:rPr>
            <w:rStyle w:val="Hyperlink"/>
          </w:rPr>
          <w:t xml:space="preserve">https://www.trade.gov/travel-and-tourism-forecasts</w:t>
        </w:r>
      </w:hyperlink>
      <w:r>
        <w:t xml:space="preserve">; 2025.</w:t>
      </w:r>
      <w:r>
        <w:t xml:space="preserve"> </w:t>
      </w:r>
    </w:p>
    <w:bookmarkEnd w:id="53"/>
    <w:bookmarkStart w:id="55" w:name="ref-vanPanhuis2014"/>
    <w:p>
      <w:pPr>
        <w:pStyle w:val="Bibliography"/>
      </w:pPr>
      <w:r>
        <w:t xml:space="preserve">2.</w:t>
      </w:r>
      <w:r>
        <w:t xml:space="preserve"> </w:t>
      </w:r>
      <w:r>
        <w:t xml:space="preserve">	</w:t>
      </w:r>
      <w:r>
        <w:t xml:space="preserve">Panhuis WG van, Hyun S, Blaney K, Marques ETA Jr, Coelho GE, Siqueira JB Jr, et al. Risk of dengue for tourists and teams during the world cup 2014 in brazil. PLOS Neglected Tropical Diseases [Internet]. 2014 July;8(7):1–12. Available from:</w:t>
      </w:r>
      <w:r>
        <w:t xml:space="preserve"> </w:t>
      </w:r>
      <w:hyperlink r:id="rId54">
        <w:r>
          <w:rPr>
            <w:rStyle w:val="Hyperlink"/>
          </w:rPr>
          <w:t xml:space="preserve">https://doi.org/10.1371/journal.pntd.0003063</w:t>
        </w:r>
      </w:hyperlink>
    </w:p>
    <w:bookmarkEnd w:id="55"/>
    <w:bookmarkStart w:id="57" w:name="ref-Pshenichnaya2018"/>
    <w:p>
      <w:pPr>
        <w:pStyle w:val="Bibliography"/>
      </w:pPr>
      <w:r>
        <w:t xml:space="preserve">3.</w:t>
      </w:r>
      <w:r>
        <w:t xml:space="preserve"> </w:t>
      </w:r>
      <w:r>
        <w:t xml:space="preserve">	</w:t>
      </w:r>
      <w:r>
        <w:t xml:space="preserve">Pshenichnaya N, Petersen E, Patel D, Gautret P, Schlagenhauf P.</w:t>
      </w:r>
      <w:r>
        <w:t xml:space="preserve"> </w:t>
      </w:r>
      <w:hyperlink r:id="rId56">
        <w:r>
          <w:rPr>
            <w:rStyle w:val="Hyperlink"/>
          </w:rPr>
          <w:t xml:space="preserve">Football fever in</w:t>
        </w:r>
        <w:r>
          <w:rPr>
            <w:rStyle w:val="Hyperlink"/>
          </w:rPr>
          <w:t xml:space="preserve"> </w:t>
        </w:r>
        <w:r>
          <w:rPr>
            <w:rStyle w:val="Hyperlink"/>
          </w:rPr>
          <w:t xml:space="preserve">Russia</w:t>
        </w:r>
        <w:r>
          <w:rPr>
            <w:rStyle w:val="Hyperlink"/>
          </w:rPr>
          <w:t xml:space="preserve">: Infectious disease risks and the</w:t>
        </w:r>
        <w:r>
          <w:rPr>
            <w:rStyle w:val="Hyperlink"/>
          </w:rPr>
          <w:t xml:space="preserve"> </w:t>
        </w:r>
        <w:r>
          <w:rPr>
            <w:rStyle w:val="Hyperlink"/>
          </w:rPr>
          <w:t xml:space="preserve">FIFA World Cup 2018</w:t>
        </w:r>
      </w:hyperlink>
      <w:r>
        <w:t xml:space="preserve">. Travel Medicine and Infectious Disease. 2018;24:4–6.</w:t>
      </w:r>
      <w:r>
        <w:t xml:space="preserve"> </w:t>
      </w:r>
    </w:p>
    <w:bookmarkEnd w:id="57"/>
    <w:bookmarkStart w:id="59" w:name="ref-AlTawfiq2022"/>
    <w:p>
      <w:pPr>
        <w:pStyle w:val="Bibliography"/>
      </w:pPr>
      <w:r>
        <w:t xml:space="preserve">4.</w:t>
      </w:r>
      <w:r>
        <w:t xml:space="preserve"> </w:t>
      </w:r>
      <w:r>
        <w:t xml:space="preserve">	</w:t>
      </w:r>
      <w:r>
        <w:t xml:space="preserve">Al-Tawfiq JA, Gautret P, Schlagenhauf P.</w:t>
      </w:r>
      <w:r>
        <w:t xml:space="preserve"> </w:t>
      </w:r>
      <w:hyperlink r:id="rId58">
        <w:r>
          <w:rPr>
            <w:rStyle w:val="Hyperlink"/>
          </w:rPr>
          <w:t xml:space="preserve">Infection risks associated with the 2022</w:t>
        </w:r>
        <w:r>
          <w:rPr>
            <w:rStyle w:val="Hyperlink"/>
          </w:rPr>
          <w:t xml:space="preserve"> </w:t>
        </w:r>
        <w:r>
          <w:rPr>
            <w:rStyle w:val="Hyperlink"/>
          </w:rPr>
          <w:t xml:space="preserve">FIFA World Cup</w:t>
        </w:r>
        <w:r>
          <w:rPr>
            <w:rStyle w:val="Hyperlink"/>
          </w:rPr>
          <w:t xml:space="preserve"> </w:t>
        </w:r>
        <w:r>
          <w:rPr>
            <w:rStyle w:val="Hyperlink"/>
          </w:rPr>
          <w:t xml:space="preserve">in</w:t>
        </w:r>
        <w:r>
          <w:rPr>
            <w:rStyle w:val="Hyperlink"/>
          </w:rPr>
          <w:t xml:space="preserve"> </w:t>
        </w:r>
        <w:r>
          <w:rPr>
            <w:rStyle w:val="Hyperlink"/>
          </w:rPr>
          <w:t xml:space="preserve">Qatar</w:t>
        </w:r>
      </w:hyperlink>
      <w:r>
        <w:t xml:space="preserve">. New Microbes and New Infections. 2022;49–50:101055.</w:t>
      </w:r>
      <w:r>
        <w:t xml:space="preserve"> </w:t>
      </w:r>
    </w:p>
    <w:bookmarkEnd w:id="59"/>
    <w:bookmarkStart w:id="61" w:name="ref-Lessler2026"/>
    <w:p>
      <w:pPr>
        <w:pStyle w:val="Bibliography"/>
      </w:pPr>
      <w:r>
        <w:t xml:space="preserve">5.</w:t>
      </w:r>
      <w:r>
        <w:t xml:space="preserve"> </w:t>
      </w:r>
      <w:r>
        <w:t xml:space="preserve">	</w:t>
      </w:r>
      <w:r>
        <w:t xml:space="preserve">Lessler J, Smith CP, Das P, Sykes AL, Urbinati A, Geith K, et al. Why epidemic risk at the 2026 world cup may not be what you think. medRxiv [Internet]. 2026; Available from:</w:t>
      </w:r>
      <w:r>
        <w:t xml:space="preserve"> </w:t>
      </w:r>
      <w:hyperlink r:id="rId60">
        <w:r>
          <w:rPr>
            <w:rStyle w:val="Hyperlink"/>
          </w:rPr>
          <w:t xml:space="preserve">https://www.medrxiv.org/content/10.64898/2026.05.28.26354384</w:t>
        </w:r>
      </w:hyperlink>
    </w:p>
    <w:bookmarkEnd w:id="61"/>
    <w:bookmarkStart w:id="63" w:name="ref-Census2026WC"/>
    <w:p>
      <w:pPr>
        <w:pStyle w:val="Bibliography"/>
      </w:pPr>
      <w:r>
        <w:t xml:space="preserve">6.</w:t>
      </w:r>
      <w:r>
        <w:t xml:space="preserve"> </w:t>
      </w:r>
      <w:r>
        <w:t xml:space="preserve">	</w:t>
      </w:r>
      <w:r>
        <w:t xml:space="preserve">U.S. Census Bureau. World cup 2026: Foreign-born populations in host cities.</w:t>
      </w:r>
      <w:r>
        <w:t xml:space="preserve"> </w:t>
      </w:r>
      <w:hyperlink r:id="rId62">
        <w:r>
          <w:rPr>
            <w:rStyle w:val="Hyperlink"/>
          </w:rPr>
          <w:t xml:space="preserve">https://www.census.gov/library/stories/2026/06/2026-world-cup.html</w:t>
        </w:r>
      </w:hyperlink>
      <w:r>
        <w:t xml:space="preserve">; 2026.</w:t>
      </w:r>
      <w:r>
        <w:t xml:space="preserve"> </w:t>
      </w:r>
    </w:p>
    <w:bookmarkEnd w:id="63"/>
    <w:bookmarkStart w:id="65" w:name="ref-tidycensus"/>
    <w:p>
      <w:pPr>
        <w:pStyle w:val="Bibliography"/>
      </w:pPr>
      <w:r>
        <w:t xml:space="preserve">7.</w:t>
      </w:r>
      <w:r>
        <w:t xml:space="preserve"> </w:t>
      </w:r>
      <w:r>
        <w:t xml:space="preserve">	</w:t>
      </w:r>
      <w:r>
        <w:t xml:space="preserve">Walker K, Herman M. Tidycensus: Load</w:t>
      </w:r>
      <w:r>
        <w:t xml:space="preserve"> </w:t>
      </w:r>
      <w:r>
        <w:t xml:space="preserve">US</w:t>
      </w:r>
      <w:r>
        <w:t xml:space="preserve"> </w:t>
      </w:r>
      <w:r>
        <w:t xml:space="preserve">census boundary and attribute data as</w:t>
      </w:r>
      <w:r>
        <w:t xml:space="preserve"> </w:t>
      </w:r>
      <w:r>
        <w:t xml:space="preserve">“tidyverse”</w:t>
      </w:r>
      <w:r>
        <w:t xml:space="preserve"> </w:t>
      </w:r>
      <w:r>
        <w:t xml:space="preserve">and</w:t>
      </w:r>
      <w:r>
        <w:t xml:space="preserve"> </w:t>
      </w:r>
      <w:r>
        <w:t xml:space="preserve">“sf”</w:t>
      </w:r>
      <w:r>
        <w:t xml:space="preserve">-ready data frames [Internet]. 2024. Available from:</w:t>
      </w:r>
      <w:r>
        <w:t xml:space="preserve"> </w:t>
      </w:r>
      <w:hyperlink r:id="rId64">
        <w:r>
          <w:rPr>
            <w:rStyle w:val="Hyperlink"/>
          </w:rPr>
          <w:t xml:space="preserve">https://CRAN.R-project.org/package=tidycensus</w:t>
        </w:r>
      </w:hyperlink>
    </w:p>
    <w:bookmarkEnd w:id="65"/>
    <w:bookmarkStart w:id="67" w:name="ref-CBP_I94"/>
    <w:p>
      <w:pPr>
        <w:pStyle w:val="Bibliography"/>
      </w:pPr>
      <w:r>
        <w:t xml:space="preserve">8.</w:t>
      </w:r>
      <w:r>
        <w:t xml:space="preserve"> </w:t>
      </w:r>
      <w:r>
        <w:t xml:space="preserve">	</w:t>
      </w:r>
      <w:r>
        <w:t xml:space="preserve">US Customs and Border Protection. Monthly arrivals by country of residence (</w:t>
      </w:r>
      <w:r>
        <w:t xml:space="preserve">I-94</w:t>
      </w:r>
      <w:r>
        <w:t xml:space="preserve"> </w:t>
      </w:r>
      <w:r>
        <w:t xml:space="preserve">data).</w:t>
      </w:r>
      <w:r>
        <w:t xml:space="preserve"> </w:t>
      </w:r>
      <w:hyperlink r:id="rId66">
        <w:r>
          <w:rPr>
            <w:rStyle w:val="Hyperlink"/>
          </w:rPr>
          <w:t xml:space="preserve">https://travel.trade.gov</w:t>
        </w:r>
      </w:hyperlink>
      <w:r>
        <w:t xml:space="preserve">; 2026.</w:t>
      </w:r>
      <w:r>
        <w:t xml:space="preserve"> </w:t>
      </w:r>
    </w:p>
    <w:bookmarkEnd w:id="67"/>
    <w:bookmarkStart w:id="69" w:name="ref-BTS_T100"/>
    <w:p>
      <w:pPr>
        <w:pStyle w:val="Bibliography"/>
      </w:pPr>
      <w:r>
        <w:t xml:space="preserve">9.</w:t>
      </w:r>
      <w:r>
        <w:t xml:space="preserve"> </w:t>
      </w:r>
      <w:r>
        <w:t xml:space="preserve">	</w:t>
      </w:r>
      <w:r>
        <w:t xml:space="preserve">Bureau of Transportation Statistics.</w:t>
      </w:r>
      <w:r>
        <w:t xml:space="preserve"> </w:t>
      </w:r>
      <w:r>
        <w:t xml:space="preserve">T-100</w:t>
      </w:r>
      <w:r>
        <w:t xml:space="preserve"> </w:t>
      </w:r>
      <w:r>
        <w:t xml:space="preserve">international segment (all carriers) — form 41 traffic data.</w:t>
      </w:r>
      <w:r>
        <w:t xml:space="preserve"> </w:t>
      </w:r>
      <w:hyperlink r:id="rId68">
        <w:r>
          <w:rPr>
            <w:rStyle w:val="Hyperlink"/>
          </w:rPr>
          <w:t xml:space="preserve">https://www.transtats.bts.gov/DL_SelectFields.aspx?gnoyr_VQ=FJE</w:t>
        </w:r>
      </w:hyperlink>
      <w:r>
        <w:t xml:space="preserve">; 2026.</w:t>
      </w:r>
      <w:r>
        <w:t xml:space="preserve"> </w:t>
      </w:r>
    </w:p>
    <w:bookmarkEnd w:id="69"/>
    <w:bookmarkStart w:id="71" w:name="ref-Worldometers2026pop"/>
    <w:p>
      <w:pPr>
        <w:pStyle w:val="Bibliography"/>
      </w:pPr>
      <w:r>
        <w:t xml:space="preserve">10.</w:t>
      </w:r>
      <w:r>
        <w:t xml:space="preserve"> </w:t>
      </w:r>
      <w:r>
        <w:t xml:space="preserve">	</w:t>
      </w:r>
      <w:r>
        <w:t xml:space="preserve">Worldometers. Population by country (2026).</w:t>
      </w:r>
      <w:r>
        <w:t xml:space="preserve"> </w:t>
      </w:r>
      <w:hyperlink r:id="rId70">
        <w:r>
          <w:rPr>
            <w:rStyle w:val="Hyperlink"/>
          </w:rPr>
          <w:t xml:space="preserve">https://www.worldometers.info/world-population/population-by-country/</w:t>
        </w:r>
      </w:hyperlink>
      <w:r>
        <w:t xml:space="preserve">; 2026.</w:t>
      </w:r>
      <w:r>
        <w:t xml:space="preserve"> </w:t>
      </w:r>
    </w:p>
    <w:bookmarkEnd w:id="71"/>
    <w:bookmarkStart w:id="73" w:name="ref-WHO_dengue"/>
    <w:p>
      <w:pPr>
        <w:pStyle w:val="Bibliography"/>
      </w:pPr>
      <w:r>
        <w:t xml:space="preserve">11.</w:t>
      </w:r>
      <w:r>
        <w:t xml:space="preserve"> </w:t>
      </w:r>
      <w:r>
        <w:t xml:space="preserve">	</w:t>
      </w:r>
      <w:r>
        <w:t xml:space="preserve">World Health Organization. Global dengue surveillance dataset.</w:t>
      </w:r>
      <w:r>
        <w:t xml:space="preserve"> </w:t>
      </w:r>
      <w:hyperlink r:id="rId72">
        <w:r>
          <w:rPr>
            <w:rStyle w:val="Hyperlink"/>
          </w:rPr>
          <w:t xml:space="preserve">https://www.who.int/data/gho</w:t>
        </w:r>
      </w:hyperlink>
      <w:r>
        <w:t xml:space="preserve">; 2025.</w:t>
      </w:r>
      <w:r>
        <w:t xml:space="preserve"> </w:t>
      </w:r>
    </w:p>
    <w:bookmarkEnd w:id="73"/>
    <w:bookmarkStart w:id="75" w:name="ref-whoWMR2024"/>
    <w:p>
      <w:pPr>
        <w:pStyle w:val="Bibliography"/>
      </w:pPr>
      <w:r>
        <w:t xml:space="preserve">12.</w:t>
      </w:r>
      <w:r>
        <w:t xml:space="preserve"> </w:t>
      </w:r>
      <w:r>
        <w:t xml:space="preserve">	</w:t>
      </w:r>
      <w:r>
        <w:t xml:space="preserve">World Health Organization. World malaria report 2024.</w:t>
      </w:r>
      <w:r>
        <w:t xml:space="preserve"> </w:t>
      </w:r>
      <w:hyperlink r:id="rId74">
        <w:r>
          <w:rPr>
            <w:rStyle w:val="Hyperlink"/>
          </w:rPr>
          <w:t xml:space="preserve">https://www.who.int/teams/global-malaria-programme/reports/world-malaria-report-2024</w:t>
        </w:r>
      </w:hyperlink>
      <w:r>
        <w:t xml:space="preserve">; 2024.</w:t>
      </w:r>
      <w:r>
        <w:t xml:space="preserve"> </w:t>
      </w:r>
    </w:p>
    <w:bookmarkEnd w:id="75"/>
    <w:bookmarkStart w:id="77" w:name="ref-WHO_immunization"/>
    <w:p>
      <w:pPr>
        <w:pStyle w:val="Bibliography"/>
      </w:pPr>
      <w:r>
        <w:t xml:space="preserve">13.</w:t>
      </w:r>
      <w:r>
        <w:t xml:space="preserve"> </w:t>
      </w:r>
      <w:r>
        <w:t xml:space="preserve">	</w:t>
      </w:r>
      <w:r>
        <w:t xml:space="preserve">World Health Organization. Immunization data: Reported cases and incidence.</w:t>
      </w:r>
      <w:r>
        <w:t xml:space="preserve"> </w:t>
      </w:r>
      <w:hyperlink r:id="rId76">
        <w:r>
          <w:rPr>
            <w:rStyle w:val="Hyperlink"/>
          </w:rPr>
          <w:t xml:space="preserve">https://immunizationdata.who.int</w:t>
        </w:r>
      </w:hyperlink>
      <w:r>
        <w:t xml:space="preserve">; 2025.</w:t>
      </w:r>
      <w:r>
        <w:t xml:space="preserve"> </w:t>
      </w:r>
    </w:p>
    <w:bookmarkEnd w:id="77"/>
    <w:bookmarkStart w:id="79" w:name="ref-Bhatt2013"/>
    <w:p>
      <w:pPr>
        <w:pStyle w:val="Bibliography"/>
      </w:pPr>
      <w:r>
        <w:t xml:space="preserve">14.</w:t>
      </w:r>
      <w:r>
        <w:t xml:space="preserve"> </w:t>
      </w:r>
      <w:r>
        <w:t xml:space="preserve">	</w:t>
      </w:r>
      <w:r>
        <w:t xml:space="preserve">Bhatt S, Gething PW, Brady OJ, Messina JP, Farlow AW, Moyes CL, et al. The global distribution and burden of dengue. Nature [Internet]. 2013;496(7446):504–7. Available from:</w:t>
      </w:r>
      <w:r>
        <w:t xml:space="preserve"> </w:t>
      </w:r>
      <w:hyperlink r:id="rId78">
        <w:r>
          <w:rPr>
            <w:rStyle w:val="Hyperlink"/>
          </w:rPr>
          <w:t xml:space="preserve">https://doi.org/10.1038/nature12060</w:t>
        </w:r>
      </w:hyperlink>
    </w:p>
    <w:bookmarkEnd w:id="79"/>
    <w:bookmarkStart w:id="81" w:name="ref-undurraga2013"/>
    <w:p>
      <w:pPr>
        <w:pStyle w:val="Bibliography"/>
      </w:pPr>
      <w:r>
        <w:t xml:space="preserve">15.</w:t>
      </w:r>
      <w:r>
        <w:t xml:space="preserve"> </w:t>
      </w:r>
      <w:r>
        <w:t xml:space="preserve">	</w:t>
      </w:r>
      <w:r>
        <w:t xml:space="preserve">Undurraga EA, Halasa YA, Shepard DS.</w:t>
      </w:r>
      <w:r>
        <w:t xml:space="preserve"> </w:t>
      </w:r>
      <w:hyperlink r:id="rId80">
        <w:r>
          <w:rPr>
            <w:rStyle w:val="Hyperlink"/>
          </w:rPr>
          <w:t xml:space="preserve">Use of expansion factors to estimate the burden of dengue in</w:t>
        </w:r>
        <w:r>
          <w:rPr>
            <w:rStyle w:val="Hyperlink"/>
          </w:rPr>
          <w:t xml:space="preserve"> </w:t>
        </w:r>
        <w:r>
          <w:rPr>
            <w:rStyle w:val="Hyperlink"/>
          </w:rPr>
          <w:t xml:space="preserve">Southeast Asia</w:t>
        </w:r>
        <w:r>
          <w:rPr>
            <w:rStyle w:val="Hyperlink"/>
          </w:rPr>
          <w:t xml:space="preserve">: A systematic analysis</w:t>
        </w:r>
      </w:hyperlink>
      <w:r>
        <w:t xml:space="preserve">. PLOS Neglected Tropical Diseases. 2013;7(2):e2056.</w:t>
      </w:r>
      <w:r>
        <w:t xml:space="preserve"> </w:t>
      </w:r>
    </w:p>
    <w:bookmarkEnd w:id="81"/>
    <w:bookmarkStart w:id="83" w:name="ref-lindblade2013"/>
    <w:p>
      <w:pPr>
        <w:pStyle w:val="Bibliography"/>
      </w:pPr>
      <w:r>
        <w:t xml:space="preserve">16.</w:t>
      </w:r>
      <w:r>
        <w:t xml:space="preserve"> </w:t>
      </w:r>
      <w:r>
        <w:t xml:space="preserve">	</w:t>
      </w:r>
      <w:r>
        <w:t xml:space="preserve">Lindblade KA, Steinhardt L, Samuels A, Kachur SP, Slutsker L.</w:t>
      </w:r>
      <w:r>
        <w:t xml:space="preserve"> </w:t>
      </w:r>
      <w:hyperlink r:id="rId82">
        <w:r>
          <w:rPr>
            <w:rStyle w:val="Hyperlink"/>
          </w:rPr>
          <w:t xml:space="preserve">The silent threat: Asymptomatic parasitemia and malaria transmission</w:t>
        </w:r>
      </w:hyperlink>
      <w:r>
        <w:t xml:space="preserve">. Expert Review of Anti-Infective Therapy. 2013;11(6):623–39.</w:t>
      </w:r>
      <w:r>
        <w:t xml:space="preserve"> </w:t>
      </w:r>
    </w:p>
    <w:bookmarkEnd w:id="83"/>
    <w:bookmarkStart w:id="85" w:name="ref-topazian2020"/>
    <w:p>
      <w:pPr>
        <w:pStyle w:val="Bibliography"/>
      </w:pPr>
      <w:r>
        <w:t xml:space="preserve">17.</w:t>
      </w:r>
      <w:r>
        <w:t xml:space="preserve"> </w:t>
      </w:r>
      <w:r>
        <w:t xml:space="preserve">	</w:t>
      </w:r>
      <w:r>
        <w:t xml:space="preserve">Topazian HM, Gumbo A, Puerto-Meredith S, et al.</w:t>
      </w:r>
      <w:r>
        <w:t xml:space="preserve"> </w:t>
      </w:r>
      <w:hyperlink r:id="rId84">
        <w:r>
          <w:rPr>
            <w:rStyle w:val="Hyperlink"/>
          </w:rPr>
          <w:t xml:space="preserve">Asymptomatic</w:t>
        </w:r>
        <w:r>
          <w:rPr>
            <w:rStyle w:val="Hyperlink"/>
          </w:rPr>
          <w:t xml:space="preserve"> </w:t>
        </w:r>
        <w:r>
          <w:rPr>
            <w:rStyle w:val="Hyperlink"/>
            <w:i/>
            <w:iCs/>
          </w:rPr>
          <w:t xml:space="preserve">plasmodium falciparum</w:t>
        </w:r>
        <w:r>
          <w:rPr>
            <w:rStyle w:val="Hyperlink"/>
          </w:rPr>
          <w:t xml:space="preserve"> </w:t>
        </w:r>
        <w:r>
          <w:rPr>
            <w:rStyle w:val="Hyperlink"/>
          </w:rPr>
          <w:t xml:space="preserve">malaria prevalence among adolescents and adults in</w:t>
        </w:r>
        <w:r>
          <w:rPr>
            <w:rStyle w:val="Hyperlink"/>
          </w:rPr>
          <w:t xml:space="preserve"> </w:t>
        </w:r>
        <w:r>
          <w:rPr>
            <w:rStyle w:val="Hyperlink"/>
          </w:rPr>
          <w:t xml:space="preserve">Malawi</w:t>
        </w:r>
        <w:r>
          <w:rPr>
            <w:rStyle w:val="Hyperlink"/>
          </w:rPr>
          <w:t xml:space="preserve">, 2015–2016</w:t>
        </w:r>
      </w:hyperlink>
      <w:r>
        <w:t xml:space="preserve">. Scientific Reports. 2020;10:18740.</w:t>
      </w:r>
      <w:r>
        <w:t xml:space="preserve"> </w:t>
      </w:r>
    </w:p>
    <w:bookmarkEnd w:id="85"/>
    <w:bookmarkStart w:id="87" w:name="ref-simons2012"/>
    <w:p>
      <w:pPr>
        <w:pStyle w:val="Bibliography"/>
      </w:pPr>
      <w:r>
        <w:t xml:space="preserve">18.</w:t>
      </w:r>
      <w:r>
        <w:t xml:space="preserve"> </w:t>
      </w:r>
      <w:r>
        <w:t xml:space="preserve">	</w:t>
      </w:r>
      <w:r>
        <w:t xml:space="preserve">Simons E, Ferrari M, Fricks J, et al.</w:t>
      </w:r>
      <w:r>
        <w:t xml:space="preserve"> </w:t>
      </w:r>
      <w:hyperlink r:id="rId86">
        <w:r>
          <w:rPr>
            <w:rStyle w:val="Hyperlink"/>
          </w:rPr>
          <w:t xml:space="preserve">Assessment of the 2010 global measles mortality reduction goal: Results from a model of surveillance data</w:t>
        </w:r>
      </w:hyperlink>
      <w:r>
        <w:t xml:space="preserve">. The Lancet. 2012;379(9832):2173–8.</w:t>
      </w:r>
      <w:r>
        <w:t xml:space="preserve"> </w:t>
      </w:r>
    </w:p>
    <w:bookmarkEnd w:id="87"/>
    <w:bookmarkStart w:id="89" w:name="ref-whittle1999"/>
    <w:p>
      <w:pPr>
        <w:pStyle w:val="Bibliography"/>
      </w:pPr>
      <w:r>
        <w:t xml:space="preserve">19.</w:t>
      </w:r>
      <w:r>
        <w:t xml:space="preserve"> </w:t>
      </w:r>
      <w:r>
        <w:t xml:space="preserve">	</w:t>
      </w:r>
      <w:r>
        <w:t xml:space="preserve">Whittle HC, Aaby P, Samb B, Jensen H, Bennett J, Simondon F.</w:t>
      </w:r>
      <w:r>
        <w:t xml:space="preserve"> </w:t>
      </w:r>
      <w:hyperlink r:id="rId88">
        <w:r>
          <w:rPr>
            <w:rStyle w:val="Hyperlink"/>
          </w:rPr>
          <w:t xml:space="preserve">Effect of subclinical infection on maintaining immunity against measles in vaccinated children in</w:t>
        </w:r>
        <w:r>
          <w:rPr>
            <w:rStyle w:val="Hyperlink"/>
          </w:rPr>
          <w:t xml:space="preserve"> </w:t>
        </w:r>
        <w:r>
          <w:rPr>
            <w:rStyle w:val="Hyperlink"/>
          </w:rPr>
          <w:t xml:space="preserve">West Africa</w:t>
        </w:r>
      </w:hyperlink>
      <w:r>
        <w:t xml:space="preserve">. The Lancet. 1999;353(9147):98–102.</w:t>
      </w:r>
      <w:r>
        <w:t xml:space="preserve"> </w:t>
      </w:r>
    </w:p>
    <w:bookmarkEnd w:id="89"/>
    <w:bookmarkStart w:id="91" w:name="ref-helfand1998"/>
    <w:p>
      <w:pPr>
        <w:pStyle w:val="Bibliography"/>
      </w:pPr>
      <w:r>
        <w:t xml:space="preserve">20.</w:t>
      </w:r>
      <w:r>
        <w:t xml:space="preserve"> </w:t>
      </w:r>
      <w:r>
        <w:t xml:space="preserve">	</w:t>
      </w:r>
      <w:r>
        <w:t xml:space="preserve">Helfand RF, Kim DK, Gary HE, et al.</w:t>
      </w:r>
      <w:r>
        <w:t xml:space="preserve"> </w:t>
      </w:r>
      <w:hyperlink r:id="rId90">
        <w:r>
          <w:rPr>
            <w:rStyle w:val="Hyperlink"/>
          </w:rPr>
          <w:t xml:space="preserve">Nonclassic measles infections in an immune population exposed to measles during a college bus trip</w:t>
        </w:r>
      </w:hyperlink>
      <w:r>
        <w:t xml:space="preserve">. Journal of Medical Virology. 1998;56(4):337–41.</w:t>
      </w:r>
      <w:r>
        <w:t xml:space="preserve"> </w:t>
      </w:r>
    </w:p>
    <w:bookmarkEnd w:id="91"/>
    <w:bookmarkStart w:id="93" w:name="ref-chen2016"/>
    <w:p>
      <w:pPr>
        <w:pStyle w:val="Bibliography"/>
      </w:pPr>
      <w:r>
        <w:t xml:space="preserve">21.</w:t>
      </w:r>
      <w:r>
        <w:t xml:space="preserve"> </w:t>
      </w:r>
      <w:r>
        <w:t xml:space="preserve">	</w:t>
      </w:r>
      <w:r>
        <w:t xml:space="preserve">Chen D, Balderston McGuiness C, Krishnarajah G, et al.</w:t>
      </w:r>
      <w:r>
        <w:t xml:space="preserve"> </w:t>
      </w:r>
      <w:hyperlink r:id="rId92">
        <w:r>
          <w:rPr>
            <w:rStyle w:val="Hyperlink"/>
          </w:rPr>
          <w:t xml:space="preserve">Estimated incidence of pertussis in people aged</w:t>
        </w:r>
        <w:r>
          <w:rPr>
            <w:rStyle w:val="Hyperlink"/>
          </w:rPr>
          <w:t xml:space="preserve"> </w:t>
        </w:r>
        <m:oMath>
          <m:r>
            <m:rPr>
              <m:sty m:val="p"/>
            </m:rPr>
            <m:t>&lt;</m:t>
          </m:r>
        </m:oMath>
        <w:r>
          <w:rPr>
            <w:rStyle w:val="Hyperlink"/>
          </w:rPr>
          <w:t xml:space="preserve">50 years in the</w:t>
        </w:r>
        <w:r>
          <w:rPr>
            <w:rStyle w:val="Hyperlink"/>
          </w:rPr>
          <w:t xml:space="preserve"> </w:t>
        </w:r>
        <w:r>
          <w:rPr>
            <w:rStyle w:val="Hyperlink"/>
          </w:rPr>
          <w:t xml:space="preserve">United States</w:t>
        </w:r>
      </w:hyperlink>
      <w:r>
        <w:t xml:space="preserve">. Human Vaccines &amp; Immunotherapeutics. 2016;12(10):2536–45.</w:t>
      </w:r>
      <w:r>
        <w:t xml:space="preserve"> </w:t>
      </w:r>
    </w:p>
    <w:bookmarkEnd w:id="93"/>
    <w:bookmarkStart w:id="95" w:name="ref-craig2020"/>
    <w:p>
      <w:pPr>
        <w:pStyle w:val="Bibliography"/>
      </w:pPr>
      <w:r>
        <w:t xml:space="preserve">22.</w:t>
      </w:r>
      <w:r>
        <w:t xml:space="preserve"> </w:t>
      </w:r>
      <w:r>
        <w:t xml:space="preserve">	</w:t>
      </w:r>
      <w:r>
        <w:t xml:space="preserve">Craig R, Kunkel E, Crowcroft NS, et al.</w:t>
      </w:r>
      <w:r>
        <w:t xml:space="preserve"> </w:t>
      </w:r>
      <w:hyperlink r:id="rId94">
        <w:r>
          <w:rPr>
            <w:rStyle w:val="Hyperlink"/>
          </w:rPr>
          <w:t xml:space="preserve">Asymptomatic infection and transmission of pertussis in households: A systematic review</w:t>
        </w:r>
      </w:hyperlink>
      <w:r>
        <w:t xml:space="preserve">. Clinical Infectious Diseases. 2020;70(1):152–61.</w:t>
      </w:r>
      <w:r>
        <w:t xml:space="preserve"> </w:t>
      </w:r>
    </w:p>
    <w:bookmarkEnd w:id="95"/>
    <w:bookmarkStart w:id="97" w:name="ref-althouse2015"/>
    <w:p>
      <w:pPr>
        <w:pStyle w:val="Bibliography"/>
      </w:pPr>
      <w:r>
        <w:t xml:space="preserve">23.</w:t>
      </w:r>
      <w:r>
        <w:t xml:space="preserve"> </w:t>
      </w:r>
      <w:r>
        <w:t xml:space="preserve">	</w:t>
      </w:r>
      <w:r>
        <w:t xml:space="preserve">Althouse BM, Scarpino SV.</w:t>
      </w:r>
      <w:r>
        <w:t xml:space="preserve"> </w:t>
      </w:r>
      <w:hyperlink r:id="rId96">
        <w:r>
          <w:rPr>
            <w:rStyle w:val="Hyperlink"/>
          </w:rPr>
          <w:t xml:space="preserve">Asymptomatic transmission and the resurgence of</w:t>
        </w:r>
        <w:r>
          <w:rPr>
            <w:rStyle w:val="Hyperlink"/>
          </w:rPr>
          <w:t xml:space="preserve"> </w:t>
        </w:r>
        <w:r>
          <w:rPr>
            <w:rStyle w:val="Hyperlink"/>
            <w:i/>
            <w:iCs/>
          </w:rPr>
          <w:t xml:space="preserve">bordetella pertussis</w:t>
        </w:r>
      </w:hyperlink>
      <w:r>
        <w:t xml:space="preserve">. BMC Medicine. 2015;13:146.</w:t>
      </w:r>
      <w:r>
        <w:t xml:space="preserve"> </w:t>
      </w:r>
    </w:p>
    <w:bookmarkEnd w:id="97"/>
    <w:bookmarkStart w:id="99" w:name="ref-mccarthy2020"/>
    <w:p>
      <w:pPr>
        <w:pStyle w:val="Bibliography"/>
      </w:pPr>
      <w:r>
        <w:t xml:space="preserve">24.</w:t>
      </w:r>
      <w:r>
        <w:t xml:space="preserve"> </w:t>
      </w:r>
      <w:r>
        <w:t xml:space="preserve">	</w:t>
      </w:r>
      <w:r>
        <w:t xml:space="preserve">McCarthy Z, Athar S, Alavinejad M, et al.</w:t>
      </w:r>
      <w:r>
        <w:t xml:space="preserve"> </w:t>
      </w:r>
      <w:hyperlink r:id="rId98">
        <w:r>
          <w:rPr>
            <w:rStyle w:val="Hyperlink"/>
          </w:rPr>
          <w:t xml:space="preserve">Quantifying the annual incidence and underestimation of seasonal influenza: A modelling approach</w:t>
        </w:r>
      </w:hyperlink>
      <w:r>
        <w:t xml:space="preserve">. Theoretical Biology and Medical Modelling. 2020;17:11.</w:t>
      </w:r>
      <w:r>
        <w:t xml:space="preserve"> </w:t>
      </w:r>
    </w:p>
    <w:bookmarkEnd w:id="99"/>
    <w:bookmarkStart w:id="101" w:name="ref-hayward2014"/>
    <w:p>
      <w:pPr>
        <w:pStyle w:val="Bibliography"/>
      </w:pPr>
      <w:r>
        <w:t xml:space="preserve">25.</w:t>
      </w:r>
      <w:r>
        <w:t xml:space="preserve"> </w:t>
      </w:r>
      <w:r>
        <w:t xml:space="preserve">	</w:t>
      </w:r>
      <w:r>
        <w:t xml:space="preserve">Hayward AC, Fragaszy EB, Bermingham A, et al.</w:t>
      </w:r>
      <w:r>
        <w:t xml:space="preserve"> </w:t>
      </w:r>
      <w:hyperlink r:id="rId100">
        <w:r>
          <w:rPr>
            <w:rStyle w:val="Hyperlink"/>
          </w:rPr>
          <w:t xml:space="preserve">Comparative community burden and severity of seasonal and pandemic influenza: Results of the</w:t>
        </w:r>
        <w:r>
          <w:rPr>
            <w:rStyle w:val="Hyperlink"/>
          </w:rPr>
          <w:t xml:space="preserve"> </w:t>
        </w:r>
        <w:r>
          <w:rPr>
            <w:rStyle w:val="Hyperlink"/>
          </w:rPr>
          <w:t xml:space="preserve">Flu Watch</w:t>
        </w:r>
        <w:r>
          <w:rPr>
            <w:rStyle w:val="Hyperlink"/>
          </w:rPr>
          <w:t xml:space="preserve"> </w:t>
        </w:r>
        <w:r>
          <w:rPr>
            <w:rStyle w:val="Hyperlink"/>
          </w:rPr>
          <w:t xml:space="preserve">cohort study</w:t>
        </w:r>
      </w:hyperlink>
      <w:r>
        <w:t xml:space="preserve">. Lancet Respiratory Medicine. 2014;2(6):445–54.</w:t>
      </w:r>
      <w:r>
        <w:t xml:space="preserve"> </w:t>
      </w:r>
    </w:p>
    <w:bookmarkEnd w:id="101"/>
    <w:bookmarkStart w:id="103" w:name="ref-carrat2008"/>
    <w:p>
      <w:pPr>
        <w:pStyle w:val="Bibliography"/>
      </w:pPr>
      <w:r>
        <w:t xml:space="preserve">26.</w:t>
      </w:r>
      <w:r>
        <w:t xml:space="preserve"> </w:t>
      </w:r>
      <w:r>
        <w:t xml:space="preserve">	</w:t>
      </w:r>
      <w:r>
        <w:t xml:space="preserve">Carrat F, Vergu E, Ferguson NM, et al.</w:t>
      </w:r>
      <w:r>
        <w:t xml:space="preserve"> </w:t>
      </w:r>
      <w:hyperlink r:id="rId102">
        <w:r>
          <w:rPr>
            <w:rStyle w:val="Hyperlink"/>
          </w:rPr>
          <w:t xml:space="preserve">Time lines of infection and disease in human influenza: A review of volunteer challenge studies</w:t>
        </w:r>
      </w:hyperlink>
      <w:r>
        <w:t xml:space="preserve">. American Journal of Epidemiology. 2008;167(7):775–85.</w:t>
      </w:r>
      <w:r>
        <w:t xml:space="preserve"> </w:t>
      </w:r>
    </w:p>
    <w:bookmarkEnd w:id="103"/>
    <w:bookmarkStart w:id="105" w:name="ref-leung2015"/>
    <w:p>
      <w:pPr>
        <w:pStyle w:val="Bibliography"/>
      </w:pPr>
      <w:r>
        <w:t xml:space="preserve">27.</w:t>
      </w:r>
      <w:r>
        <w:t xml:space="preserve"> </w:t>
      </w:r>
      <w:r>
        <w:t xml:space="preserve">	</w:t>
      </w:r>
      <w:r>
        <w:t xml:space="preserve">Leung NHL, Xu C, Ip DKM, Cowling BJ.</w:t>
      </w:r>
      <w:r>
        <w:t xml:space="preserve"> </w:t>
      </w:r>
      <w:hyperlink r:id="rId104">
        <w:r>
          <w:rPr>
            <w:rStyle w:val="Hyperlink"/>
          </w:rPr>
          <w:t xml:space="preserve">Review article: The fraction of influenza virus infections that are asymptomatic: A systematic review and meta-analysis</w:t>
        </w:r>
      </w:hyperlink>
      <w:r>
        <w:t xml:space="preserve">. Epidemiology. 2015;26(6):862–72.</w:t>
      </w:r>
      <w:r>
        <w:t xml:space="preserve"> </w:t>
      </w:r>
    </w:p>
    <w:bookmarkEnd w:id="105"/>
    <w:bookmarkStart w:id="107" w:name="ref-Kiplagat2026dengue"/>
    <w:p>
      <w:pPr>
        <w:pStyle w:val="Bibliography"/>
      </w:pPr>
      <w:r>
        <w:t xml:space="preserve">28.</w:t>
      </w:r>
      <w:r>
        <w:t xml:space="preserve"> </w:t>
      </w:r>
      <w:r>
        <w:t xml:space="preserve">	</w:t>
      </w:r>
      <w:r>
        <w:t xml:space="preserve">Kiplagat SJ, Rodriguez DM, Rivera A, Paz-Bailey G, Wong JM, Adams LE.</w:t>
      </w:r>
      <w:r>
        <w:t xml:space="preserve"> </w:t>
      </w:r>
      <w:hyperlink r:id="rId106">
        <w:r>
          <w:rPr>
            <w:rStyle w:val="Hyperlink"/>
          </w:rPr>
          <w:t xml:space="preserve">Increase in travel-associated and locally acquired dengue cases — united states, 2024</w:t>
        </w:r>
      </w:hyperlink>
      <w:r>
        <w:t xml:space="preserve">. MMWR Morbidity and Mortality Weekly Report. 2026;75:227–33.</w:t>
      </w:r>
      <w:r>
        <w:t xml:space="preserve"> </w:t>
      </w:r>
    </w:p>
    <w:bookmarkEnd w:id="107"/>
    <w:bookmarkStart w:id="108" w:name="ref-Ross2010"/>
    <w:p>
      <w:pPr>
        <w:pStyle w:val="Bibliography"/>
      </w:pPr>
      <w:r>
        <w:t xml:space="preserve">29.</w:t>
      </w:r>
      <w:r>
        <w:t xml:space="preserve"> </w:t>
      </w:r>
      <w:r>
        <w:t xml:space="preserve">	</w:t>
      </w:r>
      <w:r>
        <w:t xml:space="preserve">Ross SM. Introduction to probability models. 10th ed. Burlington, MA: Academic Press; 2010.</w:t>
      </w:r>
      <w:r>
        <w:t xml:space="preserve"> </w:t>
      </w:r>
    </w:p>
    <w:bookmarkEnd w:id="108"/>
    <w:bookmarkEnd w:id="109"/>
    <w:p>
      <w:pPr>
        <w:pStyle w:val="BodyText"/>
      </w:pPr>
      <w:r>
        <w:rPr>
          <w:b/>
          <w:bCs/>
        </w:rPr>
        <w:t xml:space="preserve">Supplementary Material</w:t>
      </w:r>
    </w:p>
    <w:bookmarkStart w:id="120" w:name="Xfe65931d81df5b83781c68b721100c277b3e331"/>
    <w:p>
      <w:pPr>
        <w:pStyle w:val="Heading2"/>
      </w:pPr>
      <w:r>
        <w:t xml:space="preserve">Appendix A. Mathematical specification of travel flow</w:t>
      </w:r>
      <w:r>
        <w:t xml:space="preserve"> </w:t>
      </w:r>
      <w:r>
        <w:t xml:space="preserve">estimates</w:t>
      </w:r>
      <w:r>
        <w:t xml:space="preserve"> </w:t>
      </w:r>
      <m:oMath>
        <m:sSub>
          <m:e>
            <m:r>
              <m:t>N</m:t>
            </m:r>
          </m:e>
          <m:sub>
            <m:r>
              <m:t>c</m:t>
            </m:r>
            <m:r>
              <m:rPr>
                <m:sty m:val="p"/>
              </m:rPr>
              <m:t>,</m:t>
            </m:r>
            <m:r>
              <m:t>v</m:t>
            </m:r>
          </m:sub>
        </m:sSub>
      </m:oMath>
    </w:p>
    <w:bookmarkStart w:id="110" w:name="a.1-notation"/>
    <w:p>
      <w:pPr>
        <w:pStyle w:val="Heading3"/>
      </w:pPr>
      <w:r>
        <w:t xml:space="preserve">A.1 Notation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m:oMath>
              <m:r>
                <m:t>c</m:t>
              </m:r>
            </m:oMath>
          </w:p>
        </w:tc>
        <w:tc>
          <w:tcPr/>
          <w:p>
            <w:pPr>
              <w:pStyle w:val="Compact"/>
              <w:jc w:val="left"/>
            </w:pPr>
            <w:r>
              <w:t xml:space="preserve">Source country (</w:t>
            </w:r>
            <m:oMath>
              <m:r>
                <m:t>c</m:t>
              </m:r>
              <m:r>
                <m:rPr>
                  <m:sty m:val="p"/>
                </m:rPr>
                <m:t>=</m:t>
              </m:r>
              <m:r>
                <m:t>1</m:t>
              </m:r>
              <m:r>
                <m:rPr>
                  <m:sty m:val="p"/>
                </m:rPr>
                <m:t>,</m:t>
              </m:r>
              <m:r>
                <m:rPr>
                  <m:sty m:val="p"/>
                </m:rPr>
                <m:t>…</m:t>
              </m:r>
              <m:r>
                <m:rPr>
                  <m:sty m:val="p"/>
                </m:rPr>
                <m:t>,</m:t>
              </m:r>
              <m:r>
                <m:t>C</m:t>
              </m:r>
            </m:oMath>
            <w:r>
              <w:t xml:space="preserve">)</w:t>
            </w:r>
          </w:p>
        </w:tc>
      </w:tr>
      <w:tr>
        <w:tc>
          <w:tcPr/>
          <w:p>
            <w:pPr>
              <w:pStyle w:val="Compact"/>
              <w:jc w:val="left"/>
            </w:pPr>
            <m:oMath>
              <m:r>
                <m:t>v</m:t>
              </m:r>
            </m:oMath>
          </w:p>
        </w:tc>
        <w:tc>
          <w:tcPr/>
          <w:p>
            <w:pPr>
              <w:pStyle w:val="Compact"/>
              <w:jc w:val="left"/>
            </w:pPr>
            <w:r>
              <w:t xml:space="preserve">US venue city (</w:t>
            </w:r>
            <m:oMath>
              <m:r>
                <m:t>v</m:t>
              </m:r>
              <m:r>
                <m:rPr>
                  <m:sty m:val="p"/>
                </m:rPr>
                <m:t>=</m:t>
              </m:r>
              <m:r>
                <m:t>1</m:t>
              </m:r>
              <m:r>
                <m:rPr>
                  <m:sty m:val="p"/>
                </m:rPr>
                <m:t>,</m:t>
              </m:r>
              <m:r>
                <m:rPr>
                  <m:sty m:val="p"/>
                </m:rPr>
                <m:t>…</m:t>
              </m:r>
              <m:r>
                <m:rPr>
                  <m:sty m:val="p"/>
                </m:rPr>
                <m:t>,</m:t>
              </m:r>
              <m:r>
                <m:t>11</m:t>
              </m:r>
            </m:oMath>
            <w:r>
              <w:t xml:space="preserve">)</w:t>
            </w:r>
          </w:p>
        </w:tc>
      </w:tr>
      <w:tr>
        <w:tc>
          <w:tcPr/>
          <w:p>
            <w:pPr>
              <w:pStyle w:val="Compact"/>
              <w:jc w:val="left"/>
            </w:pPr>
            <m:oMath>
              <m:sSub>
                <m:e>
                  <m:r>
                    <m:t>A</m:t>
                  </m:r>
                </m:e>
                <m:sub>
                  <m:r>
                    <m:t>c</m:t>
                  </m:r>
                </m:sub>
              </m:sSub>
            </m:oMath>
          </w:p>
        </w:tc>
        <w:tc>
          <w:tcPr/>
          <w:p>
            <w:pPr>
              <w:pStyle w:val="Compact"/>
              <w:jc w:val="left"/>
            </w:pPr>
            <w:r>
              <w:t xml:space="preserve">June 2024 COR arrivals from country</w:t>
            </w:r>
            <w:r>
              <w:t xml:space="preserve"> </w:t>
            </w:r>
            <m:oMath>
              <m:r>
                <m:t>c</m:t>
              </m:r>
            </m:oMath>
            <w:r>
              <w:t xml:space="preserve"> </w:t>
            </w:r>
            <w:r>
              <w:t xml:space="preserve">to the US</w:t>
            </w:r>
            <w:r>
              <w:t xml:space="preserve"> </w:t>
            </w:r>
            <w:r>
              <w:t xml:space="preserve">(I-94 programme, CBP)</w:t>
            </w:r>
          </w:p>
        </w:tc>
      </w:tr>
      <w:tr>
        <w:tc>
          <w:tcPr/>
          <w:p>
            <w:pPr>
              <w:pStyle w:val="Compact"/>
              <w:jc w:val="left"/>
            </w:pPr>
            <m:oMath>
              <m:sSub>
                <m:e>
                  <m:r>
                    <m:t>T</m:t>
                  </m:r>
                </m:e>
                <m:sub>
                  <m:r>
                    <m:t>c</m:t>
                  </m:r>
                  <m:r>
                    <m:rPr>
                      <m:sty m:val="p"/>
                    </m:rPr>
                    <m:t>,</m:t>
                  </m:r>
                  <m:r>
                    <m:t>v</m:t>
                  </m:r>
                </m:sub>
              </m:sSub>
            </m:oMath>
          </w:p>
        </w:tc>
        <w:tc>
          <w:tcPr/>
          <w:p>
            <w:pPr>
              <w:pStyle w:val="Compact"/>
              <w:jc w:val="left"/>
            </w:pPr>
            <w:r>
              <w:t xml:space="preserve">Mean June passengers from country</w:t>
            </w:r>
            <w:r>
              <w:t xml:space="preserve"> </w:t>
            </w:r>
            <m:oMath>
              <m:r>
                <m:t>c</m:t>
              </m:r>
            </m:oMath>
            <w:r>
              <w:t xml:space="preserve"> </w:t>
            </w:r>
            <w:r>
              <w:t xml:space="preserve">to US city</w:t>
            </w:r>
            <w:r>
              <w:t xml:space="preserve"> </w:t>
            </w:r>
            <m:oMath>
              <m:r>
                <m:t>v</m:t>
              </m:r>
            </m:oMath>
            <w:r>
              <w:t xml:space="preserve">,</w:t>
            </w:r>
            <w:r>
              <w:t xml:space="preserve"> </w:t>
            </w:r>
            <w:r>
              <w:t xml:space="preserve">averaged over June 2023–2025 (BTS T-100 Form 41 data)</w:t>
            </w:r>
          </w:p>
        </w:tc>
      </w:tr>
      <w:tr>
        <w:tc>
          <w:tcPr/>
          <w:p>
            <w:pPr>
              <w:pStyle w:val="Compact"/>
              <w:jc w:val="left"/>
            </w:pPr>
            <m:oMath>
              <m:sSubSup>
                <m:e>
                  <m:r>
                    <m:t>f</m:t>
                  </m:r>
                </m:e>
                <m:sub>
                  <m:r>
                    <m:t>c</m:t>
                  </m:r>
                  <m:r>
                    <m:rPr>
                      <m:sty m:val="p"/>
                    </m:rPr>
                    <m:t>,</m:t>
                  </m:r>
                  <m:r>
                    <m:t>v</m:t>
                  </m:r>
                </m:sub>
                <m:sup>
                  <m:r>
                    <m:t>T</m:t>
                  </m:r>
                </m:sup>
              </m:sSubSup>
            </m:oMath>
          </w:p>
        </w:tc>
        <w:tc>
          <w:tcPr/>
          <w:p>
            <w:pPr>
              <w:pStyle w:val="Compact"/>
              <w:jc w:val="left"/>
            </w:pPr>
            <w:r>
              <w:t xml:space="preserve">T-100 routing fraction: share of country</w:t>
            </w:r>
            <w:r>
              <w:t xml:space="preserve"> </w:t>
            </w:r>
            <m:oMath>
              <m:r>
                <m:t>c</m:t>
              </m:r>
            </m:oMath>
            <w:r>
              <w:t xml:space="preserve">’s</w:t>
            </w:r>
            <w:r>
              <w:t xml:space="preserve"> </w:t>
            </w:r>
            <w:r>
              <w:t xml:space="preserve">US-bound passengers landing at city</w:t>
            </w:r>
            <w:r>
              <w:t xml:space="preserve"> </w:t>
            </w:r>
            <m:oMath>
              <m:r>
                <m:t>v</m:t>
              </m:r>
            </m:oMath>
            <w:r>
              <w:t xml:space="preserve"> </w:t>
            </w:r>
            <w:r>
              <w:t xml:space="preserve">(see A.2).</w:t>
            </w:r>
            <w:r>
              <w:t xml:space="preserve"> </w:t>
            </w:r>
            <w:r>
              <w:t xml:space="preserve">By construction</w:t>
            </w:r>
            <w:r>
              <w:t xml:space="preserve"> </w:t>
            </w:r>
            <m:oMath>
              <m:nary>
                <m:naryPr>
                  <m:chr m:val="∑"/>
                  <m:limLoc m:val="undOvr"/>
                  <m:subHide m:val="off"/>
                  <m:supHide m:val="on"/>
                </m:naryPr>
                <m:sub>
                  <m:r>
                    <m:t>v</m:t>
                  </m:r>
                </m:sub>
                <m:sup>
                  <m:r>
                    <m:t/>
                  </m:r>
                </m:sup>
                <m:e>
                  <m:sSubSup>
                    <m:e>
                      <m:r>
                        <m:t>f</m:t>
                      </m:r>
                    </m:e>
                    <m:sub>
                      <m:r>
                        <m:t>c</m:t>
                      </m:r>
                      <m:r>
                        <m:rPr>
                          <m:sty m:val="p"/>
                        </m:rPr>
                        <m:t>,</m:t>
                      </m:r>
                      <m:r>
                        <m:t>v</m:t>
                      </m:r>
                    </m:sub>
                    <m:sup>
                      <m:r>
                        <m:t>T</m:t>
                      </m:r>
                    </m:sup>
                  </m:sSubSup>
                </m:e>
              </m:nary>
              <m:r>
                <m:rPr>
                  <m:sty m:val="p"/>
                </m:rPr>
                <m:t>=</m:t>
              </m:r>
              <m:r>
                <m:t>1</m:t>
              </m:r>
            </m:oMath>
            <w:r>
              <w:t xml:space="preserve">.</w:t>
            </w:r>
          </w:p>
        </w:tc>
      </w:tr>
      <w:tr>
        <w:tc>
          <w:tcPr/>
          <w:p>
            <w:pPr>
              <w:pStyle w:val="Compact"/>
              <w:jc w:val="left"/>
            </w:pPr>
            <m:oMath>
              <m:sSub>
                <m:e>
                  <m:r>
                    <m:t>ϕ</m:t>
                  </m:r>
                </m:e>
                <m:sub>
                  <m:r>
                    <m:t>c</m:t>
                  </m:r>
                </m:sub>
              </m:sSub>
            </m:oMath>
          </w:p>
        </w:tc>
        <w:tc>
          <w:tcPr/>
          <w:p>
            <w:pPr>
              <w:pStyle w:val="Compact"/>
              <w:jc w:val="left"/>
            </w:pPr>
            <w:r>
              <w:t xml:space="preserve">Country-specific 2026 growth factor (see A.3)</w:t>
            </w:r>
          </w:p>
        </w:tc>
      </w:tr>
      <w:tr>
        <w:tc>
          <w:tcPr/>
          <w:p>
            <w:pPr>
              <w:pStyle w:val="Compact"/>
              <w:jc w:val="left"/>
            </w:pPr>
            <m:oMath>
              <m:sSub>
                <m:e>
                  <m:r>
                    <m:t>g</m:t>
                  </m:r>
                </m:e>
                <m:sub>
                  <m:r>
                    <m:t>c</m:t>
                  </m:r>
                </m:sub>
              </m:sSub>
            </m:oMath>
          </w:p>
        </w:tc>
        <w:tc>
          <w:tcPr/>
          <w:p>
            <w:pPr>
              <w:pStyle w:val="Compact"/>
              <w:jc w:val="left"/>
            </w:pPr>
            <w:r>
              <w:t xml:space="preserve">Background (non-WC) trend component of</w:t>
            </w:r>
            <w:r>
              <w:t xml:space="preserve"> </w:t>
            </w:r>
            <m:oMath>
              <m:sSub>
                <m:e>
                  <m:r>
                    <m:t>ϕ</m:t>
                  </m:r>
                </m:e>
                <m:sub>
                  <m:r>
                    <m:t>c</m:t>
                  </m:r>
                </m:sub>
              </m:sSub>
            </m:oMath>
            <w:r>
              <w:t xml:space="preserve">,</w:t>
            </w:r>
            <w:r>
              <w:t xml:space="preserve"> </w:t>
            </w:r>
            <w:r>
              <w:t xml:space="preserve">representing non-WC travel growth from 2024 to 2026</w:t>
            </w:r>
          </w:p>
        </w:tc>
      </w:tr>
      <w:tr>
        <w:tc>
          <w:tcPr/>
          <w:p>
            <w:pPr>
              <w:pStyle w:val="Compact"/>
              <w:jc w:val="left"/>
            </w:pPr>
            <m:oMath>
              <m:sSub>
                <m:e>
                  <m:r>
                    <m:t>m</m:t>
                  </m:r>
                </m:e>
                <m:sub>
                  <m:r>
                    <m:t>c</m:t>
                  </m:r>
                  <m:r>
                    <m:rPr>
                      <m:sty m:val="p"/>
                    </m:rPr>
                    <m:t>,</m:t>
                  </m:r>
                  <m:r>
                    <m:t>v</m:t>
                  </m:r>
                </m:sub>
              </m:sSub>
            </m:oMath>
          </w:p>
        </w:tc>
        <w:tc>
          <w:tcPr/>
          <w:p>
            <w:pPr>
              <w:pStyle w:val="Compact"/>
              <w:jc w:val="left"/>
            </w:pPr>
            <w:r>
              <w:t xml:space="preserve">Number of group-stage matches that country</w:t>
            </w:r>
            <w:r>
              <w:t xml:space="preserve"> </w:t>
            </w:r>
            <m:oMath>
              <m:r>
                <m:t>c</m:t>
              </m:r>
            </m:oMath>
            <w:r>
              <w:t xml:space="preserve"> </w:t>
            </w:r>
            <w:r>
              <w:t xml:space="preserve">plays at US venue</w:t>
            </w:r>
            <w:r>
              <w:t xml:space="preserve"> </w:t>
            </w:r>
            <m:oMath>
              <m:r>
                <m:t>v</m:t>
              </m:r>
            </m:oMath>
          </w:p>
        </w:tc>
      </w:tr>
      <w:tr>
        <w:tc>
          <w:tcPr/>
          <w:p>
            <w:pPr>
              <w:pStyle w:val="Compact"/>
              <w:jc w:val="left"/>
            </w:pPr>
            <m:oMath>
              <m:sSub>
                <m:e>
                  <m:r>
                    <m:t>M</m:t>
                  </m:r>
                </m:e>
                <m:sub>
                  <m:r>
                    <m:t>c</m:t>
                  </m:r>
                </m:sub>
              </m:sSub>
            </m:oMath>
          </w:p>
        </w:tc>
        <w:tc>
          <w:tcPr/>
          <w:p>
            <w:pPr>
              <w:pStyle w:val="Compact"/>
              <w:jc w:val="left"/>
            </w:pPr>
            <w:r>
              <w:t xml:space="preserve">Total group-stage matches for country</w:t>
            </w:r>
            <w:r>
              <w:t xml:space="preserve"> </w:t>
            </w:r>
            <m:oMath>
              <m:r>
                <m:t>c</m:t>
              </m:r>
            </m:oMath>
            <w:r>
              <w:t xml:space="preserve"> </w:t>
            </w:r>
            <w:r>
              <w:t xml:space="preserve">across all WC venues (</w:t>
            </w:r>
            <m:oMath>
              <m:sSub>
                <m:e>
                  <m:r>
                    <m:t>M</m:t>
                  </m:r>
                </m:e>
                <m:sub>
                  <m:r>
                    <m:t>c</m:t>
                  </m:r>
                </m:sub>
              </m:sSub>
              <m:r>
                <m:rPr>
                  <m:sty m:val="p"/>
                </m:rPr>
                <m:t>=</m:t>
              </m:r>
              <m:r>
                <m:t>3</m:t>
              </m:r>
            </m:oMath>
            <w:r>
              <w:t xml:space="preserve"> </w:t>
            </w:r>
            <w:r>
              <w:t xml:space="preserve">for all qualified teams)</w:t>
            </w:r>
          </w:p>
        </w:tc>
      </w:tr>
      <w:tr>
        <w:tc>
          <w:tcPr/>
          <w:p>
            <w:pPr>
              <w:pStyle w:val="Compact"/>
              <w:jc w:val="left"/>
            </w:pPr>
            <m:oMath>
              <m:sSub>
                <m:e>
                  <m:r>
                    <m:t>ω</m:t>
                  </m:r>
                </m:e>
                <m:sub>
                  <m:r>
                    <m:t>c</m:t>
                  </m:r>
                  <m:r>
                    <m:rPr>
                      <m:sty m:val="p"/>
                    </m:rPr>
                    <m:t>,</m:t>
                  </m:r>
                  <m:r>
                    <m:t>v</m:t>
                  </m:r>
                </m:sub>
              </m:sSub>
            </m:oMath>
          </w:p>
        </w:tc>
        <w:tc>
          <w:tcPr/>
          <w:p>
            <w:pPr>
              <w:pStyle w:val="Compact"/>
              <w:jc w:val="left"/>
            </w:pPr>
            <w:r>
              <w:t xml:space="preserve">Schedule-driven routing fraction for WC fans</w:t>
            </w:r>
            <w:r>
              <w:t xml:space="preserve"> </w:t>
            </w:r>
            <w:r>
              <w:t xml:space="preserve">from country</w:t>
            </w:r>
            <w:r>
              <w:t xml:space="preserve"> </w:t>
            </w:r>
            <m:oMath>
              <m:r>
                <m:t>c</m:t>
              </m:r>
            </m:oMath>
            <w:r>
              <w:t xml:space="preserve"> </w:t>
            </w:r>
            <w:r>
              <w:t xml:space="preserve">to US venue</w:t>
            </w:r>
            <w:r>
              <w:t xml:space="preserve"> </w:t>
            </w:r>
            <m:oMath>
              <m:r>
                <m:t>v</m:t>
              </m:r>
            </m:oMath>
            <w:r>
              <w:t xml:space="preserve"> </w:t>
            </w:r>
            <w:r>
              <w:t xml:space="preserve">(see A.4)</w:t>
            </w:r>
          </w:p>
        </w:tc>
      </w:tr>
      <w:tr>
        <w:tc>
          <w:tcPr/>
          <w:p>
            <w:pPr>
              <w:pStyle w:val="Compact"/>
              <w:jc w:val="left"/>
            </w:pPr>
            <m:oMath>
              <m:sSub>
                <m:e>
                  <m:r>
                    <m:t>N</m:t>
                  </m:r>
                </m:e>
                <m:sub>
                  <m:r>
                    <m:t>c</m:t>
                  </m:r>
                  <m:r>
                    <m:rPr>
                      <m:sty m:val="p"/>
                    </m:rPr>
                    <m:t>,</m:t>
                  </m:r>
                  <m:r>
                    <m:t>v</m:t>
                  </m:r>
                </m:sub>
              </m:sSub>
            </m:oMath>
          </w:p>
        </w:tc>
        <w:tc>
          <w:tcPr/>
          <w:p>
            <w:pPr>
              <w:pStyle w:val="Compact"/>
              <w:jc w:val="left"/>
            </w:pPr>
            <w:r>
              <w:t xml:space="preserve">Projected June 2026 arrivals from country</w:t>
            </w:r>
            <w:r>
              <w:t xml:space="preserve"> </w:t>
            </w:r>
            <m:oMath>
              <m:r>
                <m:t>c</m:t>
              </m:r>
            </m:oMath>
            <w:r>
              <w:t xml:space="preserve"> </w:t>
            </w:r>
            <w:r>
              <w:t xml:space="preserve">to venue city</w:t>
            </w:r>
            <w:r>
              <w:t xml:space="preserve"> </w:t>
            </w:r>
            <m:oMath>
              <m:r>
                <m:t>v</m:t>
              </m:r>
            </m:oMath>
            <w:r>
              <w:t xml:space="preserve"> </w:t>
            </w:r>
            <w:r>
              <w:t xml:space="preserve">(model-tier specific)</w:t>
            </w:r>
          </w:p>
        </w:tc>
      </w:tr>
    </w:tbl>
    <w:bookmarkEnd w:id="110"/>
    <w:bookmarkStart w:id="111" w:name="a.2-t-100-routing-fraction-f_cvt"/>
    <w:p>
      <w:pPr>
        <w:pStyle w:val="Heading3"/>
      </w:pPr>
      <w:r>
        <w:t xml:space="preserve">A.2 T-100 routing fraction</w:t>
      </w:r>
      <w:r>
        <w:t xml:space="preserve"> </w:t>
      </w:r>
      <m:oMath>
        <m:sSubSup>
          <m:e>
            <m:r>
              <m:t>f</m:t>
            </m:r>
          </m:e>
          <m:sub>
            <m:r>
              <m:t>c</m:t>
            </m:r>
            <m:r>
              <m:rPr>
                <m:sty m:val="p"/>
              </m:rPr>
              <m:t>,</m:t>
            </m:r>
            <m:r>
              <m:t>v</m:t>
            </m:r>
          </m:sub>
          <m:sup>
            <m:r>
              <m:t>T</m:t>
            </m:r>
          </m:sup>
        </m:sSubSup>
      </m:oMath>
    </w:p>
    <w:p>
      <w:pPr>
        <w:pStyle w:val="FirstParagraph"/>
      </w:pPr>
      <w:r>
        <w:t xml:space="preserve">The T-100 routing fraction gives the proportion of country</w:t>
      </w:r>
      <w:r>
        <w:t xml:space="preserve"> </w:t>
      </w:r>
      <m:oMath>
        <m:r>
          <m:t>c</m:t>
        </m:r>
      </m:oMath>
      <w:r>
        <w:t xml:space="preserve">’s</w:t>
      </w:r>
      <w:r>
        <w:t xml:space="preserve"> </w:t>
      </w:r>
      <w:r>
        <w:t xml:space="preserve">US-bound passengers that land at each venue city</w:t>
      </w:r>
      <w:r>
        <w:t xml:space="preserve"> </w:t>
      </w:r>
      <m:oMath>
        <m:r>
          <m:t>v</m:t>
        </m:r>
      </m:oMath>
      <w:r>
        <w:t xml:space="preserve">:</w:t>
      </w:r>
    </w:p>
    <w:p>
      <w:pPr>
        <w:pStyle w:val="BodyText"/>
      </w:pPr>
      <m:oMathPara>
        <m:oMathParaPr>
          <m:jc m:val="center"/>
        </m:oMathParaPr>
        <m:oMath>
          <m:sSubSup>
            <m:e>
              <m:r>
                <m:t>f</m:t>
              </m:r>
            </m:e>
            <m:sub>
              <m:r>
                <m:t>c</m:t>
              </m:r>
              <m:r>
                <m:rPr>
                  <m:sty m:val="p"/>
                </m:rPr>
                <m:t>,</m:t>
              </m:r>
              <m:r>
                <m:t>v</m:t>
              </m:r>
            </m:sub>
            <m:sup>
              <m:r>
                <m:t>T</m:t>
              </m:r>
            </m:sup>
          </m:sSubSup>
          <m:r>
            <m:rPr>
              <m:sty m:val="p"/>
            </m:rPr>
            <m:t>=</m:t>
          </m:r>
          <m:f>
            <m:fPr>
              <m:type m:val="bar"/>
            </m:fPr>
            <m:num>
              <m:sSub>
                <m:e>
                  <m:r>
                    <m:t>T</m:t>
                  </m:r>
                </m:e>
                <m:sub>
                  <m:r>
                    <m:t>c</m:t>
                  </m:r>
                  <m:r>
                    <m:rPr>
                      <m:sty m:val="p"/>
                    </m:rPr>
                    <m:t>,</m:t>
                  </m:r>
                  <m:r>
                    <m:t>v</m:t>
                  </m:r>
                </m:sub>
              </m:sSub>
            </m:num>
            <m:den>
              <m:nary>
                <m:naryPr>
                  <m:chr m:val="∑"/>
                  <m:limLoc m:val="undOvr"/>
                  <m:subHide m:val="off"/>
                  <m:supHide m:val="off"/>
                </m:naryPr>
                <m:sub>
                  <m:sSup>
                    <m:e>
                      <m:r>
                        <m:t>v</m:t>
                      </m:r>
                    </m:e>
                    <m:sup>
                      <m:r>
                        <m:rPr>
                          <m:sty m:val="p"/>
                        </m:rPr>
                        <m:t>′</m:t>
                      </m:r>
                    </m:sup>
                  </m:sSup>
                  <m:r>
                    <m:rPr>
                      <m:sty m:val="p"/>
                    </m:rPr>
                    <m:t>=</m:t>
                  </m:r>
                  <m:r>
                    <m:t>1</m:t>
                  </m:r>
                </m:sub>
                <m:sup>
                  <m:r>
                    <m:t>11</m:t>
                  </m:r>
                </m:sup>
                <m:e>
                  <m:sSub>
                    <m:e>
                      <m:r>
                        <m:t>T</m:t>
                      </m:r>
                    </m:e>
                    <m:sub>
                      <m:r>
                        <m:t>c</m:t>
                      </m:r>
                      <m:r>
                        <m:rPr>
                          <m:sty m:val="p"/>
                        </m:rPr>
                        <m:t>,</m:t>
                      </m:r>
                      <m:sSup>
                        <m:e>
                          <m:r>
                            <m:t>v</m:t>
                          </m:r>
                        </m:e>
                        <m:sup>
                          <m:r>
                            <m:rPr>
                              <m:sty m:val="p"/>
                            </m:rPr>
                            <m:t>′</m:t>
                          </m:r>
                        </m:sup>
                      </m:sSup>
                    </m:sub>
                  </m:sSub>
                </m:e>
              </m:nary>
            </m:den>
          </m:f>
        </m:oMath>
      </m:oMathPara>
    </w:p>
    <w:p>
      <w:pPr>
        <w:pStyle w:val="FirstParagraph"/>
      </w:pPr>
      <w:r>
        <w:t xml:space="preserve">where</w:t>
      </w:r>
      <w:r>
        <w:t xml:space="preserve"> </w:t>
      </w:r>
      <m:oMath>
        <m:sSub>
          <m:e>
            <m:r>
              <m:t>T</m:t>
            </m:r>
          </m:e>
          <m:sub>
            <m:r>
              <m:t>c</m:t>
            </m:r>
            <m:r>
              <m:rPr>
                <m:sty m:val="p"/>
              </m:rPr>
              <m:t>,</m:t>
            </m:r>
            <m:r>
              <m:t>v</m:t>
            </m:r>
          </m:sub>
        </m:sSub>
      </m:oMath>
      <w:r>
        <w:t xml:space="preserve"> </w:t>
      </w:r>
      <w:r>
        <w:t xml:space="preserve">is the mean number of June passengers from country</w:t>
      </w:r>
      <w:r>
        <w:t xml:space="preserve"> </w:t>
      </w:r>
      <m:oMath>
        <m:r>
          <m:t>c</m:t>
        </m:r>
      </m:oMath>
      <w:r>
        <w:t xml:space="preserve"> </w:t>
      </w:r>
      <w:r>
        <w:t xml:space="preserve">to US city</w:t>
      </w:r>
      <w:r>
        <w:t xml:space="preserve"> </w:t>
      </w:r>
      <m:oMath>
        <m:r>
          <m:t>v</m:t>
        </m:r>
      </m:oMath>
      <w:r>
        <w:t xml:space="preserve"> </w:t>
      </w:r>
      <w:r>
        <w:t xml:space="preserve">over 2023–2025 (BTS T-100 Form 41 data). By</w:t>
      </w:r>
      <w:r>
        <w:t xml:space="preserve"> </w:t>
      </w:r>
      <w:r>
        <w:t xml:space="preserve">construction,</w:t>
      </w:r>
      <w:r>
        <w:t xml:space="preserve"> </w:t>
      </w:r>
      <m:oMath>
        <m:nary>
          <m:naryPr>
            <m:chr m:val="∑"/>
            <m:limLoc m:val="undOvr"/>
            <m:subHide m:val="off"/>
            <m:supHide m:val="on"/>
          </m:naryPr>
          <m:sub>
            <m:r>
              <m:t>v</m:t>
            </m:r>
          </m:sub>
          <m:sup>
            <m:r>
              <m:t/>
            </m:r>
          </m:sup>
          <m:e>
            <m:sSubSup>
              <m:e>
                <m:r>
                  <m:t>f</m:t>
                </m:r>
              </m:e>
              <m:sub>
                <m:r>
                  <m:t>c</m:t>
                </m:r>
                <m:r>
                  <m:rPr>
                    <m:sty m:val="p"/>
                  </m:rPr>
                  <m:t>,</m:t>
                </m:r>
                <m:r>
                  <m:t>v</m:t>
                </m:r>
              </m:sub>
              <m:sup>
                <m:r>
                  <m:t>T</m:t>
                </m:r>
              </m:sup>
            </m:sSubSup>
          </m:e>
        </m:nary>
        <m:r>
          <m:rPr>
            <m:sty m:val="p"/>
          </m:rPr>
          <m:t>=</m:t>
        </m:r>
        <m:r>
          <m:t>1</m:t>
        </m:r>
      </m:oMath>
      <w:r>
        <w:t xml:space="preserve"> </w:t>
      </w:r>
      <w:r>
        <w:t xml:space="preserve">for every country</w:t>
      </w:r>
      <w:r>
        <w:t xml:space="preserve"> </w:t>
      </w:r>
      <m:oMath>
        <m:r>
          <m:t>c</m:t>
        </m:r>
      </m:oMath>
      <w:r>
        <w:t xml:space="preserve">.</w:t>
      </w:r>
      <w:r>
        <w:t xml:space="preserve"> </w:t>
      </w:r>
      <w:r>
        <w:t xml:space="preserve">These fractions are held fixed across all three model tiers; only</w:t>
      </w:r>
      <w:r>
        <w:t xml:space="preserve"> </w:t>
      </w:r>
      <w:r>
        <w:t xml:space="preserve">the total volume</w:t>
      </w:r>
      <w:r>
        <w:t xml:space="preserve"> </w:t>
      </w:r>
      <m:oMath>
        <m:sSub>
          <m:e>
            <m:r>
              <m:t>A</m:t>
            </m:r>
          </m:e>
          <m:sub>
            <m:r>
              <m:t>c</m:t>
            </m:r>
          </m:sub>
        </m:sSub>
        <m:r>
          <m:rPr>
            <m:sty m:val="p"/>
          </m:rPr>
          <m:t>⋅</m:t>
        </m:r>
        <m:sSub>
          <m:e>
            <m:r>
              <m:t>ϕ</m:t>
            </m:r>
          </m:e>
          <m:sub>
            <m:r>
              <m:t>c</m:t>
            </m:r>
          </m:sub>
        </m:sSub>
      </m:oMath>
      <w:r>
        <w:t xml:space="preserve"> </w:t>
      </w:r>
      <w:r>
        <w:t xml:space="preserve">changes between M1, M2, and M3.</w:t>
      </w:r>
    </w:p>
    <w:bookmarkEnd w:id="111"/>
    <w:bookmarkStart w:id="112" w:name="Xf613268fbfd6766bd08a2181cc20bc2a5cf9581"/>
    <w:p>
      <w:pPr>
        <w:pStyle w:val="Heading3"/>
      </w:pPr>
      <w:r>
        <w:t xml:space="preserve">A.3 Growth factor</w:t>
      </w:r>
      <w:r>
        <w:t xml:space="preserve"> </w:t>
      </w:r>
      <m:oMath>
        <m:sSub>
          <m:e>
            <m:r>
              <m:t>ϕ</m:t>
            </m:r>
          </m:e>
          <m:sub>
            <m:r>
              <m:t>c</m:t>
            </m:r>
          </m:sub>
        </m:sSub>
      </m:oMath>
      <w:r>
        <w:t xml:space="preserve"> </w:t>
      </w:r>
      <w:r>
        <w:t xml:space="preserve">and its components</w:t>
      </w:r>
    </w:p>
    <w:p>
      <w:pPr>
        <w:pStyle w:val="FirstParagraph"/>
      </w:pPr>
      <w:r>
        <w:t xml:space="preserve">The growth factor</w:t>
      </w:r>
    </w:p>
    <w:p>
      <w:pPr>
        <w:pStyle w:val="BodyText"/>
      </w:pPr>
      <m:oMathPara>
        <m:oMathParaPr>
          <m:jc m:val="center"/>
        </m:oMathParaPr>
        <m:oMath>
          <m:sSub>
            <m:e>
              <m:r>
                <m:t>ϕ</m:t>
              </m:r>
            </m:e>
            <m:sub>
              <m:r>
                <m:t>c</m:t>
              </m:r>
            </m:sub>
          </m:sSub>
          <m:r>
            <m:rPr>
              <m:sty m:val="p"/>
            </m:rPr>
            <m:t>=</m:t>
          </m:r>
          <m:f>
            <m:fPr>
              <m:type m:val="bar"/>
            </m:fPr>
            <m:num>
              <m:sSub>
                <m:e>
                  <m:r>
                    <m:t>V</m:t>
                  </m:r>
                </m:e>
                <m:sub>
                  <m:r>
                    <m:t>c</m:t>
                  </m:r>
                  <m:r>
                    <m:rPr>
                      <m:sty m:val="p"/>
                    </m:rPr>
                    <m:t>,</m:t>
                  </m:r>
                  <m:r>
                    <m:t>2026</m:t>
                  </m:r>
                </m:sub>
              </m:sSub>
            </m:num>
            <m:den>
              <m:sSub>
                <m:e>
                  <m:r>
                    <m:t>V</m:t>
                  </m:r>
                </m:e>
                <m:sub>
                  <m:r>
                    <m:t>c</m:t>
                  </m:r>
                  <m:r>
                    <m:rPr>
                      <m:sty m:val="p"/>
                    </m:rPr>
                    <m:t>,</m:t>
                  </m:r>
                  <m:r>
                    <m:t>2024</m:t>
                  </m:r>
                </m:sub>
              </m:sSub>
            </m:den>
          </m:f>
        </m:oMath>
      </m:oMathPara>
    </w:p>
    <w:p>
      <w:pPr>
        <w:pStyle w:val="FirstParagraph"/>
      </w:pPr>
      <w:r>
        <w:t xml:space="preserve">scales June 2024 baseline arrivals to projected June 2026 levels,</w:t>
      </w:r>
      <w:r>
        <w:t xml:space="preserve"> </w:t>
      </w:r>
      <w:r>
        <w:t xml:space="preserve">where</w:t>
      </w:r>
      <w:r>
        <w:t xml:space="preserve"> </w:t>
      </w:r>
      <m:oMath>
        <m:sSub>
          <m:e>
            <m:r>
              <m:t>V</m:t>
            </m:r>
          </m:e>
          <m:sub>
            <m:r>
              <m:t>c</m:t>
            </m:r>
            <m:r>
              <m:rPr>
                <m:sty m:val="p"/>
              </m:rPr>
              <m:t>,</m:t>
            </m:r>
            <m:r>
              <m:t>t</m:t>
            </m:r>
          </m:sub>
        </m:sSub>
      </m:oMath>
      <w:r>
        <w:t xml:space="preserve"> </w:t>
      </w:r>
      <w:r>
        <w:t xml:space="preserve">denotes projected total June visitors from country</w:t>
      </w:r>
      <w:r>
        <w:t xml:space="preserve"> </w:t>
      </w:r>
      <m:oMath>
        <m:r>
          <m:t>c</m:t>
        </m:r>
      </m:oMath>
      <w:r>
        <w:t xml:space="preserve"> </w:t>
      </w:r>
      <w:r>
        <w:t xml:space="preserve">in year</w:t>
      </w:r>
      <w:r>
        <w:t xml:space="preserve"> </w:t>
      </w:r>
      <m:oMath>
        <m:r>
          <m:t>t</m:t>
        </m:r>
      </m:oMath>
      <w:r>
        <w:t xml:space="preserve">. Three country classes are distinguished:</w:t>
      </w:r>
    </w:p>
    <w:p>
      <w:pPr>
        <w:numPr>
          <w:ilvl w:val="0"/>
          <w:numId w:val="1001"/>
        </w:numPr>
      </w:pPr>
      <w:r>
        <w:rPr>
          <w:b/>
          <w:bCs/>
        </w:rPr>
        <w:t xml:space="preserve">Top-12 inbound markets</w:t>
      </w:r>
      <w:r>
        <w:t xml:space="preserve"> </w:t>
      </w:r>
      <w:r>
        <w:t xml:space="preserve">(Australia, Brazil, Canada,</w:t>
      </w:r>
      <w:r>
        <w:t xml:space="preserve"> </w:t>
      </w:r>
      <w:r>
        <w:t xml:space="preserve">China, France, Germany, India, Italy, Japan, Mexico, South Korea,</w:t>
      </w:r>
      <w:r>
        <w:t xml:space="preserve"> </w:t>
      </w:r>
      <w:r>
        <w:t xml:space="preserve">UK) — NTTO country-specific projections:</w:t>
      </w:r>
    </w:p>
    <w:p>
      <w:pPr>
        <w:pStyle w:val="BodyText"/>
      </w:pPr>
      <m:oMathPara>
        <m:oMathParaPr>
          <m:jc m:val="center"/>
        </m:oMathParaPr>
        <m:oMath>
          <m:sSub>
            <m:e>
              <m:r>
                <m:t>ϕ</m:t>
              </m:r>
            </m:e>
            <m:sub>
              <m:r>
                <m:t>c</m:t>
              </m:r>
            </m:sub>
          </m:sSub>
          <m:r>
            <m:rPr>
              <m:sty m:val="p"/>
            </m:rPr>
            <m:t>=</m:t>
          </m:r>
          <m:f>
            <m:fPr>
              <m:type m:val="bar"/>
            </m:fPr>
            <m:num>
              <m:sSubSup>
                <m:e>
                  <m:r>
                    <m:t>A</m:t>
                  </m:r>
                </m:e>
                <m:sub>
                  <m:r>
                    <m:t>c</m:t>
                  </m:r>
                  <m:r>
                    <m:rPr>
                      <m:sty m:val="p"/>
                    </m:rPr>
                    <m:t>,</m:t>
                  </m:r>
                  <m:r>
                    <m:t>2026</m:t>
                  </m:r>
                </m:sub>
                <m:sup>
                  <m:r>
                    <m:rPr>
                      <m:nor/>
                      <m:sty m:val="p"/>
                    </m:rPr>
                    <m:t>NTTO</m:t>
                  </m:r>
                </m:sup>
              </m:sSubSup>
            </m:num>
            <m:den>
              <m:sSub>
                <m:e>
                  <m:r>
                    <m:t>A</m:t>
                  </m:r>
                </m:e>
                <m:sub>
                  <m:r>
                    <m:t>c</m:t>
                  </m:r>
                  <m:r>
                    <m:rPr>
                      <m:sty m:val="p"/>
                    </m:rPr>
                    <m:t>,</m:t>
                  </m:r>
                  <m:r>
                    <m:t>2024</m:t>
                  </m:r>
                </m:sub>
              </m:sSub>
            </m:den>
          </m:f>
        </m:oMath>
      </m:oMathPara>
    </w:p>
    <w:p>
      <w:pPr>
        <w:numPr>
          <w:ilvl w:val="0"/>
          <w:numId w:val="1000"/>
        </w:numPr>
      </w:pPr>
      <w:r>
        <w:t xml:space="preserve">The World Cup effect is already embedded in the NTTO forecast.</w:t>
      </w:r>
      <w:r>
        <w:t xml:space="preserve"> </w:t>
      </w:r>
      <w:r>
        <w:t xml:space="preserve">The background (non-WC) trend component</w:t>
      </w:r>
      <w:r>
        <w:t xml:space="preserve"> </w:t>
      </w:r>
      <m:oMath>
        <m:sSub>
          <m:e>
            <m:r>
              <m:t>g</m:t>
            </m:r>
          </m:e>
          <m:sub>
            <m:r>
              <m:t>c</m:t>
            </m:r>
          </m:sub>
        </m:sSub>
      </m:oMath>
      <w:r>
        <w:t xml:space="preserve"> </w:t>
      </w:r>
      <w:r>
        <w:t xml:space="preserve">is derived from</w:t>
      </w:r>
      <w:r>
        <w:t xml:space="preserve"> </w:t>
      </w:r>
      <w:r>
        <w:t xml:space="preserve">the pre-tournament NTTO trend excluding the tournament increment.</w:t>
      </w:r>
    </w:p>
    <w:p>
      <w:pPr>
        <w:numPr>
          <w:ilvl w:val="0"/>
          <w:numId w:val="1001"/>
        </w:numPr>
      </w:pPr>
      <w:r>
        <w:rPr>
          <w:b/>
          <w:bCs/>
        </w:rPr>
        <w:t xml:space="preserve">Other WC-qualified nations</w:t>
      </w:r>
      <w:r>
        <w:t xml:space="preserve"> </w:t>
      </w:r>
      <w:r>
        <w:t xml:space="preserve">— a uniform World Cup</w:t>
      </w:r>
      <w:r>
        <w:t xml:space="preserve"> </w:t>
      </w:r>
      <w:r>
        <w:t xml:space="preserve">growth factor is applied:</w:t>
      </w:r>
    </w:p>
    <w:p>
      <w:pPr>
        <w:pStyle w:val="BodyText"/>
      </w:pPr>
      <m:oMathPara>
        <m:oMathParaPr>
          <m:jc m:val="center"/>
        </m:oMathParaPr>
        <m:oMath>
          <m:sSub>
            <m:e>
              <m:r>
                <m:t>ϕ</m:t>
              </m:r>
            </m:e>
            <m:sub>
              <m:r>
                <m:t>c</m:t>
              </m:r>
            </m:sub>
          </m:sSub>
          <m:r>
            <m:rPr>
              <m:sty m:val="p"/>
            </m:rPr>
            <m:t>=</m:t>
          </m:r>
          <m:sSup>
            <m:e>
              <m:r>
                <m:t>ϕ</m:t>
              </m:r>
            </m:e>
            <m:sup>
              <m:r>
                <m:rPr>
                  <m:nor/>
                  <m:sty m:val="p"/>
                </m:rPr>
                <m:t>WC</m:t>
              </m:r>
            </m:sup>
          </m:sSup>
          <m:r>
            <m:rPr>
              <m:sty m:val="p"/>
            </m:rPr>
            <m:t>=</m:t>
          </m:r>
          <m:f>
            <m:fPr>
              <m:type m:val="bar"/>
            </m:fPr>
            <m:num>
              <m:r>
                <m:t>85</m:t>
              </m:r>
              <m:r>
                <m:rPr>
                  <m:sty m:val="p"/>
                </m:rPr>
                <m:t>,</m:t>
              </m:r>
              <m:r>
                <m:t>017</m:t>
              </m:r>
            </m:num>
            <m:den>
              <m:r>
                <m:t>72</m:t>
              </m:r>
              <m:r>
                <m:rPr>
                  <m:sty m:val="p"/>
                </m:rPr>
                <m:t>,</m:t>
              </m:r>
              <m:r>
                <m:t>390</m:t>
              </m:r>
            </m:den>
          </m:f>
          <m:r>
            <m:rPr>
              <m:sty m:val="p"/>
            </m:rPr>
            <m:t>=</m:t>
          </m:r>
          <m:r>
            <m:t>1.174</m:t>
          </m:r>
        </m:oMath>
      </m:oMathPara>
    </w:p>
    <w:p>
      <w:pPr>
        <w:numPr>
          <w:ilvl w:val="0"/>
          <w:numId w:val="1000"/>
        </w:numPr>
      </w:pPr>
      <w:r>
        <w:t xml:space="preserve">reflecting the aggregate fan-travel surge for smaller qualified</w:t>
      </w:r>
      <w:r>
        <w:t xml:space="preserve"> </w:t>
      </w:r>
      <w:r>
        <w:t xml:space="preserve">markets (NTTO 2025 report). The background trend component is</w:t>
      </w:r>
      <w:r>
        <w:t xml:space="preserve"> </w:t>
      </w:r>
      <m:oMath>
        <m:sSub>
          <m:e>
            <m:r>
              <m:t>g</m:t>
            </m:r>
          </m:e>
          <m:sub>
            <m:r>
              <m:t>c</m:t>
            </m:r>
          </m:sub>
        </m:sSub>
        <m:r>
          <m:rPr>
            <m:sty m:val="p"/>
          </m:rPr>
          <m:t>=</m:t>
        </m:r>
        <m:sSup>
          <m:e>
            <m:r>
              <m:t>ϕ</m:t>
            </m:r>
          </m:e>
          <m:sup>
            <m:r>
              <m:rPr>
                <m:nor/>
                <m:sty m:val="p"/>
              </m:rPr>
              <m:t>bg</m:t>
            </m:r>
          </m:sup>
        </m:sSup>
        <m:r>
          <m:rPr>
            <m:sty m:val="p"/>
          </m:rPr>
          <m:t>=</m:t>
        </m:r>
        <m:r>
          <m:t>1.077</m:t>
        </m:r>
      </m:oMath>
      <w:r>
        <w:t xml:space="preserve">, so the WC-specific fan</w:t>
      </w:r>
      <w:r>
        <w:t xml:space="preserve"> </w:t>
      </w:r>
      <w:r>
        <w:t xml:space="preserve">increment is</w:t>
      </w:r>
      <w:r>
        <w:t xml:space="preserve"> </w:t>
      </w:r>
      <m:oMath>
        <m:sSub>
          <m:e>
            <m:r>
              <m:t>ϕ</m:t>
            </m:r>
          </m:e>
          <m:sub>
            <m:r>
              <m:t>c</m:t>
            </m:r>
          </m:sub>
        </m:sSub>
        <m:r>
          <m:rPr>
            <m:sty m:val="p"/>
          </m:rPr>
          <m:t>−</m:t>
        </m:r>
        <m:sSub>
          <m:e>
            <m:r>
              <m:t>g</m:t>
            </m:r>
          </m:e>
          <m:sub>
            <m:r>
              <m:t>c</m:t>
            </m:r>
          </m:sub>
        </m:sSub>
        <m:r>
          <m:rPr>
            <m:sty m:val="p"/>
          </m:rPr>
          <m:t>=</m:t>
        </m:r>
        <m:r>
          <m:t>0.097</m:t>
        </m:r>
      </m:oMath>
      <w:r>
        <w:t xml:space="preserve">.</w:t>
      </w:r>
    </w:p>
    <w:p>
      <w:pPr>
        <w:numPr>
          <w:ilvl w:val="0"/>
          <w:numId w:val="1001"/>
        </w:numPr>
      </w:pPr>
      <w:r>
        <w:rPr>
          <w:b/>
          <w:bCs/>
        </w:rPr>
        <w:t xml:space="preserve">Non-qualified nations</w:t>
      </w:r>
      <w:r>
        <w:t xml:space="preserve"> </w:t>
      </w:r>
      <w:r>
        <w:t xml:space="preserve">— no WC adjustment is made:</w:t>
      </w:r>
    </w:p>
    <w:p>
      <w:pPr>
        <w:pStyle w:val="BodyText"/>
      </w:pPr>
      <m:oMathPara>
        <m:oMathParaPr>
          <m:jc m:val="center"/>
        </m:oMathParaPr>
        <m:oMath>
          <m:sSub>
            <m:e>
              <m:r>
                <m:t>ϕ</m:t>
              </m:r>
            </m:e>
            <m:sub>
              <m:r>
                <m:t>c</m:t>
              </m:r>
            </m:sub>
          </m:sSub>
          <m:r>
            <m:rPr>
              <m:sty m:val="p"/>
            </m:rPr>
            <m:t>=</m:t>
          </m:r>
          <m:sSub>
            <m:e>
              <m:r>
                <m:t>g</m:t>
              </m:r>
            </m:e>
            <m:sub>
              <m:r>
                <m:t>c</m:t>
              </m:r>
            </m:sub>
          </m:sSub>
          <m:r>
            <m:rPr>
              <m:sty m:val="p"/>
            </m:rPr>
            <m:t>=</m:t>
          </m:r>
          <m:sSup>
            <m:e>
              <m:r>
                <m:t>ϕ</m:t>
              </m:r>
            </m:e>
            <m:sup>
              <m:r>
                <m:rPr>
                  <m:nor/>
                  <m:sty m:val="p"/>
                </m:rPr>
                <m:t>bg</m:t>
              </m:r>
            </m:sup>
          </m:sSup>
          <m:r>
            <m:rPr>
              <m:sty m:val="p"/>
            </m:rPr>
            <m:t>=</m:t>
          </m:r>
          <m:r>
            <m:t>1.077</m:t>
          </m:r>
        </m:oMath>
      </m:oMathPara>
    </w:p>
    <w:p>
      <w:pPr>
        <w:numPr>
          <w:ilvl w:val="0"/>
          <w:numId w:val="1000"/>
        </w:numPr>
      </w:pPr>
      <w:r>
        <w:t xml:space="preserve">where</w:t>
      </w:r>
      <w:r>
        <w:t xml:space="preserve"> </w:t>
      </w:r>
      <m:oMath>
        <m:sSup>
          <m:e>
            <m:r>
              <m:t>ϕ</m:t>
            </m:r>
          </m:e>
          <m:sup>
            <m:r>
              <m:rPr>
                <m:nor/>
                <m:sty m:val="p"/>
              </m:rPr>
              <m:t>bg</m:t>
            </m:r>
          </m:sup>
        </m:sSup>
      </m:oMath>
      <w:r>
        <w:t xml:space="preserve"> </w:t>
      </w:r>
      <w:r>
        <w:t xml:space="preserve">is the data-driven background growth</w:t>
      </w:r>
      <w:r>
        <w:t xml:space="preserve"> </w:t>
      </w:r>
      <w:r>
        <w:t xml:space="preserve">rate estimated from COR and T-100 data (June 2023–2025).</w:t>
      </w:r>
      <w:r>
        <w:t xml:space="preserve"> </w:t>
      </w:r>
      <w:r>
        <w:t xml:space="preserve">By construction,</w:t>
      </w:r>
      <w:r>
        <w:t xml:space="preserve"> </w:t>
      </w:r>
      <m:oMath>
        <m:sSub>
          <m:e>
            <m:r>
              <m:t>ϕ</m:t>
            </m:r>
          </m:e>
          <m:sub>
            <m:r>
              <m:t>c</m:t>
            </m:r>
          </m:sub>
        </m:sSub>
        <m:r>
          <m:rPr>
            <m:sty m:val="p"/>
          </m:rPr>
          <m:t>−</m:t>
        </m:r>
        <m:sSub>
          <m:e>
            <m:r>
              <m:t>g</m:t>
            </m:r>
          </m:e>
          <m:sub>
            <m:r>
              <m:t>c</m:t>
            </m:r>
          </m:sub>
        </m:sSub>
        <m:r>
          <m:rPr>
            <m:sty m:val="p"/>
          </m:rPr>
          <m:t>=</m:t>
        </m:r>
        <m:r>
          <m:t>0</m:t>
        </m:r>
      </m:oMath>
      <w:r>
        <w:t xml:space="preserve"> </w:t>
      </w:r>
      <w:r>
        <w:t xml:space="preserve">for non-qualified countries.</w:t>
      </w:r>
    </w:p>
    <w:bookmarkEnd w:id="112"/>
    <w:bookmarkStart w:id="113" w:name="X1da091c11d93f304ece00c136ce1d16176c30f8"/>
    <w:p>
      <w:pPr>
        <w:pStyle w:val="Heading3"/>
      </w:pPr>
      <w:r>
        <w:t xml:space="preserve">A.4 Schedule-driven routing fraction</w:t>
      </w:r>
      <w:r>
        <w:t xml:space="preserve"> </w:t>
      </w:r>
      <m:oMath>
        <m:sSub>
          <m:e>
            <m:r>
              <m:t>ω</m:t>
            </m:r>
          </m:e>
          <m:sub>
            <m:r>
              <m:t>c</m:t>
            </m:r>
            <m:r>
              <m:rPr>
                <m:sty m:val="p"/>
              </m:rPr>
              <m:t>,</m:t>
            </m:r>
            <m:r>
              <m:t>v</m:t>
            </m:r>
          </m:sub>
        </m:sSub>
      </m:oMath>
    </w:p>
    <w:p>
      <w:pPr>
        <w:pStyle w:val="FirstParagraph"/>
      </w:pPr>
      <w:r>
        <w:t xml:space="preserve">For WC-qualified nation</w:t>
      </w:r>
      <w:r>
        <w:t xml:space="preserve"> </w:t>
      </w:r>
      <m:oMath>
        <m:r>
          <m:t>c</m:t>
        </m:r>
      </m:oMath>
      <w:r>
        <w:t xml:space="preserve">, the fan stream is routed proportionally</w:t>
      </w:r>
      <w:r>
        <w:t xml:space="preserve"> </w:t>
      </w:r>
      <w:r>
        <w:t xml:space="preserve">to the share of its group-stage matches played at each US venue:</w:t>
      </w:r>
    </w:p>
    <w:p>
      <w:pPr>
        <w:pStyle w:val="BodyText"/>
      </w:pPr>
      <m:oMathPara>
        <m:oMathParaPr>
          <m:jc m:val="center"/>
        </m:oMathParaPr>
        <m:oMath>
          <m:sSub>
            <m:e>
              <m:r>
                <m:t>ω</m:t>
              </m:r>
            </m:e>
            <m:sub>
              <m:r>
                <m:t>c</m:t>
              </m:r>
              <m:r>
                <m:rPr>
                  <m:sty m:val="p"/>
                </m:rPr>
                <m:t>,</m:t>
              </m:r>
              <m:r>
                <m:t>v</m:t>
              </m:r>
            </m:sub>
          </m:sSub>
          <m:r>
            <m:rPr>
              <m:sty m:val="p"/>
            </m:rPr>
            <m:t>=</m:t>
          </m:r>
          <m:f>
            <m:fPr>
              <m:type m:val="bar"/>
            </m:fPr>
            <m:num>
              <m:sSub>
                <m:e>
                  <m:r>
                    <m:t>m</m:t>
                  </m:r>
                </m:e>
                <m:sub>
                  <m:r>
                    <m:t>c</m:t>
                  </m:r>
                  <m:r>
                    <m:rPr>
                      <m:sty m:val="p"/>
                    </m:rPr>
                    <m:t>,</m:t>
                  </m:r>
                  <m:r>
                    <m:t>v</m:t>
                  </m:r>
                </m:sub>
              </m:sSub>
            </m:num>
            <m:den>
              <m:sSub>
                <m:e>
                  <m:r>
                    <m:t>M</m:t>
                  </m:r>
                </m:e>
                <m:sub>
                  <m:r>
                    <m:t>c</m:t>
                  </m:r>
                </m:sub>
              </m:sSub>
            </m:den>
          </m:f>
          <m:r>
            <m:rPr>
              <m:sty m:val="p"/>
            </m:rPr>
            <m:t>=</m:t>
          </m:r>
          <m:f>
            <m:fPr>
              <m:type m:val="bar"/>
            </m:fPr>
            <m:num>
              <m:sSub>
                <m:e>
                  <m:r>
                    <m:t>m</m:t>
                  </m:r>
                </m:e>
                <m:sub>
                  <m:r>
                    <m:t>c</m:t>
                  </m:r>
                  <m:r>
                    <m:rPr>
                      <m:sty m:val="p"/>
                    </m:rPr>
                    <m:t>,</m:t>
                  </m:r>
                  <m:r>
                    <m:t>v</m:t>
                  </m:r>
                </m:sub>
              </m:sSub>
            </m:num>
            <m:den>
              <m:r>
                <m:t>3</m:t>
              </m:r>
            </m:den>
          </m:f>
          <m:r>
            <m:t> </m:t>
          </m:r>
          <m:r>
            <m:rPr>
              <m:nor/>
              <m:sty m:val="p"/>
            </m:rPr>
            <m:t>(US venues only)</m:t>
          </m:r>
        </m:oMath>
      </m:oMathPara>
    </w:p>
    <w:p>
      <w:pPr>
        <w:pStyle w:val="FirstParagraph"/>
      </w:pPr>
      <w:r>
        <w:t xml:space="preserve">If country</w:t>
      </w:r>
      <w:r>
        <w:t xml:space="preserve"> </w:t>
      </w:r>
      <m:oMath>
        <m:r>
          <m:t>c</m:t>
        </m:r>
      </m:oMath>
      <w:r>
        <w:t xml:space="preserve"> </w:t>
      </w:r>
      <w:r>
        <w:t xml:space="preserve">plays no matches at US venue</w:t>
      </w:r>
      <w:r>
        <w:t xml:space="preserve"> </w:t>
      </w:r>
      <m:oMath>
        <m:r>
          <m:t>v</m:t>
        </m:r>
      </m:oMath>
      <w:r>
        <w:t xml:space="preserve"> </w:t>
      </w:r>
      <w:r>
        <w:t xml:space="preserve">then</w:t>
      </w:r>
      <w:r>
        <w:t xml:space="preserve"> </w:t>
      </w:r>
      <m:oMath>
        <m:sSub>
          <m:e>
            <m:r>
              <m:t>ω</m:t>
            </m:r>
          </m:e>
          <m:sub>
            <m:r>
              <m:t>c</m:t>
            </m:r>
            <m:r>
              <m:rPr>
                <m:sty m:val="p"/>
              </m:rPr>
              <m:t>,</m:t>
            </m:r>
            <m:r>
              <m:t>v</m:t>
            </m:r>
          </m:sub>
        </m:sSub>
        <m:r>
          <m:rPr>
            <m:sty m:val="p"/>
          </m:rPr>
          <m:t>=</m:t>
        </m:r>
        <m:r>
          <m:t>0</m:t>
        </m:r>
      </m:oMath>
      <w:r>
        <w:t xml:space="preserve">. Matches played at Canadian or Mexican venues</w:t>
      </w:r>
      <w:r>
        <w:t xml:space="preserve"> </w:t>
      </w:r>
      <w:r>
        <w:t xml:space="preserve">contribute to</w:t>
      </w:r>
      <w:r>
        <w:t xml:space="preserve"> </w:t>
      </w:r>
      <m:oMath>
        <m:sSub>
          <m:e>
            <m:r>
              <m:t>M</m:t>
            </m:r>
          </m:e>
          <m:sub>
            <m:r>
              <m:t>c</m:t>
            </m:r>
          </m:sub>
        </m:sSub>
      </m:oMath>
      <w:r>
        <w:t xml:space="preserve"> </w:t>
      </w:r>
      <w:r>
        <w:t xml:space="preserve">but not to any US</w:t>
      </w:r>
      <w:r>
        <w:t xml:space="preserve"> </w:t>
      </w:r>
      <m:oMath>
        <m:sSub>
          <m:e>
            <m:r>
              <m:t>ω</m:t>
            </m:r>
          </m:e>
          <m:sub>
            <m:r>
              <m:t>c</m:t>
            </m:r>
            <m:r>
              <m:rPr>
                <m:sty m:val="p"/>
              </m:rPr>
              <m:t>,</m:t>
            </m:r>
            <m:r>
              <m:t>v</m:t>
            </m:r>
          </m:sub>
        </m:sSub>
      </m:oMath>
      <w:r>
        <w:t xml:space="preserve">, so:</w:t>
      </w:r>
    </w:p>
    <w:p>
      <w:pPr>
        <w:pStyle w:val="BodyText"/>
      </w:pPr>
      <m:oMathPara>
        <m:oMathParaPr>
          <m:jc m:val="center"/>
        </m:oMathParaPr>
        <m:oMath>
          <m:nary>
            <m:naryPr>
              <m:chr m:val="∑"/>
              <m:limLoc m:val="undOvr"/>
              <m:subHide m:val="off"/>
              <m:supHide m:val="off"/>
            </m:naryPr>
            <m:sub>
              <m:r>
                <m:t>v</m:t>
              </m:r>
              <m:r>
                <m:rPr>
                  <m:sty m:val="p"/>
                </m:rPr>
                <m:t>=</m:t>
              </m:r>
              <m:r>
                <m:t>1</m:t>
              </m:r>
            </m:sub>
            <m:sup>
              <m:r>
                <m:t>11</m:t>
              </m:r>
            </m:sup>
            <m:e>
              <m:sSub>
                <m:e>
                  <m:r>
                    <m:t>ω</m:t>
                  </m:r>
                </m:e>
                <m:sub>
                  <m:r>
                    <m:t>c</m:t>
                  </m:r>
                  <m:r>
                    <m:rPr>
                      <m:sty m:val="p"/>
                    </m:rPr>
                    <m:t>,</m:t>
                  </m:r>
                  <m:r>
                    <m:t>v</m:t>
                  </m:r>
                </m:sub>
              </m:sSub>
            </m:e>
          </m:nary>
          <m:r>
            <m:rPr>
              <m:sty m:val="p"/>
            </m:rPr>
            <m:t>=</m:t>
          </m:r>
          <m:f>
            <m:fPr>
              <m:type m:val="bar"/>
            </m:fPr>
            <m:num>
              <m:r>
                <m:rPr>
                  <m:nor/>
                  <m:sty m:val="p"/>
                </m:rPr>
                <m:t>(US matches of </m:t>
              </m:r>
              <m:r>
                <m:t>c</m:t>
              </m:r>
              <m:r>
                <m:rPr>
                  <m:sty m:val="p"/>
                </m:rPr>
                <m:t>)</m:t>
              </m:r>
            </m:num>
            <m:den>
              <m:r>
                <m:t>3</m:t>
              </m:r>
            </m:den>
          </m:f>
          <m:r>
            <m:t> </m:t>
          </m:r>
          <m:r>
            <m:rPr>
              <m:sty m:val="p"/>
            </m:rPr>
            <m:t>≤</m:t>
          </m:r>
          <m:r>
            <m:t> </m:t>
          </m:r>
          <m:r>
            <m:t>1</m:t>
          </m:r>
        </m:oMath>
      </m:oMathPara>
    </w:p>
    <w:p>
      <w:pPr>
        <w:pStyle w:val="FirstParagraph"/>
      </w:pPr>
      <w:r>
        <w:t xml:space="preserve">with strict inequality for nations playing one or more matches</w:t>
      </w:r>
      <w:r>
        <w:t xml:space="preserve"> </w:t>
      </w:r>
      <w:r>
        <w:t xml:space="preserve">outside the US. For non-qualified nations no WC fan stream exists</w:t>
      </w:r>
      <w:r>
        <w:t xml:space="preserve"> </w:t>
      </w:r>
      <w:r>
        <w:t xml:space="preserve">and</w:t>
      </w:r>
      <w:r>
        <w:t xml:space="preserve"> </w:t>
      </w:r>
      <m:oMath>
        <m:sSub>
          <m:e>
            <m:r>
              <m:t>ω</m:t>
            </m:r>
          </m:e>
          <m:sub>
            <m:r>
              <m:t>c</m:t>
            </m:r>
            <m:r>
              <m:rPr>
                <m:sty m:val="p"/>
              </m:rPr>
              <m:t>,</m:t>
            </m:r>
            <m:r>
              <m:t>v</m:t>
            </m:r>
          </m:sub>
        </m:sSub>
      </m:oMath>
      <w:r>
        <w:t xml:space="preserve"> </w:t>
      </w:r>
      <w:r>
        <w:t xml:space="preserve">is not used.</w:t>
      </w:r>
    </w:p>
    <w:bookmarkEnd w:id="113"/>
    <w:bookmarkStart w:id="114" w:name="a.5-travel-decomposition-for-m3"/>
    <w:p>
      <w:pPr>
        <w:pStyle w:val="Heading3"/>
      </w:pPr>
      <w:r>
        <w:t xml:space="preserve">A.5 Travel decomposition for M3</w:t>
      </w:r>
    </w:p>
    <w:p>
      <w:pPr>
        <w:pStyle w:val="FirstParagraph"/>
      </w:pPr>
      <w:r>
        <w:t xml:space="preserve">Model 3 separates total projected 2026 arrivals from country</w:t>
      </w:r>
      <w:r>
        <w:t xml:space="preserve"> </w:t>
      </w:r>
      <m:oMath>
        <m:r>
          <m:t>c</m:t>
        </m:r>
      </m:oMath>
      <w:r>
        <w:t xml:space="preserve"> </w:t>
      </w:r>
      <w:r>
        <w:t xml:space="preserve">into a background stream and a WC fan stream:</w:t>
      </w:r>
    </w:p>
    <w:p>
      <w:pPr>
        <w:pStyle w:val="BodyText"/>
      </w:pPr>
      <m:oMathPara>
        <m:oMathParaPr>
          <m:jc m:val="center"/>
        </m:oMathParaPr>
        <m:oMath>
          <m:sSubSup>
            <m:e>
              <m:r>
                <m:t>N</m:t>
              </m:r>
            </m:e>
            <m:sub>
              <m:r>
                <m:t>c</m:t>
              </m:r>
            </m:sub>
            <m:sup>
              <m:r>
                <m:rPr>
                  <m:nor/>
                  <m:sty m:val="p"/>
                </m:rPr>
                <m:t>WC</m:t>
              </m:r>
            </m:sup>
          </m:sSubSup>
          <m:r>
            <m:rPr>
              <m:sty m:val="p"/>
            </m:rPr>
            <m:t>=</m:t>
          </m:r>
          <m:sSub>
            <m:e>
              <m:r>
                <m:t>A</m:t>
              </m:r>
            </m:e>
            <m:sub>
              <m:r>
                <m:t>c</m:t>
              </m:r>
            </m:sub>
          </m:sSub>
          <m:r>
            <m:rPr>
              <m:sty m:val="p"/>
            </m:rPr>
            <m:t>⋅</m:t>
          </m:r>
          <m:r>
            <m:rPr>
              <m:sty m:val="p"/>
            </m:rPr>
            <m:t>max</m:t>
          </m:r>
          <m:r>
            <m:t/>
          </m:r>
          <m:d>
            <m:dPr>
              <m:begChr m:val="("/>
              <m:sepChr m:val=""/>
              <m:endChr m:val=")"/>
              <m:grow/>
            </m:dPr>
            <m:e>
              <m:r>
                <m:t>0</m:t>
              </m:r>
              <m:r>
                <m:rPr>
                  <m:sty m:val="p"/>
                </m:rPr>
                <m:t>,</m:t>
              </m:r>
              <m:r>
                <m:t> </m:t>
              </m:r>
              <m:sSub>
                <m:e>
                  <m:r>
                    <m:t>ϕ</m:t>
                  </m:r>
                </m:e>
                <m:sub>
                  <m:r>
                    <m:t>c</m:t>
                  </m:r>
                </m:sub>
              </m:sSub>
              <m:r>
                <m:rPr>
                  <m:sty m:val="p"/>
                </m:rPr>
                <m:t>−</m:t>
              </m:r>
              <m:sSub>
                <m:e>
                  <m:r>
                    <m:t>g</m:t>
                  </m:r>
                </m:e>
                <m:sub>
                  <m:r>
                    <m:t>c</m:t>
                  </m:r>
                </m:sub>
              </m:sSub>
            </m:e>
          </m:d>
          <m:r>
            <m:t>  </m:t>
          </m:r>
          <m:sSubSup>
            <m:e>
              <m:r>
                <m:t>N</m:t>
              </m:r>
            </m:e>
            <m:sub>
              <m:r>
                <m:t>c</m:t>
              </m:r>
            </m:sub>
            <m:sup>
              <m:r>
                <m:rPr>
                  <m:nor/>
                  <m:sty m:val="p"/>
                </m:rPr>
                <m:t>bg</m:t>
              </m:r>
            </m:sup>
          </m:sSubSup>
          <m:r>
            <m:rPr>
              <m:sty m:val="p"/>
            </m:rPr>
            <m:t>=</m:t>
          </m:r>
          <m:sSub>
            <m:e>
              <m:r>
                <m:t>A</m:t>
              </m:r>
            </m:e>
            <m:sub>
              <m:r>
                <m:t>c</m:t>
              </m:r>
            </m:sub>
          </m:sSub>
          <m:r>
            <m:rPr>
              <m:sty m:val="p"/>
            </m:rPr>
            <m:t>⋅</m:t>
          </m:r>
          <m:sSub>
            <m:e>
              <m:r>
                <m:t>g</m:t>
              </m:r>
            </m:e>
            <m:sub>
              <m:r>
                <m:t>c</m:t>
              </m:r>
            </m:sub>
          </m:sSub>
        </m:oMath>
      </m:oMathPara>
    </w:p>
    <w:p>
      <w:pPr>
        <w:pStyle w:val="FirstParagraph"/>
      </w:pPr>
      <w:r>
        <w:t xml:space="preserve">Note that</w:t>
      </w:r>
      <w:r>
        <w:t xml:space="preserve"> </w:t>
      </w:r>
      <m:oMath>
        <m:sSubSup>
          <m:e>
            <m:r>
              <m:t>N</m:t>
            </m:r>
          </m:e>
          <m:sub>
            <m:r>
              <m:t>c</m:t>
            </m:r>
          </m:sub>
          <m:sup>
            <m:r>
              <m:rPr>
                <m:nor/>
                <m:sty m:val="p"/>
              </m:rPr>
              <m:t>WC</m:t>
            </m:r>
          </m:sup>
        </m:sSubSup>
        <m:r>
          <m:rPr>
            <m:sty m:val="p"/>
          </m:rPr>
          <m:t>+</m:t>
        </m:r>
        <m:sSubSup>
          <m:e>
            <m:r>
              <m:t>N</m:t>
            </m:r>
          </m:e>
          <m:sub>
            <m:r>
              <m:t>c</m:t>
            </m:r>
          </m:sub>
          <m:sup>
            <m:r>
              <m:rPr>
                <m:nor/>
                <m:sty m:val="p"/>
              </m:rPr>
              <m:t>bg</m:t>
            </m:r>
          </m:sup>
        </m:sSubSup>
        <m:r>
          <m:rPr>
            <m:sty m:val="p"/>
          </m:rPr>
          <m:t>=</m:t>
        </m:r>
        <m:sSub>
          <m:e>
            <m:r>
              <m:t>A</m:t>
            </m:r>
          </m:e>
          <m:sub>
            <m:r>
              <m:t>c</m:t>
            </m:r>
          </m:sub>
        </m:sSub>
        <m:r>
          <m:rPr>
            <m:sty m:val="p"/>
          </m:rPr>
          <m:t>⋅</m:t>
        </m:r>
        <m:sSub>
          <m:e>
            <m:r>
              <m:t>ϕ</m:t>
            </m:r>
          </m:e>
          <m:sub>
            <m:r>
              <m:t>c</m:t>
            </m:r>
          </m:sub>
        </m:sSub>
      </m:oMath>
      <w:r>
        <w:t xml:space="preserve">,</w:t>
      </w:r>
      <w:r>
        <w:t xml:space="preserve"> </w:t>
      </w:r>
      <w:r>
        <w:t xml:space="preserve">so the decomposition is exact and exhaustive. For non-qualified</w:t>
      </w:r>
      <w:r>
        <w:t xml:space="preserve"> </w:t>
      </w:r>
      <w:r>
        <w:t xml:space="preserve">countries</w:t>
      </w:r>
      <w:r>
        <w:t xml:space="preserve"> </w:t>
      </w:r>
      <m:oMath>
        <m:sSub>
          <m:e>
            <m:r>
              <m:t>ϕ</m:t>
            </m:r>
          </m:e>
          <m:sub>
            <m:r>
              <m:t>c</m:t>
            </m:r>
          </m:sub>
        </m:sSub>
        <m:r>
          <m:rPr>
            <m:sty m:val="p"/>
          </m:rPr>
          <m:t>=</m:t>
        </m:r>
        <m:sSub>
          <m:e>
            <m:r>
              <m:t>g</m:t>
            </m:r>
          </m:e>
          <m:sub>
            <m:r>
              <m:t>c</m:t>
            </m:r>
          </m:sub>
        </m:sSub>
      </m:oMath>
      <w:r>
        <w:t xml:space="preserve">, giving</w:t>
      </w:r>
      <w:r>
        <w:t xml:space="preserve"> </w:t>
      </w:r>
      <m:oMath>
        <m:sSubSup>
          <m:e>
            <m:r>
              <m:t>N</m:t>
            </m:r>
          </m:e>
          <m:sub>
            <m:r>
              <m:t>c</m:t>
            </m:r>
          </m:sub>
          <m:sup>
            <m:r>
              <m:rPr>
                <m:nor/>
                <m:sty m:val="p"/>
              </m:rPr>
              <m:t>WC</m:t>
            </m:r>
          </m:sup>
        </m:sSubSup>
        <m:r>
          <m:rPr>
            <m:sty m:val="p"/>
          </m:rPr>
          <m:t>=</m:t>
        </m:r>
        <m:r>
          <m:t>0</m:t>
        </m:r>
      </m:oMath>
      <w:r>
        <w:t xml:space="preserve">. For</w:t>
      </w:r>
      <w:r>
        <w:t xml:space="preserve"> </w:t>
      </w:r>
      <w:r>
        <w:t xml:space="preserve">typical WC-qualified nations the fan increment represents</w:t>
      </w:r>
      <w:r>
        <w:t xml:space="preserve"> </w:t>
      </w:r>
      <w:r>
        <w:t xml:space="preserve">approximately</w:t>
      </w:r>
      <w:r>
        <w:t xml:space="preserve"> </w:t>
      </w:r>
      <m:oMath>
        <m:r>
          <m:rPr>
            <m:sty m:val="p"/>
          </m:rPr>
          <m:t>(</m:t>
        </m:r>
        <m:r>
          <m:t>1.174</m:t>
        </m:r>
        <m:r>
          <m:rPr>
            <m:sty m:val="p"/>
          </m:rPr>
          <m:t>−</m:t>
        </m:r>
        <m:r>
          <m:t>1.077</m:t>
        </m:r>
        <m:r>
          <m:rPr>
            <m:sty m:val="p"/>
          </m:rPr>
          <m:t>)</m:t>
        </m:r>
        <m:r>
          <m:rPr>
            <m:sty m:val="p"/>
          </m:rPr>
          <m:t>/</m:t>
        </m:r>
        <m:r>
          <m:t>1.174</m:t>
        </m:r>
        <m:r>
          <m:rPr>
            <m:sty m:val="p"/>
          </m:rPr>
          <m:t>≈</m:t>
        </m:r>
        <m:r>
          <m:t>8.3</m:t>
        </m:r>
        <m:r>
          <m:rPr>
            <m:sty m:val="p"/>
          </m:rPr>
          <m:t>%</m:t>
        </m:r>
      </m:oMath>
      <w:r>
        <w:t xml:space="preserve"> </w:t>
      </w:r>
      <w:r>
        <w:t xml:space="preserve">of total</w:t>
      </w:r>
      <w:r>
        <w:t xml:space="preserve"> </w:t>
      </w:r>
      <w:r>
        <w:t xml:space="preserve">projected 2026 arrivals.</w:t>
      </w:r>
    </w:p>
    <w:bookmarkEnd w:id="114"/>
    <w:bookmarkStart w:id="118" w:name="a.6-travel-flow-n_cv-by-model-tier"/>
    <w:p>
      <w:pPr>
        <w:pStyle w:val="Heading3"/>
      </w:pPr>
      <w:r>
        <w:t xml:space="preserve">A.6 Travel flow</w:t>
      </w:r>
      <w:r>
        <w:t xml:space="preserve"> </w:t>
      </w:r>
      <m:oMath>
        <m:sSub>
          <m:e>
            <m:r>
              <m:t>N</m:t>
            </m:r>
          </m:e>
          <m:sub>
            <m:r>
              <m:t>c</m:t>
            </m:r>
            <m:r>
              <m:rPr>
                <m:sty m:val="p"/>
              </m:rPr>
              <m:t>,</m:t>
            </m:r>
            <m:r>
              <m:t>v</m:t>
            </m:r>
          </m:sub>
        </m:sSub>
      </m:oMath>
      <w:r>
        <w:t xml:space="preserve"> </w:t>
      </w:r>
      <w:r>
        <w:t xml:space="preserve">by model tier</w:t>
      </w:r>
    </w:p>
    <w:bookmarkStart w:id="115" w:name="m1-baseline."/>
    <w:p>
      <w:pPr>
        <w:pStyle w:val="Heading4"/>
      </w:pPr>
      <w:r>
        <w:t xml:space="preserve">M1 — Baseline.</w:t>
      </w:r>
    </w:p>
    <w:p>
      <w:pPr>
        <w:pStyle w:val="FirstParagraph"/>
      </w:pPr>
      <w:r>
        <w:t xml:space="preserve">Raw June 2024 arrivals distributed by T-100 routing fractions;</w:t>
      </w:r>
      <w:r>
        <w:t xml:space="preserve"> </w:t>
      </w:r>
      <w:r>
        <w:t xml:space="preserve">no growth factor applied.</w:t>
      </w:r>
    </w:p>
    <w:p>
      <w:pPr>
        <w:pStyle w:val="BodyText"/>
      </w:pPr>
      <m:oMathPara>
        <m:oMathParaPr>
          <m:jc m:val="center"/>
        </m:oMathParaPr>
        <m:oMath>
          <m:borderBox>
            <m:e>
              <m:sSubSup>
                <m:e>
                  <m:r>
                    <m:t>N</m:t>
                  </m:r>
                </m:e>
                <m:sub>
                  <m:r>
                    <m:t>c</m:t>
                  </m:r>
                  <m:r>
                    <m:rPr>
                      <m:sty m:val="p"/>
                    </m:rPr>
                    <m:t>,</m:t>
                  </m:r>
                  <m:r>
                    <m:t>v</m:t>
                  </m:r>
                </m:sub>
                <m:sup>
                  <m:r>
                    <m:t>M</m:t>
                  </m:r>
                  <m:r>
                    <m:t>1</m:t>
                  </m:r>
                </m:sup>
              </m:sSubSup>
              <m:r>
                <m:rPr>
                  <m:sty m:val="p"/>
                </m:rPr>
                <m:t>=</m:t>
              </m:r>
              <m:sSub>
                <m:e>
                  <m:r>
                    <m:t>A</m:t>
                  </m:r>
                </m:e>
                <m:sub>
                  <m:r>
                    <m:t>c</m:t>
                  </m:r>
                </m:sub>
              </m:sSub>
              <m:r>
                <m:rPr>
                  <m:sty m:val="p"/>
                </m:rPr>
                <m:t>⋅</m:t>
              </m:r>
              <m:sSubSup>
                <m:e>
                  <m:r>
                    <m:t>f</m:t>
                  </m:r>
                </m:e>
                <m:sub>
                  <m:r>
                    <m:t>c</m:t>
                  </m:r>
                  <m:r>
                    <m:rPr>
                      <m:sty m:val="p"/>
                    </m:rPr>
                    <m:t>,</m:t>
                  </m:r>
                  <m:r>
                    <m:t>v</m:t>
                  </m:r>
                </m:sub>
                <m:sup>
                  <m:r>
                    <m:t>T</m:t>
                  </m:r>
                </m:sup>
              </m:sSubSup>
            </m:e>
          </m:borderBox>
        </m:oMath>
      </m:oMathPara>
    </w:p>
    <w:bookmarkEnd w:id="115"/>
    <w:bookmarkStart w:id="116" w:name="m2-wc-adjusted."/>
    <w:p>
      <w:pPr>
        <w:pStyle w:val="Heading4"/>
      </w:pPr>
      <w:r>
        <w:t xml:space="preserve">M2 — WC-adjusted.</w:t>
      </w:r>
    </w:p>
    <w:p>
      <w:pPr>
        <w:pStyle w:val="FirstParagraph"/>
      </w:pPr>
      <w:r>
        <w:t xml:space="preserve">Projected 2026 arrivals (incorporating the full growth factor</w:t>
      </w:r>
      <w:r>
        <w:t xml:space="preserve"> </w:t>
      </w:r>
      <m:oMath>
        <m:sSub>
          <m:e>
            <m:r>
              <m:t>ϕ</m:t>
            </m:r>
          </m:e>
          <m:sub>
            <m:r>
              <m:t>c</m:t>
            </m:r>
          </m:sub>
        </m:sSub>
      </m:oMath>
      <w:r>
        <w:t xml:space="preserve">) distributed by T-100 routing fractions. All WC fan</w:t>
      </w:r>
      <w:r>
        <w:t xml:space="preserve"> </w:t>
      </w:r>
      <w:r>
        <w:t xml:space="preserve">travel is assigned to US cities regardless of whether matches</w:t>
      </w:r>
      <w:r>
        <w:t xml:space="preserve"> </w:t>
      </w:r>
      <w:r>
        <w:t xml:space="preserve">are played in Canada or Mexico.</w:t>
      </w:r>
    </w:p>
    <w:p>
      <w:pPr>
        <w:pStyle w:val="BodyText"/>
      </w:pPr>
      <m:oMathPara>
        <m:oMathParaPr>
          <m:jc m:val="center"/>
        </m:oMathParaPr>
        <m:oMath>
          <m:borderBox>
            <m:e>
              <m:sSubSup>
                <m:e>
                  <m:r>
                    <m:t>N</m:t>
                  </m:r>
                </m:e>
                <m:sub>
                  <m:r>
                    <m:t>c</m:t>
                  </m:r>
                  <m:r>
                    <m:rPr>
                      <m:sty m:val="p"/>
                    </m:rPr>
                    <m:t>,</m:t>
                  </m:r>
                  <m:r>
                    <m:t>v</m:t>
                  </m:r>
                </m:sub>
                <m:sup>
                  <m:r>
                    <m:t>M</m:t>
                  </m:r>
                  <m:r>
                    <m:t>2</m:t>
                  </m:r>
                </m:sup>
              </m:sSubSup>
              <m:r>
                <m:rPr>
                  <m:sty m:val="p"/>
                </m:rPr>
                <m:t>=</m:t>
              </m:r>
              <m:sSub>
                <m:e>
                  <m:r>
                    <m:t>A</m:t>
                  </m:r>
                </m:e>
                <m:sub>
                  <m:r>
                    <m:t>c</m:t>
                  </m:r>
                </m:sub>
              </m:sSub>
              <m:r>
                <m:rPr>
                  <m:sty m:val="p"/>
                </m:rPr>
                <m:t>⋅</m:t>
              </m:r>
              <m:sSub>
                <m:e>
                  <m:r>
                    <m:t>ϕ</m:t>
                  </m:r>
                </m:e>
                <m:sub>
                  <m:r>
                    <m:t>c</m:t>
                  </m:r>
                </m:sub>
              </m:sSub>
              <m:r>
                <m:rPr>
                  <m:sty m:val="p"/>
                </m:rPr>
                <m:t>⋅</m:t>
              </m:r>
              <m:sSubSup>
                <m:e>
                  <m:r>
                    <m:t>f</m:t>
                  </m:r>
                </m:e>
                <m:sub>
                  <m:r>
                    <m:t>c</m:t>
                  </m:r>
                  <m:r>
                    <m:rPr>
                      <m:sty m:val="p"/>
                    </m:rPr>
                    <m:t>,</m:t>
                  </m:r>
                  <m:r>
                    <m:t>v</m:t>
                  </m:r>
                </m:sub>
                <m:sup>
                  <m:r>
                    <m:t>T</m:t>
                  </m:r>
                </m:sup>
              </m:sSubSup>
            </m:e>
          </m:borderBox>
        </m:oMath>
      </m:oMathPara>
    </w:p>
    <w:bookmarkEnd w:id="116"/>
    <w:bookmarkStart w:id="117" w:name="m3-schedule-driven."/>
    <w:p>
      <w:pPr>
        <w:pStyle w:val="Heading4"/>
      </w:pPr>
      <w:r>
        <w:t xml:space="preserve">M3 — Schedule-driven.</w:t>
      </w:r>
    </w:p>
    <w:p>
      <w:pPr>
        <w:pStyle w:val="FirstParagraph"/>
      </w:pPr>
      <w:r>
        <w:t xml:space="preserve">The background stream is T-100 routed; the WC fan stream is</w:t>
      </w:r>
      <w:r>
        <w:t xml:space="preserve"> </w:t>
      </w:r>
      <w:r>
        <w:t xml:space="preserve">routed by the match schedule:</w:t>
      </w:r>
    </w:p>
    <w:p>
      <w:pPr>
        <w:pStyle w:val="BodyText"/>
      </w:pPr>
      <m:oMathPara>
        <m:oMathParaPr>
          <m:jc m:val="center"/>
        </m:oMathParaPr>
        <m:oMath>
          <m:borderBox>
            <m:e>
              <m:sSubSup>
                <m:e>
                  <m:r>
                    <m:t>N</m:t>
                  </m:r>
                </m:e>
                <m:sub>
                  <m:r>
                    <m:t>c</m:t>
                  </m:r>
                  <m:r>
                    <m:rPr>
                      <m:sty m:val="p"/>
                    </m:rPr>
                    <m:t>,</m:t>
                  </m:r>
                  <m:r>
                    <m:t>v</m:t>
                  </m:r>
                </m:sub>
                <m:sup>
                  <m:r>
                    <m:t>M</m:t>
                  </m:r>
                  <m:r>
                    <m:t>3</m:t>
                  </m:r>
                </m:sup>
              </m:sSubSup>
              <m:r>
                <m:rPr>
                  <m:sty m:val="p"/>
                </m:rPr>
                <m:t>=</m:t>
              </m:r>
              <m:limLow>
                <m:e>
                  <m:limLow>
                    <m:e>
                      <m:sSubSup>
                        <m:e>
                          <m:r>
                            <m:t>N</m:t>
                          </m:r>
                        </m:e>
                        <m:sub>
                          <m:r>
                            <m:t>c</m:t>
                          </m:r>
                        </m:sub>
                        <m:sup>
                          <m:r>
                            <m:rPr>
                              <m:nor/>
                              <m:sty m:val="p"/>
                            </m:rPr>
                            <m:t>bg</m:t>
                          </m:r>
                        </m:sup>
                      </m:sSubSup>
                      <m:r>
                        <m:rPr>
                          <m:sty m:val="p"/>
                        </m:rPr>
                        <m:t>⋅</m:t>
                      </m:r>
                      <m:sSubSup>
                        <m:e>
                          <m:r>
                            <m:t>f</m:t>
                          </m:r>
                        </m:e>
                        <m:sub>
                          <m:r>
                            <m:t>c</m:t>
                          </m:r>
                          <m:r>
                            <m:rPr>
                              <m:sty m:val="p"/>
                            </m:rPr>
                            <m:t>,</m:t>
                          </m:r>
                          <m:r>
                            <m:t>v</m:t>
                          </m:r>
                        </m:sub>
                        <m:sup>
                          <m:r>
                            <m:t>T</m:t>
                          </m:r>
                        </m:sup>
                      </m:sSubSup>
                    </m:e>
                    <m:lim>
                      <m:r>
                        <m:rPr>
                          <m:sty m:val="p"/>
                        </m:rPr>
                        <m:t>⏟</m:t>
                      </m:r>
                    </m:lim>
                  </m:limLow>
                </m:e>
                <m:lim>
                  <m:r>
                    <m:rPr>
                      <m:nor/>
                      <m:sty m:val="p"/>
                    </m:rPr>
                    <m:t>background stream</m:t>
                  </m:r>
                </m:lim>
              </m:limLow>
              <m:r>
                <m:t> </m:t>
              </m:r>
              <m:r>
                <m:rPr>
                  <m:sty m:val="p"/>
                </m:rPr>
                <m:t>+</m:t>
              </m:r>
              <m:r>
                <m:t> </m:t>
              </m:r>
              <m:limLow>
                <m:e>
                  <m:limLow>
                    <m:e>
                      <m:sSubSup>
                        <m:e>
                          <m:r>
                            <m:t>N</m:t>
                          </m:r>
                        </m:e>
                        <m:sub>
                          <m:r>
                            <m:t>c</m:t>
                          </m:r>
                        </m:sub>
                        <m:sup>
                          <m:r>
                            <m:rPr>
                              <m:nor/>
                              <m:sty m:val="p"/>
                            </m:rPr>
                            <m:t>WC</m:t>
                          </m:r>
                        </m:sup>
                      </m:sSubSup>
                      <m:r>
                        <m:rPr>
                          <m:sty m:val="p"/>
                        </m:rPr>
                        <m:t>⋅</m:t>
                      </m:r>
                      <m:sSub>
                        <m:e>
                          <m:r>
                            <m:t>ω</m:t>
                          </m:r>
                        </m:e>
                        <m:sub>
                          <m:r>
                            <m:t>c</m:t>
                          </m:r>
                          <m:r>
                            <m:rPr>
                              <m:sty m:val="p"/>
                            </m:rPr>
                            <m:t>,</m:t>
                          </m:r>
                          <m:r>
                            <m:t>v</m:t>
                          </m:r>
                        </m:sub>
                      </m:sSub>
                    </m:e>
                    <m:lim>
                      <m:r>
                        <m:rPr>
                          <m:sty m:val="p"/>
                        </m:rPr>
                        <m:t>⏟</m:t>
                      </m:r>
                    </m:lim>
                  </m:limLow>
                </m:e>
                <m:lim>
                  <m:r>
                    <m:rPr>
                      <m:nor/>
                      <m:sty m:val="p"/>
                    </m:rPr>
                    <m:t>WC fan stream</m:t>
                  </m:r>
                </m:lim>
              </m:limLow>
              <m:r>
                <m:rPr>
                  <m:sty m:val="p"/>
                </m:rPr>
                <m:t>=</m:t>
              </m:r>
              <m:sSub>
                <m:e>
                  <m:r>
                    <m:t>A</m:t>
                  </m:r>
                </m:e>
                <m:sub>
                  <m:r>
                    <m:t>c</m:t>
                  </m:r>
                </m:sub>
              </m:sSub>
              <m:d>
                <m:dPr>
                  <m:begChr m:val="["/>
                  <m:sepChr m:val=""/>
                  <m:endChr m:val="]"/>
                  <m:grow/>
                </m:dPr>
                <m:e>
                  <m:sSub>
                    <m:e>
                      <m:r>
                        <m:t>g</m:t>
                      </m:r>
                    </m:e>
                    <m:sub>
                      <m:r>
                        <m:t>c</m:t>
                      </m:r>
                    </m:sub>
                  </m:sSub>
                  <m:r>
                    <m:rPr>
                      <m:sty m:val="p"/>
                    </m:rPr>
                    <m:t>⋅</m:t>
                  </m:r>
                  <m:sSubSup>
                    <m:e>
                      <m:r>
                        <m:t>f</m:t>
                      </m:r>
                    </m:e>
                    <m:sub>
                      <m:r>
                        <m:t>c</m:t>
                      </m:r>
                      <m:r>
                        <m:rPr>
                          <m:sty m:val="p"/>
                        </m:rPr>
                        <m:t>,</m:t>
                      </m:r>
                      <m:r>
                        <m:t>v</m:t>
                      </m:r>
                    </m:sub>
                    <m:sup>
                      <m:r>
                        <m:t>T</m:t>
                      </m:r>
                    </m:sup>
                  </m:sSubSup>
                  <m:r>
                    <m:rPr>
                      <m:sty m:val="p"/>
                    </m:rPr>
                    <m:t>+</m:t>
                  </m:r>
                  <m:r>
                    <m:rPr>
                      <m:sty m:val="p"/>
                    </m:rPr>
                    <m:t>(</m:t>
                  </m:r>
                  <m:sSub>
                    <m:e>
                      <m:r>
                        <m:t>ϕ</m:t>
                      </m:r>
                    </m:e>
                    <m:sub>
                      <m:r>
                        <m:t>c</m:t>
                      </m:r>
                    </m:sub>
                  </m:sSub>
                  <m:r>
                    <m:rPr>
                      <m:sty m:val="p"/>
                    </m:rPr>
                    <m:t>−</m:t>
                  </m:r>
                  <m:sSub>
                    <m:e>
                      <m:r>
                        <m:t>g</m:t>
                      </m:r>
                    </m:e>
                    <m:sub>
                      <m:r>
                        <m:t>c</m:t>
                      </m:r>
                    </m:sub>
                  </m:sSub>
                  <m:r>
                    <m:rPr>
                      <m:sty m:val="p"/>
                    </m:rPr>
                    <m:t>)</m:t>
                  </m:r>
                  <m:r>
                    <m:rPr>
                      <m:sty m:val="p"/>
                    </m:rPr>
                    <m:t>⋅</m:t>
                  </m:r>
                  <m:sSub>
                    <m:e>
                      <m:r>
                        <m:t>ω</m:t>
                      </m:r>
                    </m:e>
                    <m:sub>
                      <m:r>
                        <m:t>c</m:t>
                      </m:r>
                      <m:r>
                        <m:rPr>
                          <m:sty m:val="p"/>
                        </m:rPr>
                        <m:t>,</m:t>
                      </m:r>
                      <m:r>
                        <m:t>v</m:t>
                      </m:r>
                    </m:sub>
                  </m:sSub>
                </m:e>
              </m:d>
            </m:e>
          </m:borderBox>
        </m:oMath>
      </m:oMathPara>
    </w:p>
    <w:p>
      <w:pPr>
        <w:pStyle w:val="FirstParagraph"/>
      </w:pPr>
      <w:r>
        <w:t xml:space="preserve">For non-qualified nations</w:t>
      </w:r>
      <w:r>
        <w:t xml:space="preserve"> </w:t>
      </w:r>
      <m:oMath>
        <m:sSub>
          <m:e>
            <m:r>
              <m:t>ϕ</m:t>
            </m:r>
          </m:e>
          <m:sub>
            <m:r>
              <m:t>c</m:t>
            </m:r>
          </m:sub>
        </m:sSub>
        <m:r>
          <m:rPr>
            <m:sty m:val="p"/>
          </m:rPr>
          <m:t>=</m:t>
        </m:r>
        <m:sSub>
          <m:e>
            <m:r>
              <m:t>g</m:t>
            </m:r>
          </m:e>
          <m:sub>
            <m:r>
              <m:t>c</m:t>
            </m:r>
          </m:sub>
        </m:sSub>
      </m:oMath>
      <w:r>
        <w:t xml:space="preserve">, so the fan stream</w:t>
      </w:r>
      <w:r>
        <w:t xml:space="preserve"> </w:t>
      </w:r>
      <w:r>
        <w:t xml:space="preserve">vanishes and</w:t>
      </w:r>
      <w:r>
        <w:t xml:space="preserve"> </w:t>
      </w:r>
      <m:oMath>
        <m:sSubSup>
          <m:e>
            <m:r>
              <m:t>N</m:t>
            </m:r>
          </m:e>
          <m:sub>
            <m:r>
              <m:t>c</m:t>
            </m:r>
            <m:r>
              <m:rPr>
                <m:sty m:val="p"/>
              </m:rPr>
              <m:t>,</m:t>
            </m:r>
            <m:r>
              <m:t>v</m:t>
            </m:r>
          </m:sub>
          <m:sup>
            <m:r>
              <m:t>M</m:t>
            </m:r>
            <m:r>
              <m:t>3</m:t>
            </m:r>
          </m:sup>
        </m:sSubSup>
        <m:r>
          <m:rPr>
            <m:sty m:val="p"/>
          </m:rPr>
          <m:t>=</m:t>
        </m:r>
        <m:sSub>
          <m:e>
            <m:r>
              <m:t>A</m:t>
            </m:r>
          </m:e>
          <m:sub>
            <m:r>
              <m:t>c</m:t>
            </m:r>
          </m:sub>
        </m:sSub>
        <m:r>
          <m:rPr>
            <m:sty m:val="p"/>
          </m:rPr>
          <m:t>⋅</m:t>
        </m:r>
        <m:sSub>
          <m:e>
            <m:r>
              <m:t>g</m:t>
            </m:r>
          </m:e>
          <m:sub>
            <m:r>
              <m:t>c</m:t>
            </m:r>
          </m:sub>
        </m:sSub>
        <m:r>
          <m:rPr>
            <m:sty m:val="p"/>
          </m:rPr>
          <m:t>⋅</m:t>
        </m:r>
        <m:sSubSup>
          <m:e>
            <m:r>
              <m:t>f</m:t>
            </m:r>
          </m:e>
          <m:sub>
            <m:r>
              <m:t>c</m:t>
            </m:r>
            <m:r>
              <m:rPr>
                <m:sty m:val="p"/>
              </m:rPr>
              <m:t>,</m:t>
            </m:r>
            <m:r>
              <m:t>v</m:t>
            </m:r>
          </m:sub>
          <m:sup>
            <m:r>
              <m:t>T</m:t>
            </m:r>
          </m:sup>
        </m:sSubSup>
      </m:oMath>
      <w:r>
        <w:t xml:space="preserve">.</w:t>
      </w:r>
    </w:p>
    <w:bookmarkEnd w:id="117"/>
    <w:bookmarkEnd w:id="118"/>
    <w:bookmarkStart w:id="119" w:name="a.7-why-n_cvm3-leq-n_cvm2-for-us-cities"/>
    <w:p>
      <w:pPr>
        <w:pStyle w:val="Heading3"/>
      </w:pPr>
      <w:r>
        <w:t xml:space="preserve">A.7 Why</w:t>
      </w:r>
      <w:r>
        <w:t xml:space="preserve"> </w:t>
      </w:r>
      <m:oMath>
        <m:sSubSup>
          <m:e>
            <m:r>
              <m:t>N</m:t>
            </m:r>
          </m:e>
          <m:sub>
            <m:r>
              <m:t>c</m:t>
            </m:r>
            <m:r>
              <m:rPr>
                <m:sty m:val="p"/>
              </m:rPr>
              <m:t>,</m:t>
            </m:r>
            <m:r>
              <m:t>v</m:t>
            </m:r>
          </m:sub>
          <m:sup>
            <m:r>
              <m:t>M</m:t>
            </m:r>
            <m:r>
              <m:t>3</m:t>
            </m:r>
          </m:sup>
        </m:sSubSup>
        <m:r>
          <m:rPr>
            <m:sty m:val="p"/>
          </m:rPr>
          <m:t>≤</m:t>
        </m:r>
        <m:sSubSup>
          <m:e>
            <m:r>
              <m:t>N</m:t>
            </m:r>
          </m:e>
          <m:sub>
            <m:r>
              <m:t>c</m:t>
            </m:r>
            <m:r>
              <m:rPr>
                <m:sty m:val="p"/>
              </m:rPr>
              <m:t>,</m:t>
            </m:r>
            <m:r>
              <m:t>v</m:t>
            </m:r>
          </m:sub>
          <m:sup>
            <m:r>
              <m:t>M</m:t>
            </m:r>
            <m:r>
              <m:t>2</m:t>
            </m:r>
          </m:sup>
        </m:sSubSup>
      </m:oMath>
      <w:r>
        <w:t xml:space="preserve"> </w:t>
      </w:r>
      <w:r>
        <w:t xml:space="preserve">for</w:t>
      </w:r>
      <w:r>
        <w:t xml:space="preserve"> </w:t>
      </w:r>
      <w:r>
        <w:t xml:space="preserve">US cities</w:t>
      </w:r>
    </w:p>
    <w:p>
      <w:pPr>
        <w:pStyle w:val="FirstParagraph"/>
      </w:pPr>
      <w:r>
        <w:t xml:space="preserve">M2 routes the entire WC increment</w:t>
      </w:r>
      <w:r>
        <w:t xml:space="preserve"> </w:t>
      </w:r>
      <m:oMath>
        <m:r>
          <m:rPr>
            <m:sty m:val="p"/>
          </m:rPr>
          <m:t>(</m:t>
        </m:r>
        <m:sSub>
          <m:e>
            <m:r>
              <m:t>ϕ</m:t>
            </m:r>
          </m:e>
          <m:sub>
            <m:r>
              <m:t>c</m:t>
            </m:r>
          </m:sub>
        </m:sSub>
        <m:r>
          <m:rPr>
            <m:sty m:val="p"/>
          </m:rPr>
          <m:t>−</m:t>
        </m:r>
        <m:sSub>
          <m:e>
            <m:r>
              <m:t>g</m:t>
            </m:r>
          </m:e>
          <m:sub>
            <m:r>
              <m:t>c</m:t>
            </m:r>
          </m:sub>
        </m:sSub>
        <m:r>
          <m:rPr>
            <m:sty m:val="p"/>
          </m:rPr>
          <m:t>)</m:t>
        </m:r>
      </m:oMath>
      <w:r>
        <w:t xml:space="preserve"> </w:t>
      </w:r>
      <w:r>
        <w:t xml:space="preserve">through T-100</w:t>
      </w:r>
      <w:r>
        <w:t xml:space="preserve"> </w:t>
      </w:r>
      <w:r>
        <w:t xml:space="preserve">fractions, which sum to 1 over US cities. M3 routes the same</w:t>
      </w:r>
      <w:r>
        <w:t xml:space="preserve"> </w:t>
      </w:r>
      <w:r>
        <w:t xml:space="preserve">increment through schedule fractions, which sum to</w:t>
      </w:r>
      <w:r>
        <w:t xml:space="preserve"> </w:t>
      </w:r>
      <m:oMath>
        <m:r>
          <m:rPr>
            <m:sty m:val="p"/>
          </m:rPr>
          <m:t>≤</m:t>
        </m:r>
        <m:r>
          <m:t>1</m:t>
        </m:r>
      </m:oMath>
      <w:r>
        <w:t xml:space="preserve"> </w:t>
      </w:r>
      <w:r>
        <w:t xml:space="preserve">over</w:t>
      </w:r>
      <w:r>
        <w:t xml:space="preserve"> </w:t>
      </w:r>
      <w:r>
        <w:t xml:space="preserve">US cities (strictly</w:t>
      </w:r>
      <w:r>
        <w:t xml:space="preserve"> </w:t>
      </w:r>
      <m:oMath>
        <m:r>
          <m:rPr>
            <m:sty m:val="p"/>
          </m:rPr>
          <m:t>&lt;</m:t>
        </m:r>
        <m:r>
          <m:t>1</m:t>
        </m:r>
      </m:oMath>
      <w:r>
        <w:t xml:space="preserve"> </w:t>
      </w:r>
      <w:r>
        <w:t xml:space="preserve">whenever country</w:t>
      </w:r>
      <w:r>
        <w:t xml:space="preserve"> </w:t>
      </w:r>
      <m:oMath>
        <m:r>
          <m:t>c</m:t>
        </m:r>
      </m:oMath>
      <w:r>
        <w:t xml:space="preserve"> </w:t>
      </w:r>
      <w:r>
        <w:t xml:space="preserve">plays matches in</w:t>
      </w:r>
      <w:r>
        <w:t xml:space="preserve"> </w:t>
      </w:r>
      <w:r>
        <w:t xml:space="preserve">Canada or Mexico). Therefore:</w:t>
      </w:r>
    </w:p>
    <w:p>
      <w:pPr>
        <w:pStyle w:val="BodyText"/>
      </w:pPr>
      <m:oMathPara>
        <m:oMathParaPr>
          <m:jc m:val="center"/>
        </m:oMathParaPr>
        <m:oMath>
          <m:nary>
            <m:naryPr>
              <m:chr m:val="∑"/>
              <m:limLoc m:val="undOvr"/>
              <m:subHide m:val="off"/>
              <m:supHide m:val="on"/>
            </m:naryPr>
            <m:sub>
              <m:r>
                <m:t>v</m:t>
              </m:r>
            </m:sub>
            <m:sup>
              <m:r>
                <m:t/>
              </m:r>
            </m:sup>
            <m:e>
              <m:sSubSup>
                <m:e>
                  <m:r>
                    <m:t>N</m:t>
                  </m:r>
                </m:e>
                <m:sub>
                  <m:r>
                    <m:t>c</m:t>
                  </m:r>
                  <m:r>
                    <m:rPr>
                      <m:sty m:val="p"/>
                    </m:rPr>
                    <m:t>,</m:t>
                  </m:r>
                  <m:r>
                    <m:t>v</m:t>
                  </m:r>
                </m:sub>
                <m:sup>
                  <m:r>
                    <m:t>M</m:t>
                  </m:r>
                  <m:r>
                    <m:t>3</m:t>
                  </m:r>
                </m:sup>
              </m:sSubSup>
            </m:e>
          </m:nary>
          <m:r>
            <m:rPr>
              <m:sty m:val="p"/>
            </m:rPr>
            <m:t>=</m:t>
          </m:r>
          <m:sSub>
            <m:e>
              <m:r>
                <m:t>A</m:t>
              </m:r>
            </m:e>
            <m:sub>
              <m:r>
                <m:t>c</m:t>
              </m:r>
            </m:sub>
          </m:sSub>
          <m:d>
            <m:dPr>
              <m:begChr m:val="["/>
              <m:sepChr m:val=""/>
              <m:endChr m:val="]"/>
              <m:grow/>
            </m:dPr>
            <m:e>
              <m:sSub>
                <m:e>
                  <m:r>
                    <m:t>g</m:t>
                  </m:r>
                </m:e>
                <m:sub>
                  <m:r>
                    <m:t>c</m:t>
                  </m:r>
                </m:sub>
              </m:sSub>
              <m:limLow>
                <m:e>
                  <m:limLow>
                    <m:e>
                      <m:nary>
                        <m:naryPr>
                          <m:chr m:val="∑"/>
                          <m:limLoc m:val="undOvr"/>
                          <m:subHide m:val="off"/>
                          <m:supHide m:val="on"/>
                        </m:naryPr>
                        <m:sub>
                          <m:r>
                            <m:t>v</m:t>
                          </m:r>
                        </m:sub>
                        <m:sup>
                          <m:r>
                            <m:t/>
                          </m:r>
                        </m:sup>
                        <m:e>
                          <m:sSubSup>
                            <m:e>
                              <m:r>
                                <m:t>f</m:t>
                              </m:r>
                            </m:e>
                            <m:sub>
                              <m:r>
                                <m:t>c</m:t>
                              </m:r>
                              <m:r>
                                <m:rPr>
                                  <m:sty m:val="p"/>
                                </m:rPr>
                                <m:t>,</m:t>
                              </m:r>
                              <m:r>
                                <m:t>v</m:t>
                              </m:r>
                            </m:sub>
                            <m:sup>
                              <m:r>
                                <m:t>T</m:t>
                              </m:r>
                            </m:sup>
                          </m:sSubSup>
                        </m:e>
                      </m:nary>
                    </m:e>
                    <m:lim>
                      <m:r>
                        <m:rPr>
                          <m:sty m:val="p"/>
                        </m:rPr>
                        <m:t>⏟</m:t>
                      </m:r>
                    </m:lim>
                  </m:limLow>
                </m:e>
                <m:lim>
                  <m:r>
                    <m:rPr>
                      <m:sty m:val="p"/>
                    </m:rPr>
                    <m:t>=</m:t>
                  </m:r>
                  <m:r>
                    <m:t>1</m:t>
                  </m:r>
                </m:lim>
              </m:limLow>
              <m:r>
                <m:rPr>
                  <m:sty m:val="p"/>
                </m:rPr>
                <m:t>+</m:t>
              </m:r>
              <m:r>
                <m:rPr>
                  <m:sty m:val="p"/>
                </m:rPr>
                <m:t>(</m:t>
              </m:r>
              <m:sSub>
                <m:e>
                  <m:r>
                    <m:t>ϕ</m:t>
                  </m:r>
                </m:e>
                <m:sub>
                  <m:r>
                    <m:t>c</m:t>
                  </m:r>
                </m:sub>
              </m:sSub>
              <m:r>
                <m:rPr>
                  <m:sty m:val="p"/>
                </m:rPr>
                <m:t>−</m:t>
              </m:r>
              <m:sSub>
                <m:e>
                  <m:r>
                    <m:t>g</m:t>
                  </m:r>
                </m:e>
                <m:sub>
                  <m:r>
                    <m:t>c</m:t>
                  </m:r>
                </m:sub>
              </m:sSub>
              <m:r>
                <m:rPr>
                  <m:sty m:val="p"/>
                </m:rPr>
                <m:t>)</m:t>
              </m:r>
              <m:limLow>
                <m:e>
                  <m:limLow>
                    <m:e>
                      <m:nary>
                        <m:naryPr>
                          <m:chr m:val="∑"/>
                          <m:limLoc m:val="undOvr"/>
                          <m:subHide m:val="off"/>
                          <m:supHide m:val="on"/>
                        </m:naryPr>
                        <m:sub>
                          <m:r>
                            <m:t>v</m:t>
                          </m:r>
                        </m:sub>
                        <m:sup>
                          <m:r>
                            <m:t/>
                          </m:r>
                        </m:sup>
                        <m:e>
                          <m:sSub>
                            <m:e>
                              <m:r>
                                <m:t>ω</m:t>
                              </m:r>
                            </m:e>
                            <m:sub>
                              <m:r>
                                <m:t>c</m:t>
                              </m:r>
                              <m:r>
                                <m:rPr>
                                  <m:sty m:val="p"/>
                                </m:rPr>
                                <m:t>,</m:t>
                              </m:r>
                              <m:r>
                                <m:t>v</m:t>
                              </m:r>
                            </m:sub>
                          </m:sSub>
                        </m:e>
                      </m:nary>
                    </m:e>
                    <m:lim>
                      <m:r>
                        <m:rPr>
                          <m:sty m:val="p"/>
                        </m:rPr>
                        <m:t>⏟</m:t>
                      </m:r>
                    </m:lim>
                  </m:limLow>
                </m:e>
                <m:lim>
                  <m:r>
                    <m:rPr>
                      <m:sty m:val="p"/>
                    </m:rPr>
                    <m:t>≤</m:t>
                  </m:r>
                  <m:r>
                    <m:t>1</m:t>
                  </m:r>
                </m:lim>
              </m:limLow>
            </m:e>
          </m:d>
          <m:r>
            <m:t> </m:t>
          </m:r>
          <m:r>
            <m:rPr>
              <m:sty m:val="p"/>
            </m:rPr>
            <m:t>≤</m:t>
          </m:r>
          <m:r>
            <m:t> </m:t>
          </m:r>
          <m:sSub>
            <m:e>
              <m:r>
                <m:t>A</m:t>
              </m:r>
            </m:e>
            <m:sub>
              <m:r>
                <m:t>c</m:t>
              </m:r>
            </m:sub>
          </m:sSub>
          <m:r>
            <m:rPr>
              <m:sty m:val="p"/>
            </m:rPr>
            <m:t>⋅</m:t>
          </m:r>
          <m:sSub>
            <m:e>
              <m:r>
                <m:t>ϕ</m:t>
              </m:r>
            </m:e>
            <m:sub>
              <m:r>
                <m:t>c</m:t>
              </m:r>
            </m:sub>
          </m:sSub>
          <m:r>
            <m:rPr>
              <m:sty m:val="p"/>
            </m:rPr>
            <m:t>=</m:t>
          </m:r>
          <m:nary>
            <m:naryPr>
              <m:chr m:val="∑"/>
              <m:limLoc m:val="undOvr"/>
              <m:subHide m:val="off"/>
              <m:supHide m:val="on"/>
            </m:naryPr>
            <m:sub>
              <m:r>
                <m:t>v</m:t>
              </m:r>
            </m:sub>
            <m:sup>
              <m:r>
                <m:t/>
              </m:r>
            </m:sup>
            <m:e>
              <m:sSubSup>
                <m:e>
                  <m:r>
                    <m:t>N</m:t>
                  </m:r>
                </m:e>
                <m:sub>
                  <m:r>
                    <m:t>c</m:t>
                  </m:r>
                  <m:r>
                    <m:rPr>
                      <m:sty m:val="p"/>
                    </m:rPr>
                    <m:t>,</m:t>
                  </m:r>
                  <m:r>
                    <m:t>v</m:t>
                  </m:r>
                </m:sub>
                <m:sup>
                  <m:r>
                    <m:t>M</m:t>
                  </m:r>
                  <m:r>
                    <m:t>2</m:t>
                  </m:r>
                </m:sup>
              </m:sSubSup>
            </m:e>
          </m:nary>
        </m:oMath>
      </m:oMathPara>
    </w:p>
    <w:p>
      <w:pPr>
        <w:pStyle w:val="FirstParagraph"/>
      </w:pPr>
      <w:r>
        <w:t xml:space="preserve">The gap equals the fan travel redirected to non-US WC venues</w:t>
      </w:r>
      <w:r>
        <w:t xml:space="preserve"> </w:t>
      </w:r>
      <w:r>
        <w:t xml:space="preserve">(Canada, Mexico), which is why the M3 US-city total lies below</w:t>
      </w:r>
      <w:r>
        <w:t xml:space="preserve"> </w:t>
      </w:r>
      <w:r>
        <w:t xml:space="preserve">M2 for all qualified nations with at least one non-US match.</w:t>
      </w:r>
      <w:r>
        <w:t xml:space="preserve"> </w:t>
      </w:r>
      <w:r>
        <w:t xml:space="preserve">Importation probability heatmaps for M1 and M2 are shown in</w:t>
      </w:r>
      <w:r>
        <w:t xml:space="preserve"> </w:t>
      </w:r>
      <w:r>
        <w:t xml:space="preserve">Supplementary Figures S1 and S2; these complement the M3 heatmap</w:t>
      </w:r>
      <w:r>
        <w:t xml:space="preserve"> </w:t>
      </w:r>
      <w:r>
        <w:t xml:space="preserve">in Figure </w:t>
      </w:r>
      <w:hyperlink w:anchor="fig:heatmap">
        <w:r>
          <w:rPr>
            <w:rStyle w:val="Hyperlink"/>
          </w:rPr>
          <w:t xml:space="preserve">1</w:t>
        </w:r>
      </w:hyperlink>
      <w:r>
        <w:t xml:space="preserve"> </w:t>
      </w:r>
      <w:r>
        <w:t xml:space="preserve">and the three-model comparison in</w:t>
      </w:r>
      <w:r>
        <w:t xml:space="preserve"> </w:t>
      </w:r>
      <w:r>
        <w:t xml:space="preserve">Figure </w:t>
      </w:r>
      <w:hyperlink w:anchor="fig:lambdaci">
        <w:r>
          <w:rPr>
            <w:rStyle w:val="Hyperlink"/>
          </w:rPr>
          <w:t xml:space="preserve">2</w:t>
        </w:r>
      </w:hyperlink>
      <w:r>
        <w:t xml:space="preserve">.</w:t>
      </w:r>
    </w:p>
    <w:bookmarkEnd w:id="119"/>
    <w:bookmarkEnd w:id="120"/>
    <w:bookmarkStart w:id="125" w:name="X6a88062d990435d89a59e97767215353b9fef2e"/>
    <w:p>
      <w:pPr>
        <w:pStyle w:val="Heading2"/>
      </w:pPr>
      <w:r>
        <w:t xml:space="preserve">Appendix B. Mathematical specification of the diaspora</w:t>
      </w:r>
      <w:r>
        <w:t xml:space="preserve"> </w:t>
      </w:r>
      <w:r>
        <w:t xml:space="preserve">network extension</w:t>
      </w:r>
    </w:p>
    <w:bookmarkStart w:id="121" w:name="b.1-notation"/>
    <w:p>
      <w:pPr>
        <w:pStyle w:val="Heading3"/>
      </w:pPr>
      <w:r>
        <w:t xml:space="preserve">B.1 Notation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r>
      <w:tr>
        <w:tc>
          <w:tcPr/>
          <w:p>
            <w:pPr>
              <w:pStyle w:val="Compact"/>
              <w:jc w:val="left"/>
            </w:pPr>
            <m:oMath>
              <m:sSub>
                <m:e>
                  <m:r>
                    <m:t>D</m:t>
                  </m:r>
                </m:e>
                <m:sub>
                  <m:r>
                    <m:t>c</m:t>
                  </m:r>
                  <m:r>
                    <m:rPr>
                      <m:sty m:val="p"/>
                    </m:rPr>
                    <m:t>,</m:t>
                  </m:r>
                  <m:r>
                    <m:t>v</m:t>
                  </m:r>
                </m:sub>
              </m:sSub>
            </m:oMath>
          </w:p>
        </w:tc>
        <w:tc>
          <w:tcPr/>
          <w:p>
            <w:pPr>
              <w:pStyle w:val="Compact"/>
              <w:jc w:val="left"/>
            </w:pPr>
            <w:r>
              <w:t xml:space="preserve">Number of US residents born in country</w:t>
            </w:r>
            <w:r>
              <w:t xml:space="preserve"> </w:t>
            </w:r>
            <m:oMath>
              <m:r>
                <m:t>c</m:t>
              </m:r>
            </m:oMath>
            <w:r>
              <w:t xml:space="preserve"> </w:t>
            </w:r>
            <w:r>
              <w:t xml:space="preserve">living in metro area</w:t>
            </w:r>
            <w:r>
              <w:t xml:space="preserve"> </w:t>
            </w:r>
            <m:oMath>
              <m:r>
                <m:t>v</m:t>
              </m:r>
            </m:oMath>
            <w:r>
              <w:t xml:space="preserve"> </w:t>
            </w:r>
            <w:r>
              <w:t xml:space="preserve">(ACS 5-year estimates 2019–2023, Table B05006)</w:t>
            </w:r>
          </w:p>
        </w:tc>
      </w:tr>
      <w:tr>
        <w:tc>
          <w:tcPr/>
          <w:p>
            <w:pPr>
              <w:pStyle w:val="Compact"/>
              <w:jc w:val="left"/>
            </w:pPr>
            <m:oMath>
              <m:sSub>
                <m:e>
                  <m:r>
                    <m:rPr>
                      <m:sty m:val="p"/>
                    </m:rPr>
                    <m:t>F</m:t>
                  </m:r>
                  <m:r>
                    <m:rPr>
                      <m:sty m:val="p"/>
                    </m:rPr>
                    <m:t>B</m:t>
                  </m:r>
                </m:e>
                <m:sub>
                  <m:r>
                    <m:t>v</m:t>
                  </m:r>
                </m:sub>
              </m:sSub>
            </m:oMath>
          </w:p>
        </w:tc>
        <w:tc>
          <w:tcPr/>
          <w:p>
            <w:pPr>
              <w:pStyle w:val="Compact"/>
              <w:jc w:val="left"/>
            </w:pPr>
            <w:r>
              <w:t xml:space="preserve">Total foreign-born population of metro area</w:t>
            </w:r>
            <w:r>
              <w:t xml:space="preserve"> </w:t>
            </w:r>
            <m:oMath>
              <m:r>
                <m:t>v</m:t>
              </m:r>
            </m:oMath>
            <w:r>
              <w:t xml:space="preserve"> </w:t>
            </w:r>
            <w:r>
              <w:t xml:space="preserve">(row total of Table B05006)</w:t>
            </w:r>
          </w:p>
        </w:tc>
      </w:tr>
      <w:tr>
        <w:tc>
          <w:tcPr/>
          <w:p>
            <w:pPr>
              <w:pStyle w:val="Compact"/>
              <w:jc w:val="left"/>
            </w:pPr>
            <m:oMath>
              <m:sSub>
                <m:e>
                  <m:r>
                    <m:t>κ</m:t>
                  </m:r>
                </m:e>
                <m:sub>
                  <m:r>
                    <m:t>c</m:t>
                  </m:r>
                  <m:r>
                    <m:rPr>
                      <m:sty m:val="p"/>
                    </m:rPr>
                    <m:t>,</m:t>
                  </m:r>
                  <m:r>
                    <m:t>v</m:t>
                  </m:r>
                </m:sub>
              </m:sSub>
            </m:oMath>
          </w:p>
        </w:tc>
        <w:tc>
          <w:tcPr/>
          <w:p>
            <w:pPr>
              <w:pStyle w:val="Compact"/>
              <w:jc w:val="left"/>
            </w:pPr>
            <w:r>
              <w:t xml:space="preserve">Diaspora concentration index: share of metro</w:t>
            </w:r>
            <w:r>
              <w:t xml:space="preserve"> </w:t>
            </w:r>
            <m:oMath>
              <m:r>
                <m:t>v</m:t>
              </m:r>
            </m:oMath>
            <w:r>
              <w:t xml:space="preserve">’s foreign-born population born in country</w:t>
            </w:r>
            <w:r>
              <w:t xml:space="preserve"> </w:t>
            </w:r>
            <m:oMath>
              <m:r>
                <m:t>c</m:t>
              </m:r>
            </m:oMath>
          </w:p>
        </w:tc>
      </w:tr>
      <w:tr>
        <w:tc>
          <w:tcPr/>
          <w:p>
            <w:pPr>
              <w:pStyle w:val="Compact"/>
              <w:jc w:val="left"/>
            </w:pPr>
            <m:oMath>
              <m:sSubSup>
                <m:e>
                  <m:r>
                    <m:rPr>
                      <m:sty m:val="p"/>
                    </m:rPr>
                    <m:t>Ω</m:t>
                  </m:r>
                </m:e>
                <m:sub>
                  <m:r>
                    <m:t>c</m:t>
                  </m:r>
                  <m:r>
                    <m:rPr>
                      <m:sty m:val="p"/>
                    </m:rPr>
                    <m:t>,</m:t>
                  </m:r>
                  <m:r>
                    <m:t>v</m:t>
                  </m:r>
                  <m:r>
                    <m:rPr>
                      <m:sty m:val="p"/>
                    </m:rPr>
                    <m:t>,</m:t>
                  </m:r>
                  <m:r>
                    <m:t>d</m:t>
                  </m:r>
                </m:sub>
                <m:sup>
                  <m:r>
                    <m:t>A</m:t>
                  </m:r>
                </m:sup>
              </m:sSubSup>
            </m:oMath>
          </w:p>
        </w:tc>
        <w:tc>
          <w:tcPr/>
          <w:p>
            <w:pPr>
              <w:pStyle w:val="Compact"/>
              <w:jc w:val="left"/>
            </w:pPr>
            <w:r>
              <w:t xml:space="preserve">Expected number of infected arrivals from</w:t>
            </w:r>
            <w:r>
              <w:t xml:space="preserve"> </w:t>
            </w:r>
            <m:oMath>
              <m:r>
                <m:t>c</m:t>
              </m:r>
            </m:oMath>
            <w:r>
              <w:t xml:space="preserve"> </w:t>
            </w:r>
            <w:r>
              <w:t xml:space="preserve">at city</w:t>
            </w:r>
            <w:r>
              <w:t xml:space="preserve"> </w:t>
            </w:r>
            <m:oMath>
              <m:r>
                <m:t>v</m:t>
              </m:r>
            </m:oMath>
            <w:r>
              <w:t xml:space="preserve"> </w:t>
            </w:r>
            <w:r>
              <w:t xml:space="preserve">that enter the co-national network</w:t>
            </w:r>
            <w:r>
              <w:t xml:space="preserve"> </w:t>
            </w:r>
            <w:r>
              <w:t xml:space="preserve">(Mechanism A)</w:t>
            </w:r>
          </w:p>
        </w:tc>
      </w:tr>
      <w:tr>
        <w:tc>
          <w:tcPr/>
          <w:p>
            <w:pPr>
              <w:pStyle w:val="Compact"/>
              <w:jc w:val="left"/>
            </w:pPr>
            <m:oMath>
              <m:sSup>
                <m:e>
                  <m:r>
                    <m:t>P</m:t>
                  </m:r>
                </m:e>
                <m:sup>
                  <m:r>
                    <m:t>A</m:t>
                  </m:r>
                </m:sup>
              </m:sSup>
              <m:r>
                <m:rPr>
                  <m:sty m:val="p"/>
                </m:rPr>
                <m:t>(</m:t>
              </m:r>
              <m:r>
                <m:rPr>
                  <m:sty m:val="p"/>
                </m:rPr>
                <m:t>≥</m:t>
              </m:r>
              <m:r>
                <m:t>1</m:t>
              </m:r>
              <m:sSub>
                <m:e>
                  <m:r>
                    <m:rPr>
                      <m:sty m:val="p"/>
                    </m:rPr>
                    <m:t>)</m:t>
                  </m:r>
                </m:e>
                <m:sub>
                  <m:r>
                    <m:t>v</m:t>
                  </m:r>
                  <m:r>
                    <m:rPr>
                      <m:sty m:val="p"/>
                    </m:rPr>
                    <m:t>,</m:t>
                  </m:r>
                  <m:r>
                    <m:t>d</m:t>
                  </m:r>
                </m:sub>
              </m:sSub>
            </m:oMath>
          </w:p>
        </w:tc>
        <w:tc>
          <w:tcPr/>
          <w:p>
            <w:pPr>
              <w:pStyle w:val="Compact"/>
              <w:jc w:val="left"/>
            </w:pPr>
            <w:r>
              <w:t xml:space="preserve">Probability that at least one infected arrival</w:t>
            </w:r>
            <w:r>
              <w:t xml:space="preserve"> </w:t>
            </w:r>
            <w:r>
              <w:t xml:space="preserve">enters any co-national network in city</w:t>
            </w:r>
            <w:r>
              <w:t xml:space="preserve"> </w:t>
            </w:r>
            <m:oMath>
              <m:r>
                <m:t>v</m:t>
              </m:r>
            </m:oMath>
          </w:p>
        </w:tc>
      </w:tr>
      <w:tr>
        <w:tc>
          <w:tcPr/>
          <w:p>
            <w:pPr>
              <w:pStyle w:val="Compact"/>
              <w:jc w:val="left"/>
            </w:pPr>
            <m:oMath>
              <m:sSub>
                <m:e>
                  <m:r>
                    <m:t>v</m:t>
                  </m:r>
                </m:e>
                <m:sub>
                  <m:r>
                    <m:rPr>
                      <m:nor/>
                      <m:sty m:val="p"/>
                    </m:rPr>
                    <m:t>match</m:t>
                  </m:r>
                </m:sub>
              </m:sSub>
            </m:oMath>
          </w:p>
        </w:tc>
        <w:tc>
          <w:tcPr/>
          <w:p>
            <w:pPr>
              <w:pStyle w:val="Compact"/>
              <w:jc w:val="left"/>
            </w:pPr>
            <w:r>
              <w:t xml:space="preserve">WC venue city where country</w:t>
            </w:r>
            <w:r>
              <w:t xml:space="preserve"> </w:t>
            </w:r>
            <m:oMath>
              <m:r>
                <m:t>c</m:t>
              </m:r>
            </m:oMath>
            <w:r>
              <w:t xml:space="preserve"> </w:t>
            </w:r>
            <w:r>
              <w:t xml:space="preserve">plays</w:t>
            </w:r>
          </w:p>
        </w:tc>
      </w:tr>
      <w:tr>
        <w:tc>
          <w:tcPr/>
          <w:p>
            <w:pPr>
              <w:pStyle w:val="Compact"/>
              <w:jc w:val="left"/>
            </w:pPr>
            <m:oMath>
              <m:sSub>
                <m:e>
                  <m:r>
                    <m:t>v</m:t>
                  </m:r>
                </m:e>
                <m:sub>
                  <m:r>
                    <m:rPr>
                      <m:nor/>
                      <m:sty m:val="p"/>
                    </m:rPr>
                    <m:t>home</m:t>
                  </m:r>
                </m:sub>
              </m:sSub>
            </m:oMath>
          </w:p>
        </w:tc>
        <w:tc>
          <w:tcPr/>
          <w:p>
            <w:pPr>
              <w:pStyle w:val="Compact"/>
              <w:jc w:val="left"/>
            </w:pPr>
            <w:r>
              <w:t xml:space="preserve">Diaspora hub city (may differ from</w:t>
            </w:r>
            <w:r>
              <w:t xml:space="preserve"> </w:t>
            </w:r>
            <m:oMath>
              <m:sSub>
                <m:e>
                  <m:r>
                    <m:t>v</m:t>
                  </m:r>
                </m:e>
                <m:sub>
                  <m:r>
                    <m:rPr>
                      <m:nor/>
                      <m:sty m:val="p"/>
                    </m:rPr>
                    <m:t>match</m:t>
                  </m:r>
                </m:sub>
              </m:sSub>
            </m:oMath>
            <w:r>
              <w:t xml:space="preserve">)</w:t>
            </w:r>
          </w:p>
        </w:tc>
      </w:tr>
      <w:tr>
        <w:tc>
          <w:tcPr/>
          <w:p>
            <w:pPr>
              <w:pStyle w:val="Compact"/>
              <w:jc w:val="left"/>
            </w:pPr>
            <m:oMath>
              <m:sSubSup>
                <m:e>
                  <m:r>
                    <m:rPr>
                      <m:sty m:val="p"/>
                    </m:rPr>
                    <m:t>Ω</m:t>
                  </m:r>
                </m:e>
                <m:sub>
                  <m:r>
                    <m:t>c</m:t>
                  </m:r>
                  <m:r>
                    <m:rPr>
                      <m:sty m:val="p"/>
                    </m:rPr>
                    <m:t>,</m:t>
                  </m:r>
                  <m:sSub>
                    <m:e>
                      <m:r>
                        <m:t>v</m:t>
                      </m:r>
                    </m:e>
                    <m:sub>
                      <m:r>
                        <m:t>m</m:t>
                      </m:r>
                    </m:sub>
                  </m:sSub>
                  <m:r>
                    <m:rPr>
                      <m:sty m:val="p"/>
                    </m:rPr>
                    <m:t>,</m:t>
                  </m:r>
                  <m:sSub>
                    <m:e>
                      <m:r>
                        <m:t>v</m:t>
                      </m:r>
                    </m:e>
                    <m:sub>
                      <m:r>
                        <m:t>h</m:t>
                      </m:r>
                    </m:sub>
                  </m:sSub>
                  <m:r>
                    <m:rPr>
                      <m:sty m:val="p"/>
                    </m:rPr>
                    <m:t>,</m:t>
                  </m:r>
                  <m:r>
                    <m:t>d</m:t>
                  </m:r>
                </m:sub>
                <m:sup>
                  <m:r>
                    <m:t>B</m:t>
                  </m:r>
                </m:sup>
              </m:sSubSup>
            </m:oMath>
          </w:p>
        </w:tc>
        <w:tc>
          <w:tcPr/>
          <w:p>
            <w:pPr>
              <w:pStyle w:val="Compact"/>
              <w:jc w:val="left"/>
            </w:pPr>
            <w:r>
              <w:t xml:space="preserve">Secondary seeding index for hub city</w:t>
            </w:r>
            <w:r>
              <w:t xml:space="preserve"> </w:t>
            </w:r>
            <m:oMath>
              <m:sSub>
                <m:e>
                  <m:r>
                    <m:t>v</m:t>
                  </m:r>
                </m:e>
                <m:sub>
                  <m:r>
                    <m:t>h</m:t>
                  </m:r>
                </m:sub>
              </m:sSub>
            </m:oMath>
            <w:r>
              <w:t xml:space="preserve"> </w:t>
            </w:r>
            <w:r>
              <w:t xml:space="preserve">arising from match at</w:t>
            </w:r>
            <w:r>
              <w:t xml:space="preserve"> </w:t>
            </w:r>
            <m:oMath>
              <m:sSub>
                <m:e>
                  <m:r>
                    <m:t>v</m:t>
                  </m:r>
                </m:e>
                <m:sub>
                  <m:r>
                    <m:t>m</m:t>
                  </m:r>
                </m:sub>
              </m:sSub>
            </m:oMath>
            <w:r>
              <w:t xml:space="preserve"> </w:t>
            </w:r>
            <w:r>
              <w:t xml:space="preserve">(Mechanism B)</w:t>
            </w:r>
          </w:p>
        </w:tc>
      </w:tr>
    </w:tbl>
    <w:bookmarkEnd w:id="121"/>
    <w:bookmarkStart w:id="122" w:name="X8dfb7c22049d5fe736f72de01dff1df0355ff61"/>
    <w:p>
      <w:pPr>
        <w:pStyle w:val="Heading3"/>
      </w:pPr>
      <w:r>
        <w:t xml:space="preserve">B.2 Diaspora concentration index</w:t>
      </w:r>
      <w:r>
        <w:t xml:space="preserve"> </w:t>
      </w:r>
      <m:oMath>
        <m:sSub>
          <m:e>
            <m:r>
              <m:t>κ</m:t>
            </m:r>
          </m:e>
          <m:sub>
            <m:r>
              <m:t>c</m:t>
            </m:r>
            <m:r>
              <m:rPr>
                <m:sty m:val="p"/>
              </m:rPr>
              <m:t>,</m:t>
            </m:r>
            <m:r>
              <m:t>v</m:t>
            </m:r>
          </m:sub>
        </m:sSub>
      </m:oMath>
    </w:p>
    <w:p>
      <w:pPr>
        <w:pStyle w:val="FirstParagraph"/>
      </w:pPr>
      <w:r>
        <w:t xml:space="preserve">For each source country</w:t>
      </w:r>
      <w:r>
        <w:t xml:space="preserve"> </w:t>
      </w:r>
      <m:oMath>
        <m:r>
          <m:t>c</m:t>
        </m:r>
      </m:oMath>
      <w:r>
        <w:t xml:space="preserve"> </w:t>
      </w:r>
      <w:r>
        <w:t xml:space="preserve">and venue metro area</w:t>
      </w:r>
      <w:r>
        <w:t xml:space="preserve"> </w:t>
      </w:r>
      <m:oMath>
        <m:r>
          <m:t>v</m:t>
        </m:r>
      </m:oMath>
      <w:r>
        <w:t xml:space="preserve">:</w:t>
      </w:r>
    </w:p>
    <w:p>
      <w:pPr>
        <w:pStyle w:val="BodyText"/>
      </w:pPr>
      <m:oMathPara>
        <m:oMathParaPr>
          <m:jc m:val="center"/>
        </m:oMathParaPr>
        <m:oMath>
          <m:sSub>
            <m:e>
              <m:r>
                <m:t>κ</m:t>
              </m:r>
            </m:e>
            <m:sub>
              <m:r>
                <m:t>c</m:t>
              </m:r>
              <m:r>
                <m:rPr>
                  <m:sty m:val="p"/>
                </m:rPr>
                <m:t>,</m:t>
              </m:r>
              <m:r>
                <m:t>v</m:t>
              </m:r>
            </m:sub>
          </m:sSub>
          <m:r>
            <m:rPr>
              <m:sty m:val="p"/>
            </m:rPr>
            <m:t>=</m:t>
          </m:r>
          <m:f>
            <m:fPr>
              <m:type m:val="bar"/>
            </m:fPr>
            <m:num>
              <m:sSub>
                <m:e>
                  <m:r>
                    <m:t>D</m:t>
                  </m:r>
                </m:e>
                <m:sub>
                  <m:r>
                    <m:t>c</m:t>
                  </m:r>
                  <m:r>
                    <m:rPr>
                      <m:sty m:val="p"/>
                    </m:rPr>
                    <m:t>,</m:t>
                  </m:r>
                  <m:r>
                    <m:t>v</m:t>
                  </m:r>
                </m:sub>
              </m:sSub>
            </m:num>
            <m:den>
              <m:sSub>
                <m:e>
                  <m:r>
                    <m:rPr>
                      <m:sty m:val="p"/>
                    </m:rPr>
                    <m:t>F</m:t>
                  </m:r>
                  <m:r>
                    <m:rPr>
                      <m:sty m:val="p"/>
                    </m:rPr>
                    <m:t>B</m:t>
                  </m:r>
                </m:e>
                <m:sub>
                  <m:r>
                    <m:t>v</m:t>
                  </m:r>
                </m:sub>
              </m:sSub>
            </m:den>
          </m:f>
        </m:oMath>
      </m:oMathPara>
    </w:p>
    <w:p>
      <w:pPr>
        <w:pStyle w:val="FirstParagraph"/>
      </w:pPr>
      <m:oMath>
        <m:sSub>
          <m:e>
            <m:r>
              <m:t>κ</m:t>
            </m:r>
          </m:e>
          <m:sub>
            <m:r>
              <m:t>c</m:t>
            </m:r>
            <m:r>
              <m:rPr>
                <m:sty m:val="p"/>
              </m:rPr>
              <m:t>,</m:t>
            </m:r>
            <m:r>
              <m:t>v</m:t>
            </m:r>
          </m:sub>
        </m:sSub>
        <m:r>
          <m:rPr>
            <m:sty m:val="p"/>
          </m:rPr>
          <m:t>∈</m:t>
        </m:r>
        <m:r>
          <m:rPr>
            <m:sty m:val="p"/>
          </m:rPr>
          <m:t>[</m:t>
        </m:r>
        <m:r>
          <m:t>0</m:t>
        </m:r>
        <m:r>
          <m:rPr>
            <m:sty m:val="p"/>
          </m:rPr>
          <m:t>,</m:t>
        </m:r>
        <m:r>
          <m:t>1</m:t>
        </m:r>
        <m:r>
          <m:rPr>
            <m:sty m:val="p"/>
          </m:rPr>
          <m:t>]</m:t>
        </m:r>
      </m:oMath>
      <w:r>
        <w:t xml:space="preserve"> </w:t>
      </w:r>
      <w:r>
        <w:t xml:space="preserve">measures how concentrated the country-</w:t>
      </w:r>
      <m:oMath>
        <m:r>
          <m:t>c</m:t>
        </m:r>
      </m:oMath>
      <w:r>
        <w:t xml:space="preserve"> </w:t>
      </w:r>
      <w:r>
        <w:t xml:space="preserve">community is</w:t>
      </w:r>
      <w:r>
        <w:t xml:space="preserve"> </w:t>
      </w:r>
      <w:r>
        <w:rPr>
          <w:i/>
          <w:iCs/>
        </w:rPr>
        <w:t xml:space="preserve">within</w:t>
      </w:r>
      <w:r>
        <w:t xml:space="preserve"> </w:t>
      </w:r>
      <w:r>
        <w:t xml:space="preserve">the immigrant population of city</w:t>
      </w:r>
      <w:r>
        <w:t xml:space="preserve"> </w:t>
      </w:r>
      <m:oMath>
        <m:r>
          <m:t>v</m:t>
        </m:r>
      </m:oMath>
      <w:r>
        <w:t xml:space="preserve"> </w:t>
      </w:r>
      <w:r>
        <w:t xml:space="preserve">—</w:t>
      </w:r>
      <w:r>
        <w:t xml:space="preserve"> </w:t>
      </w:r>
      <w:r>
        <w:t xml:space="preserve">the relevant social network for co-national mixing. Summed over all countries of birth,</w:t>
      </w:r>
      <w:r>
        <w:t xml:space="preserve"> </w:t>
      </w:r>
      <m:oMath>
        <m:nary>
          <m:naryPr>
            <m:chr m:val="∑"/>
            <m:limLoc m:val="undOvr"/>
            <m:subHide m:val="off"/>
            <m:supHide m:val="on"/>
          </m:naryPr>
          <m:sub>
            <m:r>
              <m:t>c</m:t>
            </m:r>
          </m:sub>
          <m:sup>
            <m:r>
              <m:t/>
            </m:r>
          </m:sup>
          <m:e>
            <m:sSub>
              <m:e>
                <m:r>
                  <m:t>κ</m:t>
                </m:r>
              </m:e>
              <m:sub>
                <m:r>
                  <m:t>c</m:t>
                </m:r>
                <m:r>
                  <m:rPr>
                    <m:sty m:val="p"/>
                  </m:rPr>
                  <m:t>,</m:t>
                </m:r>
                <m:r>
                  <m:t>v</m:t>
                </m:r>
              </m:sub>
            </m:sSub>
          </m:e>
        </m:nary>
        <m:r>
          <m:rPr>
            <m:sty m:val="p"/>
          </m:rPr>
          <m:t>=</m:t>
        </m:r>
        <m:r>
          <m:t>1</m:t>
        </m:r>
      </m:oMath>
      <w:r>
        <w:t xml:space="preserve"> </w:t>
      </w:r>
      <w:r>
        <w:t xml:space="preserve">for each</w:t>
      </w:r>
      <w:r>
        <w:t xml:space="preserve"> </w:t>
      </w:r>
      <m:oMath>
        <m:r>
          <m:t>v</m:t>
        </m:r>
      </m:oMath>
      <w:r>
        <w:t xml:space="preserve">; because the model includes only the source countries relevant to the five diseases, the</w:t>
      </w:r>
      <w:r>
        <w:t xml:space="preserve"> </w:t>
      </w:r>
      <m:oMath>
        <m:sSub>
          <m:e>
            <m:r>
              <m:t>κ</m:t>
            </m:r>
          </m:e>
          <m:sub>
            <m:r>
              <m:t>c</m:t>
            </m:r>
            <m:r>
              <m:rPr>
                <m:sty m:val="p"/>
              </m:rPr>
              <m:t>,</m:t>
            </m:r>
            <m:r>
              <m:t>v</m:t>
            </m:r>
          </m:sub>
        </m:sSub>
      </m:oMath>
      <w:r>
        <w:t xml:space="preserve"> </w:t>
      </w:r>
      <w:r>
        <w:t xml:space="preserve">for the modeled countries sum to less than one in each city.</w:t>
      </w:r>
    </w:p>
    <w:bookmarkEnd w:id="122"/>
    <w:bookmarkStart w:id="123" w:name="b.3-mechanism-a-local-social-mixing"/>
    <w:p>
      <w:pPr>
        <w:pStyle w:val="Heading3"/>
      </w:pPr>
      <w:r>
        <w:t xml:space="preserve">B.3 Mechanism A: local social mixing</w:t>
      </w:r>
    </w:p>
    <w:p>
      <w:pPr>
        <w:pStyle w:val="FirstParagraph"/>
      </w:pPr>
      <w:r>
        <w:t xml:space="preserve">Let</w:t>
      </w:r>
      <w:r>
        <w:t xml:space="preserve"> </w:t>
      </w:r>
      <m:oMath>
        <m:sSub>
          <m:e>
            <m:r>
              <m:t>X</m:t>
            </m:r>
          </m:e>
          <m:sub>
            <m:r>
              <m:t>c</m:t>
            </m:r>
            <m:r>
              <m:rPr>
                <m:sty m:val="p"/>
              </m:rPr>
              <m:t>,</m:t>
            </m:r>
            <m:r>
              <m:t>v</m:t>
            </m:r>
            <m:r>
              <m:rPr>
                <m:sty m:val="p"/>
              </m:rPr>
              <m:t>,</m:t>
            </m:r>
            <m:r>
              <m:t>d</m:t>
            </m:r>
          </m:sub>
        </m:sSub>
        <m:r>
          <m:rPr>
            <m:sty m:val="p"/>
          </m:rPr>
          <m:t>∼</m:t>
        </m:r>
        <m:r>
          <m:rPr>
            <m:nor/>
            <m:sty m:val="p"/>
          </m:rPr>
          <m:t>Poisson</m:t>
        </m:r>
        <m:r>
          <m:rPr>
            <m:sty m:val="p"/>
          </m:rPr>
          <m:t>(</m:t>
        </m:r>
        <m:sSub>
          <m:e>
            <m:r>
              <m:t>λ</m:t>
            </m:r>
          </m:e>
          <m:sub>
            <m:r>
              <m:t>c</m:t>
            </m:r>
            <m:r>
              <m:rPr>
                <m:sty m:val="p"/>
              </m:rPr>
              <m:t>,</m:t>
            </m:r>
            <m:r>
              <m:t>v</m:t>
            </m:r>
            <m:r>
              <m:rPr>
                <m:sty m:val="p"/>
              </m:rPr>
              <m:t>,</m:t>
            </m:r>
            <m:r>
              <m:t>d</m:t>
            </m:r>
          </m:sub>
        </m:sSub>
        <m:r>
          <m:rPr>
            <m:sty m:val="p"/>
          </m:rPr>
          <m:t>)</m:t>
        </m:r>
      </m:oMath>
      <w:r>
        <w:t xml:space="preserve"> </w:t>
      </w:r>
      <w:r>
        <w:t xml:space="preserve">be the number</w:t>
      </w:r>
      <w:r>
        <w:t xml:space="preserve"> </w:t>
      </w:r>
      <w:r>
        <w:t xml:space="preserve">of infected arrivals from country</w:t>
      </w:r>
      <w:r>
        <w:t xml:space="preserve"> </w:t>
      </w:r>
      <m:oMath>
        <m:r>
          <m:t>c</m:t>
        </m:r>
      </m:oMath>
      <w:r>
        <w:t xml:space="preserve"> </w:t>
      </w:r>
      <w:r>
        <w:t xml:space="preserve">at city</w:t>
      </w:r>
      <w:r>
        <w:t xml:space="preserve"> </w:t>
      </w:r>
      <m:oMath>
        <m:r>
          <m:t>v</m:t>
        </m:r>
      </m:oMath>
      <w:r>
        <w:t xml:space="preserve">. Under the</w:t>
      </w:r>
      <w:r>
        <w:t xml:space="preserve"> </w:t>
      </w:r>
      <w:r>
        <w:t xml:space="preserve">proportional-mixing assumption, each arrival independently enters</w:t>
      </w:r>
      <w:r>
        <w:t xml:space="preserve"> </w:t>
      </w:r>
      <w:r>
        <w:t xml:space="preserve">the co-national network with probability</w:t>
      </w:r>
      <w:r>
        <w:t xml:space="preserve"> </w:t>
      </w:r>
      <m:oMath>
        <m:sSub>
          <m:e>
            <m:r>
              <m:t>κ</m:t>
            </m:r>
          </m:e>
          <m:sub>
            <m:r>
              <m:t>c</m:t>
            </m:r>
            <m:r>
              <m:rPr>
                <m:sty m:val="p"/>
              </m:rPr>
              <m:t>,</m:t>
            </m:r>
            <m:r>
              <m:t>v</m:t>
            </m:r>
          </m:sub>
        </m:sSub>
      </m:oMath>
      <w:r>
        <w:t xml:space="preserve">. By the</w:t>
      </w:r>
      <w:r>
        <w:t xml:space="preserve"> </w:t>
      </w:r>
      <w:r>
        <w:t xml:space="preserve">Poisson thinning theorem</w:t>
      </w:r>
      <w:r>
        <w:t xml:space="preserve"> </w:t>
      </w:r>
      <w:r>
        <w:t xml:space="preserve">(29)</w:t>
      </w:r>
      <w:r>
        <w:t xml:space="preserve">, the thinned count is:</w:t>
      </w:r>
    </w:p>
    <w:p>
      <w:pPr>
        <w:pStyle w:val="BodyText"/>
      </w:pPr>
      <m:oMathPara>
        <m:oMathParaPr>
          <m:jc m:val="center"/>
        </m:oMathParaPr>
        <m:oMath>
          <m:sSub>
            <m:e>
              <m:r>
                <m:t>Y</m:t>
              </m:r>
            </m:e>
            <m:sub>
              <m:r>
                <m:t>c</m:t>
              </m:r>
              <m:r>
                <m:rPr>
                  <m:sty m:val="p"/>
                </m:rPr>
                <m:t>,</m:t>
              </m:r>
              <m:r>
                <m:t>v</m:t>
              </m:r>
              <m:r>
                <m:rPr>
                  <m:sty m:val="p"/>
                </m:rPr>
                <m:t>,</m:t>
              </m:r>
              <m:r>
                <m:t>d</m:t>
              </m:r>
            </m:sub>
          </m:sSub>
          <m:r>
            <m:rPr>
              <m:sty m:val="p"/>
            </m:rPr>
            <m:t>∼</m:t>
          </m:r>
          <m:r>
            <m:rPr>
              <m:nor/>
              <m:sty m:val="p"/>
            </m:rPr>
            <m:t>Poisson</m:t>
          </m:r>
          <m:r>
            <m:rPr>
              <m:sty m:val="p"/>
            </m:rPr>
            <m:t>(</m:t>
          </m:r>
          <m:sSub>
            <m:e>
              <m:r>
                <m:t>λ</m:t>
              </m:r>
            </m:e>
            <m:sub>
              <m:r>
                <m:t>c</m:t>
              </m:r>
              <m:r>
                <m:rPr>
                  <m:sty m:val="p"/>
                </m:rPr>
                <m:t>,</m:t>
              </m:r>
              <m:r>
                <m:t>v</m:t>
              </m:r>
              <m:r>
                <m:rPr>
                  <m:sty m:val="p"/>
                </m:rPr>
                <m:t>,</m:t>
              </m:r>
              <m:r>
                <m:t>d</m:t>
              </m:r>
            </m:sub>
          </m:sSub>
          <m:r>
            <m:rPr>
              <m:sty m:val="p"/>
            </m:rPr>
            <m:t>⋅</m:t>
          </m:r>
          <m:sSub>
            <m:e>
              <m:r>
                <m:t>κ</m:t>
              </m:r>
            </m:e>
            <m:sub>
              <m:r>
                <m:t>c</m:t>
              </m:r>
              <m:r>
                <m:rPr>
                  <m:sty m:val="p"/>
                </m:rPr>
                <m:t>,</m:t>
              </m:r>
              <m:r>
                <m:t>v</m:t>
              </m:r>
            </m:sub>
          </m:sSub>
          <m:r>
            <m:rPr>
              <m:sty m:val="p"/>
            </m:rPr>
            <m:t>)</m:t>
          </m:r>
        </m:oMath>
      </m:oMathPara>
    </w:p>
    <w:p>
      <w:pPr>
        <w:pStyle w:val="FirstParagraph"/>
      </w:pPr>
      <w:r>
        <w:t xml:space="preserve">We define the community-weighted importation intensity:</w:t>
      </w:r>
    </w:p>
    <w:p>
      <w:pPr>
        <w:pStyle w:val="BodyText"/>
      </w:pPr>
      <m:oMathPara>
        <m:oMathParaPr>
          <m:jc m:val="center"/>
        </m:oMathParaPr>
        <m:oMath>
          <m:sSubSup>
            <m:e>
              <m:r>
                <m:rPr>
                  <m:sty m:val="p"/>
                </m:rPr>
                <m:t>Ω</m:t>
              </m:r>
            </m:e>
            <m:sub>
              <m:r>
                <m:t>c</m:t>
              </m:r>
              <m:r>
                <m:rPr>
                  <m:sty m:val="p"/>
                </m:rPr>
                <m:t>,</m:t>
              </m:r>
              <m:r>
                <m:t>v</m:t>
              </m:r>
              <m:r>
                <m:rPr>
                  <m:sty m:val="p"/>
                </m:rPr>
                <m:t>,</m:t>
              </m:r>
              <m:r>
                <m:t>d</m:t>
              </m:r>
            </m:sub>
            <m:sup>
              <m:r>
                <m:t>A</m:t>
              </m:r>
            </m:sup>
          </m:sSubSup>
          <m:r>
            <m:rPr>
              <m:sty m:val="p"/>
            </m:rPr>
            <m:t>=</m:t>
          </m:r>
          <m:sSub>
            <m:e>
              <m:r>
                <m:t>λ</m:t>
              </m:r>
            </m:e>
            <m:sub>
              <m:r>
                <m:t>c</m:t>
              </m:r>
              <m:r>
                <m:rPr>
                  <m:sty m:val="p"/>
                </m:rPr>
                <m:t>,</m:t>
              </m:r>
              <m:r>
                <m:t>v</m:t>
              </m:r>
              <m:r>
                <m:rPr>
                  <m:sty m:val="p"/>
                </m:rPr>
                <m:t>,</m:t>
              </m:r>
              <m:r>
                <m:t>d</m:t>
              </m:r>
            </m:sub>
          </m:sSub>
          <m:r>
            <m:rPr>
              <m:sty m:val="p"/>
            </m:rPr>
            <m:t>⋅</m:t>
          </m:r>
          <m:sSub>
            <m:e>
              <m:r>
                <m:t>κ</m:t>
              </m:r>
            </m:e>
            <m:sub>
              <m:r>
                <m:t>c</m:t>
              </m:r>
              <m:r>
                <m:rPr>
                  <m:sty m:val="p"/>
                </m:rPr>
                <m:t>,</m:t>
              </m:r>
              <m:r>
                <m:t>v</m:t>
              </m:r>
            </m:sub>
          </m:sSub>
          <m:r>
            <m:rPr>
              <m:sty m:val="p"/>
            </m:rPr>
            <m:t>=</m:t>
          </m:r>
          <m:sSub>
            <m:e>
              <m:r>
                <m:t>λ</m:t>
              </m:r>
            </m:e>
            <m:sub>
              <m:r>
                <m:t>c</m:t>
              </m:r>
              <m:r>
                <m:rPr>
                  <m:sty m:val="p"/>
                </m:rPr>
                <m:t>,</m:t>
              </m:r>
              <m:r>
                <m:t>v</m:t>
              </m:r>
              <m:r>
                <m:rPr>
                  <m:sty m:val="p"/>
                </m:rPr>
                <m:t>,</m:t>
              </m:r>
              <m:r>
                <m:t>d</m:t>
              </m:r>
            </m:sub>
          </m:sSub>
          <m:r>
            <m:rPr>
              <m:sty m:val="p"/>
            </m:rPr>
            <m:t>⋅</m:t>
          </m:r>
          <m:f>
            <m:fPr>
              <m:type m:val="bar"/>
            </m:fPr>
            <m:num>
              <m:sSub>
                <m:e>
                  <m:r>
                    <m:t>D</m:t>
                  </m:r>
                </m:e>
                <m:sub>
                  <m:r>
                    <m:t>c</m:t>
                  </m:r>
                  <m:r>
                    <m:rPr>
                      <m:sty m:val="p"/>
                    </m:rPr>
                    <m:t>,</m:t>
                  </m:r>
                  <m:r>
                    <m:t>v</m:t>
                  </m:r>
                </m:sub>
              </m:sSub>
            </m:num>
            <m:den>
              <m:sSub>
                <m:e>
                  <m:r>
                    <m:rPr>
                      <m:sty m:val="p"/>
                    </m:rPr>
                    <m:t>F</m:t>
                  </m:r>
                  <m:r>
                    <m:rPr>
                      <m:sty m:val="p"/>
                    </m:rPr>
                    <m:t>B</m:t>
                  </m:r>
                </m:e>
                <m:sub>
                  <m:r>
                    <m:t>v</m:t>
                  </m:r>
                </m:sub>
              </m:sSub>
            </m:den>
          </m:f>
        </m:oMath>
      </m:oMathPara>
    </w:p>
    <w:p>
      <w:pPr>
        <w:pStyle w:val="FirstParagraph"/>
      </w:pPr>
      <w:r>
        <w:t xml:space="preserve">Because</w:t>
      </w:r>
      <w:r>
        <w:t xml:space="preserve"> </w:t>
      </w:r>
      <m:oMath>
        <m:sSub>
          <m:e>
            <m:r>
              <m:t>Y</m:t>
            </m:r>
          </m:e>
          <m:sub>
            <m:r>
              <m:t>c</m:t>
            </m:r>
            <m:r>
              <m:rPr>
                <m:sty m:val="p"/>
              </m:rPr>
              <m:t>,</m:t>
            </m:r>
            <m:r>
              <m:t>v</m:t>
            </m:r>
            <m:r>
              <m:rPr>
                <m:sty m:val="p"/>
              </m:rPr>
              <m:t>,</m:t>
            </m:r>
            <m:r>
              <m:t>d</m:t>
            </m:r>
          </m:sub>
        </m:sSub>
      </m:oMath>
      <w:r>
        <w:t xml:space="preserve"> </w:t>
      </w:r>
      <w:r>
        <w:t xml:space="preserve">values are independent Poisson random variables,</w:t>
      </w:r>
      <w:r>
        <w:t xml:space="preserve"> </w:t>
      </w:r>
      <w:r>
        <w:t xml:space="preserve">the city-level aggregate</w:t>
      </w:r>
      <w:r>
        <w:t xml:space="preserve"> </w:t>
      </w:r>
      <m:oMath>
        <m:sSubSup>
          <m:e>
            <m:r>
              <m:rPr>
                <m:sty m:val="p"/>
              </m:rPr>
              <m:t>Ω</m:t>
            </m:r>
          </m:e>
          <m:sub>
            <m:r>
              <m:t>v</m:t>
            </m:r>
            <m:r>
              <m:rPr>
                <m:sty m:val="p"/>
              </m:rPr>
              <m:t>,</m:t>
            </m:r>
            <m:r>
              <m:t>d</m:t>
            </m:r>
          </m:sub>
          <m:sup>
            <m:r>
              <m:t>A</m:t>
            </m:r>
          </m:sup>
        </m:sSubSup>
        <m:r>
          <m:rPr>
            <m:sty m:val="p"/>
          </m:rPr>
          <m:t>=</m:t>
        </m:r>
        <m:nary>
          <m:naryPr>
            <m:chr m:val="∑"/>
            <m:limLoc m:val="undOvr"/>
            <m:subHide m:val="off"/>
            <m:supHide m:val="on"/>
          </m:naryPr>
          <m:sub>
            <m:r>
              <m:t>c</m:t>
            </m:r>
          </m:sub>
          <m:sup>
            <m:r>
              <m:t/>
            </m:r>
          </m:sup>
          <m:e>
            <m:sSubSup>
              <m:e>
                <m:r>
                  <m:rPr>
                    <m:sty m:val="p"/>
                  </m:rPr>
                  <m:t>Ω</m:t>
                </m:r>
              </m:e>
              <m:sub>
                <m:r>
                  <m:t>c</m:t>
                </m:r>
                <m:r>
                  <m:rPr>
                    <m:sty m:val="p"/>
                  </m:rPr>
                  <m:t>,</m:t>
                </m:r>
                <m:r>
                  <m:t>v</m:t>
                </m:r>
                <m:r>
                  <m:rPr>
                    <m:sty m:val="p"/>
                  </m:rPr>
                  <m:t>,</m:t>
                </m:r>
                <m:r>
                  <m:t>d</m:t>
                </m:r>
              </m:sub>
              <m:sup>
                <m:r>
                  <m:t>A</m:t>
                </m:r>
              </m:sup>
            </m:sSubSup>
          </m:e>
        </m:nary>
      </m:oMath>
      <w:r>
        <w:t xml:space="preserve"> </w:t>
      </w:r>
      <w:r>
        <w:t xml:space="preserve">is also a valid Poisson rate. The probability that at least one</w:t>
      </w:r>
      <w:r>
        <w:t xml:space="preserve"> </w:t>
      </w:r>
      <w:r>
        <w:t xml:space="preserve">infected arrival enters any co-national network in city</w:t>
      </w:r>
      <w:r>
        <w:t xml:space="preserve"> </w:t>
      </w:r>
      <m:oMath>
        <m:r>
          <m:t>v</m:t>
        </m:r>
      </m:oMath>
      <w:r>
        <w:t xml:space="preserve"> </w:t>
      </w:r>
      <w:r>
        <w:t xml:space="preserve">is:</w:t>
      </w:r>
    </w:p>
    <w:p>
      <w:pPr>
        <w:pStyle w:val="BodyText"/>
      </w:pPr>
      <m:oMathPara>
        <m:oMathParaPr>
          <m:jc m:val="center"/>
        </m:oMathParaPr>
        <m:oMath>
          <m:sSup>
            <m:e>
              <m:r>
                <m:t>P</m:t>
              </m:r>
            </m:e>
            <m:sup>
              <m:r>
                <m:t>A</m:t>
              </m:r>
            </m:sup>
          </m:sSup>
          <m:r>
            <m:rPr>
              <m:sty m:val="p"/>
            </m:rPr>
            <m:t>(</m:t>
          </m:r>
          <m:r>
            <m:rPr>
              <m:sty m:val="p"/>
            </m:rPr>
            <m:t>≥</m:t>
          </m:r>
          <m:r>
            <m:t>1</m:t>
          </m:r>
          <m:sSub>
            <m:e>
              <m:r>
                <m:rPr>
                  <m:sty m:val="p"/>
                </m:rPr>
                <m:t>)</m:t>
              </m:r>
            </m:e>
            <m:sub>
              <m:r>
                <m:t>v</m:t>
              </m:r>
              <m:r>
                <m:rPr>
                  <m:sty m:val="p"/>
                </m:rPr>
                <m:t>,</m:t>
              </m:r>
              <m:r>
                <m:t>d</m:t>
              </m:r>
            </m:sub>
          </m:sSub>
          <m:r>
            <m:rPr>
              <m:sty m:val="p"/>
            </m:rPr>
            <m:t>=</m:t>
          </m:r>
          <m:r>
            <m:t>1</m:t>
          </m:r>
          <m:r>
            <m:rPr>
              <m:sty m:val="p"/>
            </m:rPr>
            <m:t>−</m:t>
          </m:r>
          <m:sSup>
            <m:e>
              <m:r>
                <m:t>e</m:t>
              </m:r>
            </m:e>
            <m:sup>
              <m:r>
                <m:rPr>
                  <m:sty m:val="p"/>
                </m:rPr>
                <m:t>−</m:t>
              </m:r>
              <m:sSubSup>
                <m:e>
                  <m:r>
                    <m:rPr>
                      <m:sty m:val="p"/>
                    </m:rPr>
                    <m:t>Ω</m:t>
                  </m:r>
                </m:e>
                <m:sub>
                  <m:r>
                    <m:t>v</m:t>
                  </m:r>
                  <m:r>
                    <m:rPr>
                      <m:sty m:val="p"/>
                    </m:rPr>
                    <m:t>,</m:t>
                  </m:r>
                  <m:r>
                    <m:t>d</m:t>
                  </m:r>
                </m:sub>
                <m:sup>
                  <m:r>
                    <m:t>A</m:t>
                  </m:r>
                </m:sup>
              </m:sSubSup>
            </m:sup>
          </m:sSup>
        </m:oMath>
      </m:oMathPara>
    </w:p>
    <w:p>
      <w:pPr>
        <w:pStyle w:val="FirstParagraph"/>
      </w:pPr>
      <w:r>
        <w:t xml:space="preserve">This is directly comparable to the main-model probability</w:t>
      </w:r>
      <w:r>
        <w:t xml:space="preserve"> </w:t>
      </w:r>
      <m:oMath>
        <m:r>
          <m:t>P</m:t>
        </m:r>
        <m:r>
          <m:rPr>
            <m:sty m:val="p"/>
          </m:rPr>
          <m:t>(</m:t>
        </m:r>
        <m:r>
          <m:rPr>
            <m:sty m:val="p"/>
          </m:rPr>
          <m:t>≥</m:t>
        </m:r>
        <m:r>
          <m:t>1</m:t>
        </m:r>
        <m:sSub>
          <m:e>
            <m:r>
              <m:rPr>
                <m:sty m:val="p"/>
              </m:rPr>
              <m:t>)</m:t>
            </m:r>
          </m:e>
          <m:sub>
            <m:r>
              <m:t>v</m:t>
            </m:r>
            <m:r>
              <m:rPr>
                <m:sty m:val="p"/>
              </m:rPr>
              <m:t>,</m:t>
            </m:r>
            <m:r>
              <m:t>d</m:t>
            </m:r>
          </m:sub>
        </m:sSub>
        <m:r>
          <m:rPr>
            <m:sty m:val="p"/>
          </m:rPr>
          <m:t>=</m:t>
        </m:r>
        <m:r>
          <m:t>1</m:t>
        </m:r>
        <m:r>
          <m:rPr>
            <m:sty m:val="p"/>
          </m:rPr>
          <m:t>−</m:t>
        </m:r>
        <m:sSup>
          <m:e>
            <m:r>
              <m:t>e</m:t>
            </m:r>
          </m:e>
          <m:sup>
            <m:r>
              <m:rPr>
                <m:sty m:val="p"/>
              </m:rPr>
              <m:t>−</m:t>
            </m:r>
            <m:sSub>
              <m:e>
                <m:r>
                  <m:rPr>
                    <m:sty m:val="p"/>
                  </m:rPr>
                  <m:t>Λ</m:t>
                </m:r>
              </m:e>
              <m:sub>
                <m:r>
                  <m:t>v</m:t>
                </m:r>
                <m:r>
                  <m:rPr>
                    <m:sty m:val="p"/>
                  </m:rPr>
                  <m:t>,</m:t>
                </m:r>
                <m:r>
                  <m:t>d</m:t>
                </m:r>
              </m:sub>
            </m:sSub>
          </m:sup>
        </m:sSup>
      </m:oMath>
      <w:r>
        <w:t xml:space="preserve">. Since</w:t>
      </w:r>
      <w:r>
        <w:t xml:space="preserve"> </w:t>
      </w:r>
      <m:oMath>
        <m:sSub>
          <m:e>
            <m:r>
              <m:t>κ</m:t>
            </m:r>
          </m:e>
          <m:sub>
            <m:r>
              <m:t>c</m:t>
            </m:r>
            <m:r>
              <m:rPr>
                <m:sty m:val="p"/>
              </m:rPr>
              <m:t>,</m:t>
            </m:r>
            <m:r>
              <m:t>v</m:t>
            </m:r>
          </m:sub>
        </m:sSub>
        <m:r>
          <m:rPr>
            <m:sty m:val="p"/>
          </m:rPr>
          <m:t>≤</m:t>
        </m:r>
        <m:r>
          <m:t>1</m:t>
        </m:r>
      </m:oMath>
      <w:r>
        <w:t xml:space="preserve"> </w:t>
      </w:r>
      <w:r>
        <w:t xml:space="preserve">for all</w:t>
      </w:r>
      <w:r>
        <w:t xml:space="preserve"> </w:t>
      </w:r>
      <m:oMath>
        <m:r>
          <m:t>c</m:t>
        </m:r>
        <m:r>
          <m:rPr>
            <m:sty m:val="p"/>
          </m:rPr>
          <m:t>,</m:t>
        </m:r>
        <m:r>
          <m:t>v</m:t>
        </m:r>
      </m:oMath>
      <w:r>
        <w:t xml:space="preserve">, it follows that</w:t>
      </w:r>
      <w:r>
        <w:t xml:space="preserve"> </w:t>
      </w:r>
      <m:oMath>
        <m:sSubSup>
          <m:e>
            <m:r>
              <m:rPr>
                <m:sty m:val="p"/>
              </m:rPr>
              <m:t>Ω</m:t>
            </m:r>
          </m:e>
          <m:sub>
            <m:r>
              <m:t>v</m:t>
            </m:r>
            <m:r>
              <m:rPr>
                <m:sty m:val="p"/>
              </m:rPr>
              <m:t>,</m:t>
            </m:r>
            <m:r>
              <m:t>d</m:t>
            </m:r>
          </m:sub>
          <m:sup>
            <m:r>
              <m:t>A</m:t>
            </m:r>
          </m:sup>
        </m:sSubSup>
        <m:r>
          <m:rPr>
            <m:sty m:val="p"/>
          </m:rPr>
          <m:t>≤</m:t>
        </m:r>
        <m:sSub>
          <m:e>
            <m:r>
              <m:rPr>
                <m:sty m:val="p"/>
              </m:rPr>
              <m:t>Λ</m:t>
            </m:r>
          </m:e>
          <m:sub>
            <m:r>
              <m:t>v</m:t>
            </m:r>
            <m:r>
              <m:rPr>
                <m:sty m:val="p"/>
              </m:rPr>
              <m:t>,</m:t>
            </m:r>
            <m:r>
              <m:t>d</m:t>
            </m:r>
          </m:sub>
        </m:sSub>
      </m:oMath>
      <w:r>
        <w:t xml:space="preserve"> </w:t>
      </w:r>
      <w:r>
        <w:t xml:space="preserve">and therefore</w:t>
      </w:r>
      <w:r>
        <w:t xml:space="preserve"> </w:t>
      </w:r>
      <m:oMath>
        <m:sSup>
          <m:e>
            <m:r>
              <m:t>P</m:t>
            </m:r>
          </m:e>
          <m:sup>
            <m:r>
              <m:t>A</m:t>
            </m:r>
          </m:sup>
        </m:sSup>
        <m:r>
          <m:rPr>
            <m:sty m:val="p"/>
          </m:rPr>
          <m:t>(</m:t>
        </m:r>
        <m:r>
          <m:rPr>
            <m:sty m:val="p"/>
          </m:rPr>
          <m:t>≥</m:t>
        </m:r>
        <m:r>
          <m:t>1</m:t>
        </m:r>
        <m:sSub>
          <m:e>
            <m:r>
              <m:rPr>
                <m:sty m:val="p"/>
              </m:rPr>
              <m:t>)</m:t>
            </m:r>
          </m:e>
          <m:sub>
            <m:r>
              <m:t>v</m:t>
            </m:r>
            <m:r>
              <m:rPr>
                <m:sty m:val="p"/>
              </m:rPr>
              <m:t>,</m:t>
            </m:r>
            <m:r>
              <m:t>d</m:t>
            </m:r>
          </m:sub>
        </m:sSub>
        <m:r>
          <m:rPr>
            <m:sty m:val="p"/>
          </m:rPr>
          <m:t>≤</m:t>
        </m:r>
        <m:r>
          <m:t>P</m:t>
        </m:r>
        <m:r>
          <m:rPr>
            <m:sty m:val="p"/>
          </m:rPr>
          <m:t>(</m:t>
        </m:r>
        <m:r>
          <m:rPr>
            <m:sty m:val="p"/>
          </m:rPr>
          <m:t>≥</m:t>
        </m:r>
        <m:r>
          <m:t>1</m:t>
        </m:r>
        <m:sSub>
          <m:e>
            <m:r>
              <m:rPr>
                <m:sty m:val="p"/>
              </m:rPr>
              <m:t>)</m:t>
            </m:r>
          </m:e>
          <m:sub>
            <m:r>
              <m:t>v</m:t>
            </m:r>
            <m:r>
              <m:rPr>
                <m:sty m:val="p"/>
              </m:rPr>
              <m:t>,</m:t>
            </m:r>
            <m:r>
              <m:t>d</m:t>
            </m:r>
          </m:sub>
        </m:sSub>
      </m:oMath>
      <w:r>
        <w:t xml:space="preserve"> </w:t>
      </w:r>
      <w:r>
        <w:t xml:space="preserve">always: the</w:t>
      </w:r>
      <w:r>
        <w:t xml:space="preserve"> </w:t>
      </w:r>
      <w:r>
        <w:t xml:space="preserve">diaspora-network probability is a lower bound on the arrival</w:t>
      </w:r>
      <w:r>
        <w:t xml:space="preserve"> </w:t>
      </w:r>
      <w:r>
        <w:t xml:space="preserve">probability, never exceeding it.</w:t>
      </w:r>
    </w:p>
    <w:bookmarkEnd w:id="123"/>
    <w:bookmarkStart w:id="124" w:name="b.4-mechanism-b-diaspora-return-seeding"/>
    <w:p>
      <w:pPr>
        <w:pStyle w:val="Heading3"/>
      </w:pPr>
      <w:r>
        <w:t xml:space="preserve">B.4 Mechanism B: diaspora return seeding</w:t>
      </w:r>
    </w:p>
    <w:p>
      <w:pPr>
        <w:pStyle w:val="FirstParagraph"/>
      </w:pPr>
      <w:r>
        <w:t xml:space="preserve">US-resident diaspora members from country</w:t>
      </w:r>
      <w:r>
        <w:t xml:space="preserve"> </w:t>
      </w:r>
      <m:oMath>
        <m:r>
          <m:t>c</m:t>
        </m:r>
      </m:oMath>
      <w:r>
        <w:t xml:space="preserve"> </w:t>
      </w:r>
      <w:r>
        <w:t xml:space="preserve">living in hub city</w:t>
      </w:r>
      <w:r>
        <w:t xml:space="preserve"> </w:t>
      </w:r>
      <m:oMath>
        <m:sSub>
          <m:e>
            <m:r>
              <m:t>v</m:t>
            </m:r>
          </m:e>
          <m:sub>
            <m:r>
              <m:rPr>
                <m:nor/>
                <m:sty m:val="p"/>
              </m:rPr>
              <m:t>home</m:t>
            </m:r>
          </m:sub>
        </m:sSub>
      </m:oMath>
      <w:r>
        <w:t xml:space="preserve"> </w:t>
      </w:r>
      <w:r>
        <w:t xml:space="preserve">may travel domestically to</w:t>
      </w:r>
      <w:r>
        <w:t xml:space="preserve"> </w:t>
      </w:r>
      <m:oMath>
        <m:sSub>
          <m:e>
            <m:r>
              <m:t>v</m:t>
            </m:r>
          </m:e>
          <m:sub>
            <m:r>
              <m:rPr>
                <m:nor/>
                <m:sty m:val="p"/>
              </m:rPr>
              <m:t>match</m:t>
            </m:r>
          </m:sub>
        </m:sSub>
      </m:oMath>
      <w:r>
        <w:t xml:space="preserve"> </w:t>
      </w:r>
      <w:r>
        <w:t xml:space="preserve">(where country</w:t>
      </w:r>
      <w:r>
        <w:t xml:space="preserve"> </w:t>
      </w:r>
      <m:oMath>
        <m:r>
          <m:t>c</m:t>
        </m:r>
      </m:oMath>
      <w:r>
        <w:t xml:space="preserve"> </w:t>
      </w:r>
      <w:r>
        <w:t xml:space="preserve">plays), be exposed to infected international</w:t>
      </w:r>
      <w:r>
        <w:t xml:space="preserve"> </w:t>
      </w:r>
      <w:r>
        <w:t xml:space="preserve">arrivals, and seed transmission upon return. The secondary seeding</w:t>
      </w:r>
      <w:r>
        <w:t xml:space="preserve"> </w:t>
      </w:r>
      <w:r>
        <w:t xml:space="preserve">index is:</w:t>
      </w:r>
    </w:p>
    <w:p>
      <w:pPr>
        <w:pStyle w:val="BodyText"/>
      </w:pPr>
      <m:oMathPara>
        <m:oMathParaPr>
          <m:jc m:val="center"/>
        </m:oMathParaPr>
        <m:oMath>
          <m:sSubSup>
            <m:e>
              <m:r>
                <m:rPr>
                  <m:sty m:val="p"/>
                </m:rPr>
                <m:t>Ω</m:t>
              </m:r>
            </m:e>
            <m:sub>
              <m:r>
                <m:t>c</m:t>
              </m:r>
              <m:r>
                <m:rPr>
                  <m:sty m:val="p"/>
                </m:rPr>
                <m:t>,</m:t>
              </m:r>
              <m:r>
                <m:t> </m:t>
              </m:r>
              <m:sSub>
                <m:e>
                  <m:r>
                    <m:t>v</m:t>
                  </m:r>
                </m:e>
                <m:sub>
                  <m:r>
                    <m:rPr>
                      <m:nor/>
                      <m:sty m:val="p"/>
                    </m:rPr>
                    <m:t>match</m:t>
                  </m:r>
                </m:sub>
              </m:sSub>
              <m:r>
                <m:rPr>
                  <m:sty m:val="p"/>
                </m:rPr>
                <m:t>,</m:t>
              </m:r>
              <m:r>
                <m:t> </m:t>
              </m:r>
              <m:sSub>
                <m:e>
                  <m:r>
                    <m:t>v</m:t>
                  </m:r>
                </m:e>
                <m:sub>
                  <m:r>
                    <m:rPr>
                      <m:nor/>
                      <m:sty m:val="p"/>
                    </m:rPr>
                    <m:t>home</m:t>
                  </m:r>
                </m:sub>
              </m:sSub>
              <m:r>
                <m:rPr>
                  <m:sty m:val="p"/>
                </m:rPr>
                <m:t>,</m:t>
              </m:r>
              <m:r>
                <m:t> </m:t>
              </m:r>
              <m:r>
                <m:t>d</m:t>
              </m:r>
            </m:sub>
            <m:sup>
              <m:r>
                <m:t>B</m:t>
              </m:r>
            </m:sup>
          </m:sSubSup>
          <m:r>
            <m:rPr>
              <m:sty m:val="p"/>
            </m:rPr>
            <m:t>=</m:t>
          </m:r>
          <m:sSub>
            <m:e>
              <m:r>
                <m:t>λ</m:t>
              </m:r>
            </m:e>
            <m:sub>
              <m:r>
                <m:t>c</m:t>
              </m:r>
              <m:r>
                <m:rPr>
                  <m:sty m:val="p"/>
                </m:rPr>
                <m:t>,</m:t>
              </m:r>
              <m:r>
                <m:t> </m:t>
              </m:r>
              <m:sSub>
                <m:e>
                  <m:r>
                    <m:t>v</m:t>
                  </m:r>
                </m:e>
                <m:sub>
                  <m:r>
                    <m:rPr>
                      <m:nor/>
                      <m:sty m:val="p"/>
                    </m:rPr>
                    <m:t>match</m:t>
                  </m:r>
                </m:sub>
              </m:sSub>
              <m:r>
                <m:rPr>
                  <m:sty m:val="p"/>
                </m:rPr>
                <m:t>,</m:t>
              </m:r>
              <m:r>
                <m:t> </m:t>
              </m:r>
              <m:r>
                <m:t>d</m:t>
              </m:r>
            </m:sub>
          </m:sSub>
          <m:r>
            <m:rPr>
              <m:sty m:val="p"/>
            </m:rPr>
            <m:t>⋅</m:t>
          </m:r>
          <m:sSub>
            <m:e>
              <m:r>
                <m:t>κ</m:t>
              </m:r>
            </m:e>
            <m:sub>
              <m:r>
                <m:t>c</m:t>
              </m:r>
              <m:r>
                <m:rPr>
                  <m:sty m:val="p"/>
                </m:rPr>
                <m:t>,</m:t>
              </m:r>
              <m:r>
                <m:t> </m:t>
              </m:r>
              <m:sSub>
                <m:e>
                  <m:r>
                    <m:t>v</m:t>
                  </m:r>
                </m:e>
                <m:sub>
                  <m:r>
                    <m:rPr>
                      <m:nor/>
                      <m:sty m:val="p"/>
                    </m:rPr>
                    <m:t>home</m:t>
                  </m:r>
                </m:sub>
              </m:sSub>
            </m:sub>
          </m:sSub>
        </m:oMath>
      </m:oMathPara>
    </w:p>
    <w:p>
      <w:pPr>
        <w:pStyle w:val="FirstParagraph"/>
      </w:pPr>
      <w:r>
        <w:t xml:space="preserve">Note that in Mechanism A both</w:t>
      </w:r>
      <w:r>
        <w:t xml:space="preserve"> </w:t>
      </w:r>
      <m:oMath>
        <m:r>
          <m:t>λ</m:t>
        </m:r>
      </m:oMath>
      <w:r>
        <w:t xml:space="preserve"> </w:t>
      </w:r>
      <w:r>
        <w:t xml:space="preserve">and</w:t>
      </w:r>
      <w:r>
        <w:t xml:space="preserve"> </w:t>
      </w:r>
      <m:oMath>
        <m:r>
          <m:t>κ</m:t>
        </m:r>
      </m:oMath>
      <w:r>
        <w:t xml:space="preserve"> </w:t>
      </w:r>
      <w:r>
        <w:t xml:space="preserve">reference the</w:t>
      </w:r>
      <w:r>
        <w:t xml:space="preserve"> </w:t>
      </w:r>
      <w:r>
        <w:rPr>
          <w:i/>
          <w:iCs/>
        </w:rPr>
        <w:t xml:space="preserve">same</w:t>
      </w:r>
      <w:r>
        <w:t xml:space="preserve"> </w:t>
      </w:r>
      <w:r>
        <w:t xml:space="preserve">city; in Mechanism B they reference</w:t>
      </w:r>
      <w:r>
        <w:t xml:space="preserve"> </w:t>
      </w:r>
      <w:r>
        <w:rPr>
          <w:i/>
          <w:iCs/>
        </w:rPr>
        <w:t xml:space="preserve">different</w:t>
      </w:r>
      <w:r>
        <w:t xml:space="preserve"> </w:t>
      </w:r>
      <w:r>
        <w:t xml:space="preserve">cities (</w:t>
      </w:r>
      <m:oMath>
        <m:sSub>
          <m:e>
            <m:r>
              <m:t>v</m:t>
            </m:r>
          </m:e>
          <m:sub>
            <m:r>
              <m:rPr>
                <m:nor/>
                <m:sty m:val="p"/>
              </m:rPr>
              <m:t>match</m:t>
            </m:r>
          </m:sub>
        </m:sSub>
      </m:oMath>
      <w:r>
        <w:t xml:space="preserve"> </w:t>
      </w:r>
      <w:r>
        <w:t xml:space="preserve">and</w:t>
      </w:r>
      <w:r>
        <w:t xml:space="preserve"> </w:t>
      </w:r>
      <m:oMath>
        <m:sSub>
          <m:e>
            <m:r>
              <m:t>v</m:t>
            </m:r>
          </m:e>
          <m:sub>
            <m:r>
              <m:rPr>
                <m:nor/>
                <m:sty m:val="p"/>
              </m:rPr>
              <m:t>home</m:t>
            </m:r>
          </m:sub>
        </m:sSub>
      </m:oMath>
      <w:r>
        <w:t xml:space="preserve">, respectively).</w:t>
      </w:r>
      <w:r>
        <w:t xml:space="preserve"> </w:t>
      </w:r>
      <m:oMath>
        <m:sSup>
          <m:e>
            <m:r>
              <m:rPr>
                <m:sty m:val="p"/>
              </m:rPr>
              <m:t>Ω</m:t>
            </m:r>
          </m:e>
          <m:sup>
            <m:r>
              <m:t>B</m:t>
            </m:r>
          </m:sup>
        </m:sSup>
      </m:oMath>
      <w:r>
        <w:t xml:space="preserve"> </w:t>
      </w:r>
      <w:r>
        <w:t xml:space="preserve">is therefore a</w:t>
      </w:r>
      <w:r>
        <w:t xml:space="preserve"> </w:t>
      </w:r>
      <w:r>
        <w:rPr>
          <w:b/>
          <w:bCs/>
        </w:rPr>
        <w:t xml:space="preserve">relative seeding index</w:t>
      </w:r>
      <w:r>
        <w:t xml:space="preserve"> </w:t>
      </w:r>
      <w:r>
        <w:t xml:space="preserve">that</w:t>
      </w:r>
      <w:r>
        <w:t xml:space="preserve"> </w:t>
      </w:r>
      <w:r>
        <w:t xml:space="preserve">ranks hub cities by exposure potential rather than a strict Poisson</w:t>
      </w:r>
      <w:r>
        <w:t xml:space="preserve"> </w:t>
      </w:r>
      <w:r>
        <w:t xml:space="preserve">arrival rate. The aggregate index for hub city</w:t>
      </w:r>
      <w:r>
        <w:t xml:space="preserve"> </w:t>
      </w:r>
      <m:oMath>
        <m:sSub>
          <m:e>
            <m:r>
              <m:t>v</m:t>
            </m:r>
          </m:e>
          <m:sub>
            <m:r>
              <m:rPr>
                <m:nor/>
                <m:sty m:val="p"/>
              </m:rPr>
              <m:t>home</m:t>
            </m:r>
          </m:sub>
        </m:sSub>
      </m:oMath>
      <w:r>
        <w:t xml:space="preserve"> </w:t>
      </w:r>
      <w:r>
        <w:t xml:space="preserve">across all source countries and match venues is:</w:t>
      </w:r>
    </w:p>
    <w:p>
      <w:pPr>
        <w:pStyle w:val="BodyText"/>
      </w:pPr>
      <m:oMathPara>
        <m:oMathParaPr>
          <m:jc m:val="center"/>
        </m:oMathParaPr>
        <m:oMath>
          <m:sSubSup>
            <m:e>
              <m:r>
                <m:rPr>
                  <m:sty m:val="p"/>
                </m:rPr>
                <m:t>Ω</m:t>
              </m:r>
            </m:e>
            <m:sub>
              <m:sSub>
                <m:e>
                  <m:r>
                    <m:t>v</m:t>
                  </m:r>
                </m:e>
                <m:sub>
                  <m:r>
                    <m:rPr>
                      <m:nor/>
                      <m:sty m:val="p"/>
                    </m:rPr>
                    <m:t>home</m:t>
                  </m:r>
                </m:sub>
              </m:sSub>
              <m:r>
                <m:rPr>
                  <m:sty m:val="p"/>
                </m:rPr>
                <m:t>,</m:t>
              </m:r>
              <m:r>
                <m:t> </m:t>
              </m:r>
              <m:r>
                <m:t>d</m:t>
              </m:r>
            </m:sub>
            <m:sup>
              <m:r>
                <m:t>B</m:t>
              </m:r>
            </m:sup>
          </m:sSubSup>
          <m:r>
            <m:rPr>
              <m:sty m:val="p"/>
            </m:rPr>
            <m:t>=</m:t>
          </m:r>
          <m:nary>
            <m:naryPr>
              <m:chr m:val="∑"/>
              <m:limLoc m:val="undOvr"/>
              <m:subHide m:val="off"/>
              <m:supHide m:val="on"/>
            </m:naryPr>
            <m:sub>
              <m:r>
                <m:t>c</m:t>
              </m:r>
            </m:sub>
            <m:sup>
              <m:r>
                <m:t/>
              </m:r>
            </m:sup>
            <m:e>
              <m:nary>
                <m:naryPr>
                  <m:chr m:val="∑"/>
                  <m:limLoc m:val="undOvr"/>
                  <m:subHide m:val="off"/>
                  <m:supHide m:val="on"/>
                </m:naryPr>
                <m:sub>
                  <m:sSub>
                    <m:e>
                      <m:r>
                        <m:t>v</m:t>
                      </m:r>
                    </m:e>
                    <m:sub>
                      <m:r>
                        <m:rPr>
                          <m:nor/>
                          <m:sty m:val="p"/>
                        </m:rPr>
                        <m:t>match</m:t>
                      </m:r>
                    </m:sub>
                  </m:sSub>
                  <m:r>
                    <m:rPr>
                      <m:sty m:val="p"/>
                    </m:rPr>
                    <m:t>≠</m:t>
                  </m:r>
                  <m:sSub>
                    <m:e>
                      <m:r>
                        <m:t>v</m:t>
                      </m:r>
                    </m:e>
                    <m:sub>
                      <m:r>
                        <m:rPr>
                          <m:nor/>
                          <m:sty m:val="p"/>
                        </m:rPr>
                        <m:t>home</m:t>
                      </m:r>
                    </m:sub>
                  </m:sSub>
                </m:sub>
                <m:sup>
                  <m:r>
                    <m:t/>
                  </m:r>
                </m:sup>
                <m:e>
                  <m:sSubSup>
                    <m:e>
                      <m:r>
                        <m:rPr>
                          <m:sty m:val="p"/>
                        </m:rPr>
                        <m:t>Ω</m:t>
                      </m:r>
                    </m:e>
                    <m:sub>
                      <m:r>
                        <m:t>c</m:t>
                      </m:r>
                      <m:r>
                        <m:rPr>
                          <m:sty m:val="p"/>
                        </m:rPr>
                        <m:t>,</m:t>
                      </m:r>
                      <m:r>
                        <m:t> </m:t>
                      </m:r>
                      <m:sSub>
                        <m:e>
                          <m:r>
                            <m:t>v</m:t>
                          </m:r>
                        </m:e>
                        <m:sub>
                          <m:r>
                            <m:rPr>
                              <m:nor/>
                              <m:sty m:val="p"/>
                            </m:rPr>
                            <m:t>match</m:t>
                          </m:r>
                        </m:sub>
                      </m:sSub>
                      <m:r>
                        <m:rPr>
                          <m:sty m:val="p"/>
                        </m:rPr>
                        <m:t>,</m:t>
                      </m:r>
                      <m:r>
                        <m:t> </m:t>
                      </m:r>
                      <m:sSub>
                        <m:e>
                          <m:r>
                            <m:t>v</m:t>
                          </m:r>
                        </m:e>
                        <m:sub>
                          <m:r>
                            <m:rPr>
                              <m:nor/>
                              <m:sty m:val="p"/>
                            </m:rPr>
                            <m:t>home</m:t>
                          </m:r>
                        </m:sub>
                      </m:sSub>
                      <m:r>
                        <m:rPr>
                          <m:sty m:val="p"/>
                        </m:rPr>
                        <m:t>,</m:t>
                      </m:r>
                      <m:r>
                        <m:t> </m:t>
                      </m:r>
                      <m:r>
                        <m:t>d</m:t>
                      </m:r>
                    </m:sub>
                    <m:sup>
                      <m:r>
                        <m:t>B</m:t>
                      </m:r>
                    </m:sup>
                  </m:sSubSup>
                </m:e>
              </m:nary>
            </m:e>
          </m:nary>
        </m:oMath>
      </m:oMathPara>
    </w:p>
    <w:p>
      <w:pPr>
        <w:pStyle w:val="FirstParagraph"/>
      </w:pPr>
      <w:r>
        <w:t xml:space="preserve">The match venue</w:t>
      </w:r>
      <w:r>
        <w:t xml:space="preserve"> </w:t>
      </w:r>
      <m:oMath>
        <m:sSub>
          <m:e>
            <m:r>
              <m:t>v</m:t>
            </m:r>
          </m:e>
          <m:sub>
            <m:r>
              <m:rPr>
                <m:nor/>
                <m:sty m:val="p"/>
              </m:rPr>
              <m:t>match</m:t>
            </m:r>
          </m:sub>
        </m:sSub>
      </m:oMath>
      <w:r>
        <w:t xml:space="preserve"> </w:t>
      </w:r>
      <w:r>
        <w:t xml:space="preserve">ranges over the 11 host cities, while the hub city</w:t>
      </w:r>
      <w:r>
        <w:t xml:space="preserve"> </w:t>
      </w:r>
      <m:oMath>
        <m:sSub>
          <m:e>
            <m:r>
              <m:t>v</m:t>
            </m:r>
          </m:e>
          <m:sub>
            <m:r>
              <m:rPr>
                <m:nor/>
                <m:sty m:val="p"/>
              </m:rPr>
              <m:t>home</m:t>
            </m:r>
          </m:sub>
        </m:sSub>
      </m:oMath>
      <w:r>
        <w:t xml:space="preserve"> </w:t>
      </w:r>
      <w:r>
        <w:t xml:space="preserve">ranges over both the 11 host cities and 15 major non-host metropolitan areas with large immigrant populations (drawn from the same ACS B05006 country-of-birth data), so that secondary seeding into non-venue cities</w:t>
      </w:r>
      <w:r>
        <w:t xml:space="preserve"> </w:t>
      </w:r>
      <w:r>
        <w:t xml:space="preserve">is captured. The 15</w:t>
      </w:r>
      <w:r>
        <w:t xml:space="preserve"> </w:t>
      </w:r>
      <w:r>
        <w:t xml:space="preserve">non-host hub metropolitan areas are Austin, Char</w:t>
      </w:r>
      <w:r>
        <w:t xml:space="preserve"> </w:t>
      </w:r>
      <w:r>
        <w:t xml:space="preserve">lotte, Chicago,</w:t>
      </w:r>
      <w:r>
        <w:t xml:space="preserve"> </w:t>
      </w:r>
      <w:r>
        <w:t xml:space="preserve">Denver, Detroit, Las Vegas, Minneapolis, Orlando</w:t>
      </w:r>
      <w:r>
        <w:t xml:space="preserve"> </w:t>
      </w:r>
      <w:r>
        <w:t xml:space="preserve">, Phoenix, Portland,</w:t>
      </w:r>
      <w:r>
        <w:t xml:space="preserve"> </w:t>
      </w:r>
      <w:r>
        <w:t xml:space="preserve">Sacramento, San Antonio, San Diego, Tampa, and W</w:t>
      </w:r>
      <w:r>
        <w:t xml:space="preserve"> </w:t>
      </w:r>
      <w:r>
        <w:t xml:space="preserve">ashington, DC.</w:t>
      </w:r>
    </w:p>
    <w:bookmarkEnd w:id="124"/>
    <w:bookmarkEnd w:id="125"/>
    <w:bookmarkStart w:id="158" w:name="X3acc6b26d8eb40b32d57707d630bf43d806fcca"/>
    <w:p>
      <w:pPr>
        <w:pStyle w:val="Heading2"/>
      </w:pPr>
      <w:r>
        <w:t xml:space="preserve">Table S1. Sensitivity of expected importations to the mild-symptom travel probability</w:t>
      </w:r>
      <w:r>
        <w:t xml:space="preserve"> </w:t>
      </w:r>
      <m:oMath>
        <m:sSub>
          <m:e>
            <m:r>
              <m:t>p</m:t>
            </m:r>
          </m:e>
          <m:sub>
            <m:r>
              <m:t>d</m:t>
            </m:r>
          </m:sub>
        </m:sSub>
      </m:oMath>
      <w:r>
        <w:t xml:space="preserve">.</w:t>
      </w:r>
    </w:p>
    <w:p>
      <w:pPr>
        <w:pStyle w:val="FirstParagraph"/>
      </w:pPr>
      <w:r>
        <w:t xml:space="preserve">Because</w:t>
      </w:r>
      <w:r>
        <w:t xml:space="preserve"> </w:t>
      </w:r>
      <m:oMath>
        <m:sSub>
          <m:e>
            <m:r>
              <m:t>p</m:t>
            </m:r>
          </m:e>
          <m:sub>
            <m:r>
              <m:t>d</m:t>
            </m:r>
          </m:sub>
        </m:sSub>
      </m:oMath>
      <w:r>
        <w:t xml:space="preserve"> </w:t>
      </w:r>
      <w:r>
        <w:t xml:space="preserve">enters the model multiplicatively</w:t>
      </w:r>
      <w:r>
        <w:t xml:space="preserve"> </w:t>
      </w:r>
      <w:r>
        <w:t xml:space="preserve">(</w:t>
      </w:r>
      <m:oMath>
        <m:sSub>
          <m:e>
            <m:r>
              <m:t>λ</m:t>
            </m:r>
          </m:e>
          <m:sub>
            <m:r>
              <m:t>c</m:t>
            </m:r>
            <m:r>
              <m:rPr>
                <m:sty m:val="p"/>
              </m:rPr>
              <m:t>,</m:t>
            </m:r>
            <m:r>
              <m:t>v</m:t>
            </m:r>
            <m:r>
              <m:rPr>
                <m:sty m:val="p"/>
              </m:rPr>
              <m:t>,</m:t>
            </m:r>
            <m:r>
              <m:t>d</m:t>
            </m:r>
          </m:sub>
        </m:sSub>
        <m:r>
          <m:rPr>
            <m:sty m:val="p"/>
          </m:rPr>
          <m:t>=</m:t>
        </m:r>
        <m:sSub>
          <m:e>
            <m:r>
              <m:t>N</m:t>
            </m:r>
          </m:e>
          <m:sub>
            <m:r>
              <m:t>c</m:t>
            </m:r>
            <m:r>
              <m:rPr>
                <m:sty m:val="p"/>
              </m:rPr>
              <m:t>,</m:t>
            </m:r>
            <m:r>
              <m:t>v</m:t>
            </m:r>
          </m:sub>
        </m:sSub>
        <m:r>
          <m:rPr>
            <m:sty m:val="p"/>
          </m:rPr>
          <m:t>⋅</m:t>
        </m:r>
        <m:sSub>
          <m:e>
            <m:r>
              <m:t>ρ</m:t>
            </m:r>
          </m:e>
          <m:sub>
            <m:r>
              <m:t>d</m:t>
            </m:r>
          </m:sub>
        </m:sSub>
        <m:r>
          <m:rPr>
            <m:sty m:val="p"/>
          </m:rPr>
          <m:t>⋅</m:t>
        </m:r>
        <m:sSub>
          <m:e>
            <m:r>
              <m:t>C</m:t>
            </m:r>
          </m:e>
          <m:sub>
            <m:r>
              <m:t>c</m:t>
            </m:r>
            <m:r>
              <m:rPr>
                <m:sty m:val="p"/>
              </m:rPr>
              <m:t>,</m:t>
            </m:r>
            <m:r>
              <m:t>d</m:t>
            </m:r>
          </m:sub>
        </m:sSub>
        <m:r>
          <m:rPr>
            <m:sty m:val="p"/>
          </m:rPr>
          <m:t>/</m:t>
        </m:r>
        <m:sSub>
          <m:e>
            <m:r>
              <m:t>P</m:t>
            </m:r>
          </m:e>
          <m:sub>
            <m:r>
              <m:t>c</m:t>
            </m:r>
          </m:sub>
        </m:sSub>
        <m:r>
          <m:rPr>
            <m:sty m:val="p"/>
          </m:rPr>
          <m:t>⋅</m:t>
        </m:r>
        <m:sSub>
          <m:e>
            <m:r>
              <m:t>p</m:t>
            </m:r>
          </m:e>
          <m:sub>
            <m:r>
              <m:t>d</m:t>
            </m:r>
          </m:sub>
        </m:sSub>
      </m:oMath>
      <w:r>
        <w:t xml:space="preserve">),</w:t>
      </w:r>
      <w:r>
        <w:t xml:space="preserve"> </w:t>
      </w:r>
      <w:r>
        <w:t xml:space="preserve">fixing</w:t>
      </w:r>
      <w:r>
        <w:t xml:space="preserve"> </w:t>
      </w:r>
      <m:oMath>
        <m:sSub>
          <m:e>
            <m:r>
              <m:t>ρ</m:t>
            </m:r>
          </m:e>
          <m:sub>
            <m:r>
              <m:t>d</m:t>
            </m:r>
          </m:sub>
        </m:sSub>
      </m:oMath>
      <w:r>
        <w:t xml:space="preserve"> </w:t>
      </w:r>
      <w:r>
        <w:t xml:space="preserve">at its literature midpoint and varying</w:t>
      </w:r>
      <w:r>
        <w:t xml:space="preserve"> </w:t>
      </w:r>
      <m:oMath>
        <m:sSub>
          <m:e>
            <m:r>
              <m:t>p</m:t>
            </m:r>
          </m:e>
          <m:sub>
            <m:r>
              <m:t>d</m:t>
            </m:r>
          </m:sub>
        </m:sSub>
      </m:oMath>
      <w:r>
        <w:t xml:space="preserve"> </w:t>
      </w:r>
      <w:r>
        <w:t xml:space="preserve">produces</w:t>
      </w:r>
      <w:r>
        <w:t xml:space="preserve"> </w:t>
      </w:r>
      <w:r>
        <w:t xml:space="preserve">importation totals that scale exactly as</w:t>
      </w:r>
      <w:r>
        <w:t xml:space="preserve"> </w:t>
      </w:r>
      <m:oMath>
        <m:sSub>
          <m:e>
            <m:r>
              <m:t>p</m:t>
            </m:r>
          </m:e>
          <m:sub>
            <m:r>
              <m:t>d</m:t>
            </m:r>
          </m:sub>
        </m:sSub>
        <m:r>
          <m:rPr>
            <m:sty m:val="p"/>
          </m:rPr>
          <m:t>/</m:t>
        </m:r>
        <m:sSub>
          <m:e>
            <m:r>
              <m:t>p</m:t>
            </m:r>
          </m:e>
          <m:sub>
            <m:r>
              <m:rPr>
                <m:nor/>
                <m:sty m:val="p"/>
              </m:rPr>
              <m:t>mid</m:t>
            </m:r>
          </m:sub>
        </m:sSub>
      </m:oMath>
      <w:r>
        <w:t xml:space="preserve">. The</w:t>
      </w:r>
      <w:r>
        <w:t xml:space="preserve"> </w:t>
      </w:r>
      <w:r>
        <w:t xml:space="preserve">table below reports these relative values (</w:t>
      </w:r>
      <m:oMath>
        <m:sSub>
          <m:e>
            <m:r>
              <m:rPr>
                <m:sty m:val="p"/>
              </m:rPr>
              <m:t>Λ</m:t>
            </m:r>
          </m:e>
          <m:sub>
            <m:r>
              <m:rPr>
                <m:nor/>
                <m:sty m:val="p"/>
              </m:rPr>
              <m:t>rel</m:t>
            </m:r>
          </m:sub>
        </m:sSub>
      </m:oMath>
      <w:r>
        <w:t xml:space="preserve">,</w:t>
      </w:r>
      <w:r>
        <w:t xml:space="preserve"> </w:t>
      </w:r>
      <w:r>
        <w:t xml:space="preserve">normalised to 1.00 at</w:t>
      </w:r>
      <w:r>
        <w:t xml:space="preserve"> </w:t>
      </w:r>
      <m:oMath>
        <m:sSub>
          <m:e>
            <m:r>
              <m:t>p</m:t>
            </m:r>
          </m:e>
          <m:sub>
            <m:r>
              <m:rPr>
                <m:nor/>
                <m:sty m:val="p"/>
              </m:rPr>
              <m:t>mid</m:t>
            </m:r>
          </m:sub>
        </m:sSub>
      </m:oMath>
      <w:r>
        <w:t xml:space="preserve">) and the exact fold-change</w:t>
      </w:r>
      <w:r>
        <w:t xml:space="preserve"> </w:t>
      </w:r>
      <m:oMath>
        <m:sSub>
          <m:e>
            <m:r>
              <m:t>p</m:t>
            </m:r>
          </m:e>
          <m:sub>
            <m:r>
              <m:rPr>
                <m:sty m:val="p"/>
              </m:rPr>
              <m:t>max</m:t>
            </m:r>
          </m:sub>
        </m:sSub>
        <m:r>
          <m:rPr>
            <m:sty m:val="p"/>
          </m:rPr>
          <m:t>/</m:t>
        </m:r>
        <m:sSub>
          <m:e>
            <m:r>
              <m:t>p</m:t>
            </m:r>
          </m:e>
          <m:sub>
            <m:r>
              <m:rPr>
                <m:sty m:val="p"/>
              </m:rPr>
              <m:t>min</m:t>
            </m:r>
          </m:sub>
        </m:sSub>
      </m:oMath>
      <w:r>
        <w:t xml:space="preserve"> </w:t>
      </w:r>
      <w:r>
        <w:t xml:space="preserve">for all five modelled diseases. Absolute 11-city</w:t>
      </w:r>
      <w:r>
        <w:t xml:space="preserve"> </w:t>
      </w:r>
      <w:r>
        <w:t xml:space="preserve">importation counts at each</w:t>
      </w:r>
      <w:r>
        <w:t xml:space="preserve"> </w:t>
      </w:r>
      <m:oMath>
        <m:sSub>
          <m:e>
            <m:r>
              <m:t>p</m:t>
            </m:r>
          </m:e>
          <m:sub>
            <m:r>
              <m:t>d</m:t>
            </m:r>
          </m:sub>
        </m:sSub>
      </m:oMath>
      <w:r>
        <w:t xml:space="preserve"> </w:t>
      </w:r>
      <w:r>
        <w:t xml:space="preserve">level are available in the</w:t>
      </w:r>
      <w:r>
        <w:t xml:space="preserve"> </w:t>
      </w:r>
      <w:r>
        <w:t xml:space="preserve">analysis code at</w:t>
      </w:r>
      <w:r>
        <w:t xml:space="preserve"> </w:t>
      </w:r>
      <w:hyperlink r:id="rId47">
        <w:r>
          <w:rPr>
            <w:rStyle w:val="Hyperlink"/>
          </w:rPr>
          <w:t xml:space="preserve">https://github.com/jdiestra1977/FIFA_worldCup_2026_risk</w:t>
        </w:r>
      </w:hyperlink>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rPr>
                <w:b/>
                <w:bCs/>
              </w:rPr>
              <w:t xml:space="preserve">Disease</w:t>
            </w:r>
          </w:p>
        </w:tc>
        <w:tc>
          <w:tcPr/>
          <w:p>
            <w:pPr>
              <w:pStyle w:val="Compact"/>
              <w:jc w:val="center"/>
            </w:pPr>
            <m:oMath>
              <m:sSub>
                <m:e>
                  <m:r>
                    <m:rPr>
                      <m:sty m:val="bi"/>
                    </m:rPr>
                    <m:t>p</m:t>
                  </m:r>
                </m:e>
                <m:sub>
                  <m:r>
                    <m:rPr>
                      <m:sty m:val="p"/>
                      <m:sty m:val="b"/>
                    </m:rPr>
                    <m:t>min</m:t>
                  </m:r>
                </m:sub>
              </m:sSub>
            </m:oMath>
          </w:p>
        </w:tc>
        <w:tc>
          <w:tcPr/>
          <w:p>
            <w:pPr>
              <w:pStyle w:val="Compact"/>
              <w:jc w:val="center"/>
            </w:pPr>
            <m:oMath>
              <m:sSub>
                <m:e>
                  <m:r>
                    <m:rPr>
                      <m:sty m:val="bi"/>
                    </m:rPr>
                    <m:t>p</m:t>
                  </m:r>
                </m:e>
                <m:sub>
                  <m:r>
                    <m:rPr>
                      <m:nor/>
                      <m:sty m:val="p"/>
                    </m:rPr>
                    <m:t>mid</m:t>
                  </m:r>
                </m:sub>
              </m:sSub>
            </m:oMath>
          </w:p>
        </w:tc>
        <w:tc>
          <w:tcPr/>
          <w:p>
            <w:pPr>
              <w:pStyle w:val="Compact"/>
              <w:jc w:val="center"/>
            </w:pPr>
            <m:oMath>
              <m:sSub>
                <m:e>
                  <m:r>
                    <m:rPr>
                      <m:sty m:val="bi"/>
                    </m:rPr>
                    <m:t>p</m:t>
                  </m:r>
                </m:e>
                <m:sub>
                  <m:r>
                    <m:rPr>
                      <m:sty m:val="p"/>
                      <m:sty m:val="b"/>
                    </m:rPr>
                    <m:t>max</m:t>
                  </m:r>
                </m:sub>
              </m:sSub>
            </m:oMath>
          </w:p>
        </w:tc>
        <w:tc>
          <w:tcPr/>
          <w:p>
            <w:pPr>
              <w:pStyle w:val="Compact"/>
              <w:jc w:val="right"/>
            </w:pPr>
            <m:oMath>
              <m:r>
                <m:rPr>
                  <m:sty m:val="b"/>
                </m:rPr>
                <m:t>Λ</m:t>
              </m:r>
              <m:r>
                <m:rPr>
                  <m:sty m:val="b"/>
                </m:rPr>
                <m:t>(</m:t>
              </m:r>
              <m:sSub>
                <m:e>
                  <m:r>
                    <m:rPr>
                      <m:sty m:val="bi"/>
                    </m:rPr>
                    <m:t>p</m:t>
                  </m:r>
                </m:e>
                <m:sub>
                  <m:r>
                    <m:rPr>
                      <m:sty m:val="p"/>
                      <m:sty m:val="b"/>
                    </m:rPr>
                    <m:t>min</m:t>
                  </m:r>
                </m:sub>
              </m:sSub>
              <m:r>
                <m:rPr>
                  <m:sty m:val="b"/>
                </m:rPr>
                <m:t>)</m:t>
              </m:r>
            </m:oMath>
          </w:p>
        </w:tc>
        <w:tc>
          <w:tcPr/>
          <w:p>
            <w:pPr>
              <w:pStyle w:val="Compact"/>
              <w:jc w:val="right"/>
            </w:pPr>
            <m:oMath>
              <m:r>
                <m:rPr>
                  <m:sty m:val="b"/>
                </m:rPr>
                <m:t>Λ</m:t>
              </m:r>
              <m:r>
                <m:rPr>
                  <m:sty m:val="b"/>
                </m:rPr>
                <m:t>(</m:t>
              </m:r>
              <m:sSub>
                <m:e>
                  <m:r>
                    <m:rPr>
                      <m:sty m:val="bi"/>
                    </m:rPr>
                    <m:t>p</m:t>
                  </m:r>
                </m:e>
                <m:sub>
                  <m:r>
                    <m:rPr>
                      <m:nor/>
                      <m:sty m:val="p"/>
                    </m:rPr>
                    <m:t>mid</m:t>
                  </m:r>
                </m:sub>
              </m:sSub>
              <m:r>
                <m:rPr>
                  <m:sty m:val="b"/>
                </m:rPr>
                <m:t>)</m:t>
              </m:r>
            </m:oMath>
          </w:p>
        </w:tc>
        <w:tc>
          <w:tcPr/>
          <w:p>
            <w:pPr>
              <w:pStyle w:val="Compact"/>
              <w:jc w:val="right"/>
            </w:pPr>
            <m:oMath>
              <m:r>
                <m:rPr>
                  <m:sty m:val="b"/>
                </m:rPr>
                <m:t>Λ</m:t>
              </m:r>
              <m:r>
                <m:rPr>
                  <m:sty m:val="b"/>
                </m:rPr>
                <m:t>(</m:t>
              </m:r>
              <m:sSub>
                <m:e>
                  <m:r>
                    <m:rPr>
                      <m:sty m:val="bi"/>
                    </m:rPr>
                    <m:t>p</m:t>
                  </m:r>
                </m:e>
                <m:sub>
                  <m:r>
                    <m:rPr>
                      <m:sty m:val="p"/>
                      <m:sty m:val="b"/>
                    </m:rPr>
                    <m:t>max</m:t>
                  </m:r>
                </m:sub>
              </m:sSub>
              <m:r>
                <m:rPr>
                  <m:sty m:val="b"/>
                </m:rPr>
                <m:t>)</m:t>
              </m:r>
            </m:oMath>
          </w:p>
        </w:tc>
        <w:tc>
          <w:tcPr/>
          <w:p>
            <w:pPr>
              <w:pStyle w:val="Compact"/>
              <w:jc w:val="right"/>
            </w:pPr>
            <w:r>
              <w:rPr>
                <w:b/>
                <w:bCs/>
              </w:rPr>
              <w:t xml:space="preserve">Fold</w:t>
            </w:r>
          </w:p>
        </w:tc>
      </w:tr>
      <w:tr>
        <w:tc>
          <w:tcPr/>
          <w:p>
            <w:pPr>
              <w:pStyle w:val="Compact"/>
              <w:jc w:val="left"/>
            </w:pPr>
            <w:r>
              <w:t xml:space="preserve">Dengue</w:t>
            </w:r>
          </w:p>
        </w:tc>
        <w:tc>
          <w:tcPr/>
          <w:p>
            <w:pPr>
              <w:pStyle w:val="Compact"/>
              <w:jc w:val="center"/>
            </w:pPr>
            <w:r>
              <w:t xml:space="preserve">0.30</w:t>
            </w:r>
          </w:p>
        </w:tc>
        <w:tc>
          <w:tcPr/>
          <w:p>
            <w:pPr>
              <w:pStyle w:val="Compact"/>
              <w:jc w:val="center"/>
            </w:pPr>
            <w:r>
              <w:t xml:space="preserve">0.50</w:t>
            </w:r>
          </w:p>
        </w:tc>
        <w:tc>
          <w:tcPr/>
          <w:p>
            <w:pPr>
              <w:pStyle w:val="Compact"/>
              <w:jc w:val="center"/>
            </w:pPr>
            <w:r>
              <w:t xml:space="preserve">0.70</w:t>
            </w:r>
          </w:p>
        </w:tc>
        <w:tc>
          <w:tcPr/>
          <w:p>
            <w:pPr>
              <w:pStyle w:val="Compact"/>
              <w:jc w:val="right"/>
            </w:pPr>
            <w:r>
              <w:t xml:space="preserve">29.70</w:t>
            </w:r>
          </w:p>
        </w:tc>
        <w:tc>
          <w:tcPr/>
          <w:p>
            <w:pPr>
              <w:pStyle w:val="Compact"/>
              <w:jc w:val="right"/>
            </w:pPr>
            <w:r>
              <w:t xml:space="preserve">49.50</w:t>
            </w:r>
          </w:p>
        </w:tc>
        <w:tc>
          <w:tcPr/>
          <w:p>
            <w:pPr>
              <w:pStyle w:val="Compact"/>
              <w:jc w:val="right"/>
            </w:pPr>
            <w:r>
              <w:t xml:space="preserve">69.29</w:t>
            </w:r>
          </w:p>
        </w:tc>
        <w:tc>
          <w:tcPr/>
          <w:p>
            <w:pPr>
              <w:pStyle w:val="Compact"/>
              <w:jc w:val="right"/>
            </w:pPr>
            <w:r>
              <w:t xml:space="preserve">2.3</w:t>
            </w:r>
            <m:oMath>
              <m:r>
                <m:rPr>
                  <m:sty m:val="p"/>
                </m:rPr>
                <m:t>×</m:t>
              </m:r>
            </m:oMath>
          </w:p>
        </w:tc>
      </w:tr>
      <w:tr>
        <w:tc>
          <w:tcPr/>
          <w:p>
            <w:pPr>
              <w:pStyle w:val="Compact"/>
              <w:jc w:val="left"/>
            </w:pPr>
            <w:r>
              <w:t xml:space="preserve">Malaria</w:t>
            </w:r>
          </w:p>
        </w:tc>
        <w:tc>
          <w:tcPr/>
          <w:p>
            <w:pPr>
              <w:pStyle w:val="Compact"/>
              <w:jc w:val="center"/>
            </w:pPr>
            <w:r>
              <w:t xml:space="preserve">0.10</w:t>
            </w:r>
          </w:p>
        </w:tc>
        <w:tc>
          <w:tcPr/>
          <w:p>
            <w:pPr>
              <w:pStyle w:val="Compact"/>
              <w:jc w:val="center"/>
            </w:pPr>
            <w:r>
              <w:t xml:space="preserve">0.30</w:t>
            </w:r>
          </w:p>
        </w:tc>
        <w:tc>
          <w:tcPr/>
          <w:p>
            <w:pPr>
              <w:pStyle w:val="Compact"/>
              <w:jc w:val="center"/>
            </w:pPr>
            <w:r>
              <w:t xml:space="preserve">0.50</w:t>
            </w:r>
          </w:p>
        </w:tc>
        <w:tc>
          <w:tcPr/>
          <w:p>
            <w:pPr>
              <w:pStyle w:val="Compact"/>
              <w:jc w:val="right"/>
            </w:pPr>
            <w:r>
              <w:t xml:space="preserve">6.08</w:t>
            </w:r>
          </w:p>
        </w:tc>
        <w:tc>
          <w:tcPr/>
          <w:p>
            <w:pPr>
              <w:pStyle w:val="Compact"/>
              <w:jc w:val="right"/>
            </w:pPr>
            <w:r>
              <w:t xml:space="preserve">18.25</w:t>
            </w:r>
          </w:p>
        </w:tc>
        <w:tc>
          <w:tcPr/>
          <w:p>
            <w:pPr>
              <w:pStyle w:val="Compact"/>
              <w:jc w:val="right"/>
            </w:pPr>
            <w:r>
              <w:t xml:space="preserve">30.42</w:t>
            </w:r>
          </w:p>
        </w:tc>
        <w:tc>
          <w:tcPr/>
          <w:p>
            <w:pPr>
              <w:pStyle w:val="Compact"/>
              <w:jc w:val="right"/>
            </w:pPr>
            <w:r>
              <w:t xml:space="preserve">5.0</w:t>
            </w:r>
            <m:oMath>
              <m:r>
                <m:rPr>
                  <m:sty m:val="p"/>
                </m:rPr>
                <m:t>×</m:t>
              </m:r>
            </m:oMath>
          </w:p>
        </w:tc>
      </w:tr>
      <w:tr>
        <w:tc>
          <w:tcPr/>
          <w:p>
            <w:pPr>
              <w:pStyle w:val="Compact"/>
              <w:jc w:val="left"/>
            </w:pPr>
            <w:r>
              <w:t xml:space="preserve">Measles</w:t>
            </w:r>
          </w:p>
        </w:tc>
        <w:tc>
          <w:tcPr/>
          <w:p>
            <w:pPr>
              <w:pStyle w:val="Compact"/>
              <w:jc w:val="center"/>
            </w:pPr>
            <w:r>
              <w:t xml:space="preserve">0.02</w:t>
            </w:r>
          </w:p>
        </w:tc>
        <w:tc>
          <w:tcPr/>
          <w:p>
            <w:pPr>
              <w:pStyle w:val="Compact"/>
              <w:jc w:val="center"/>
            </w:pPr>
            <w:r>
              <w:t xml:space="preserve">0.06</w:t>
            </w:r>
          </w:p>
        </w:tc>
        <w:tc>
          <w:tcPr/>
          <w:p>
            <w:pPr>
              <w:pStyle w:val="Compact"/>
              <w:jc w:val="center"/>
            </w:pPr>
            <w:r>
              <w:t xml:space="preserve">0.10</w:t>
            </w:r>
          </w:p>
        </w:tc>
        <w:tc>
          <w:tcPr/>
          <w:p>
            <w:pPr>
              <w:pStyle w:val="Compact"/>
              <w:jc w:val="right"/>
            </w:pPr>
            <w:r>
              <w:t xml:space="preserve">0.02</w:t>
            </w:r>
          </w:p>
        </w:tc>
        <w:tc>
          <w:tcPr/>
          <w:p>
            <w:pPr>
              <w:pStyle w:val="Compact"/>
              <w:jc w:val="right"/>
            </w:pPr>
            <w:r>
              <w:t xml:space="preserve">0.05</w:t>
            </w:r>
          </w:p>
        </w:tc>
        <w:tc>
          <w:tcPr/>
          <w:p>
            <w:pPr>
              <w:pStyle w:val="Compact"/>
              <w:jc w:val="right"/>
            </w:pPr>
            <w:r>
              <w:t xml:space="preserve">0.08</w:t>
            </w:r>
          </w:p>
        </w:tc>
        <w:tc>
          <w:tcPr/>
          <w:p>
            <w:pPr>
              <w:pStyle w:val="Compact"/>
              <w:jc w:val="right"/>
            </w:pPr>
            <w:r>
              <w:t xml:space="preserve">5.0</w:t>
            </w:r>
            <m:oMath>
              <m:r>
                <m:rPr>
                  <m:sty m:val="p"/>
                </m:rPr>
                <m:t>×</m:t>
              </m:r>
            </m:oMath>
          </w:p>
        </w:tc>
      </w:tr>
      <w:tr>
        <w:tc>
          <w:tcPr/>
          <w:p>
            <w:pPr>
              <w:pStyle w:val="Compact"/>
              <w:jc w:val="left"/>
            </w:pPr>
            <w:r>
              <w:t xml:space="preserve">Pertussis</w:t>
            </w:r>
          </w:p>
        </w:tc>
        <w:tc>
          <w:tcPr/>
          <w:p>
            <w:pPr>
              <w:pStyle w:val="Compact"/>
              <w:jc w:val="center"/>
            </w:pPr>
            <w:r>
              <w:t xml:space="preserve">0.50</w:t>
            </w:r>
          </w:p>
        </w:tc>
        <w:tc>
          <w:tcPr/>
          <w:p>
            <w:pPr>
              <w:pStyle w:val="Compact"/>
              <w:jc w:val="center"/>
            </w:pPr>
            <w:r>
              <w:t xml:space="preserve">0.70</w:t>
            </w:r>
          </w:p>
        </w:tc>
        <w:tc>
          <w:tcPr/>
          <w:p>
            <w:pPr>
              <w:pStyle w:val="Compact"/>
              <w:jc w:val="center"/>
            </w:pPr>
            <w:r>
              <w:t xml:space="preserve">0.90</w:t>
            </w:r>
          </w:p>
        </w:tc>
        <w:tc>
          <w:tcPr/>
          <w:p>
            <w:pPr>
              <w:pStyle w:val="Compact"/>
              <w:jc w:val="right"/>
            </w:pPr>
            <w:r>
              <w:t xml:space="preserve">1.49</w:t>
            </w:r>
          </w:p>
        </w:tc>
        <w:tc>
          <w:tcPr/>
          <w:p>
            <w:pPr>
              <w:pStyle w:val="Compact"/>
              <w:jc w:val="right"/>
            </w:pPr>
            <w:r>
              <w:t xml:space="preserve">2.08</w:t>
            </w:r>
          </w:p>
        </w:tc>
        <w:tc>
          <w:tcPr/>
          <w:p>
            <w:pPr>
              <w:pStyle w:val="Compact"/>
              <w:jc w:val="right"/>
            </w:pPr>
            <w:r>
              <w:t xml:space="preserve">2.68</w:t>
            </w:r>
          </w:p>
        </w:tc>
        <w:tc>
          <w:tcPr/>
          <w:p>
            <w:pPr>
              <w:pStyle w:val="Compact"/>
              <w:jc w:val="right"/>
            </w:pPr>
            <w:r>
              <w:t xml:space="preserve">1.8</w:t>
            </w:r>
            <m:oMath>
              <m:r>
                <m:rPr>
                  <m:sty m:val="p"/>
                </m:rPr>
                <m:t>×</m:t>
              </m:r>
            </m:oMath>
          </w:p>
        </w:tc>
      </w:tr>
      <w:tr>
        <w:tc>
          <w:tcPr/>
          <w:p>
            <w:pPr>
              <w:pStyle w:val="Compact"/>
              <w:jc w:val="left"/>
            </w:pPr>
            <w:r>
              <w:t xml:space="preserve">Influenza</w:t>
            </w:r>
          </w:p>
        </w:tc>
        <w:tc>
          <w:tcPr/>
          <w:p>
            <w:pPr>
              <w:pStyle w:val="Compact"/>
              <w:jc w:val="center"/>
            </w:pPr>
            <w:r>
              <w:t xml:space="preserve">0.30</w:t>
            </w:r>
          </w:p>
        </w:tc>
        <w:tc>
          <w:tcPr/>
          <w:p>
            <w:pPr>
              <w:pStyle w:val="Compact"/>
              <w:jc w:val="center"/>
            </w:pPr>
            <w:r>
              <w:t xml:space="preserve">0.50</w:t>
            </w:r>
          </w:p>
        </w:tc>
        <w:tc>
          <w:tcPr/>
          <w:p>
            <w:pPr>
              <w:pStyle w:val="Compact"/>
              <w:jc w:val="center"/>
            </w:pPr>
            <w:r>
              <w:t xml:space="preserve">0.70</w:t>
            </w:r>
          </w:p>
        </w:tc>
        <w:tc>
          <w:tcPr/>
          <w:p>
            <w:pPr>
              <w:pStyle w:val="Compact"/>
              <w:jc w:val="right"/>
            </w:pPr>
            <w:r>
              <w:t xml:space="preserve">1.19</w:t>
            </w:r>
          </w:p>
        </w:tc>
        <w:tc>
          <w:tcPr/>
          <w:p>
            <w:pPr>
              <w:pStyle w:val="Compact"/>
              <w:jc w:val="right"/>
            </w:pPr>
            <w:r>
              <w:t xml:space="preserve">1.98</w:t>
            </w:r>
          </w:p>
        </w:tc>
        <w:tc>
          <w:tcPr/>
          <w:p>
            <w:pPr>
              <w:pStyle w:val="Compact"/>
              <w:jc w:val="right"/>
            </w:pPr>
            <w:r>
              <w:t xml:space="preserve">2.78</w:t>
            </w:r>
          </w:p>
        </w:tc>
        <w:tc>
          <w:tcPr/>
          <w:p>
            <w:pPr>
              <w:pStyle w:val="Compact"/>
              <w:jc w:val="right"/>
            </w:pPr>
            <w:r>
              <w:t xml:space="preserve">2.3</w:t>
            </w:r>
            <m:oMath>
              <m:r>
                <m:rPr>
                  <m:sty m:val="p"/>
                </m:rPr>
                <m:t>×</m:t>
              </m:r>
            </m:oMath>
          </w:p>
        </w:tc>
      </w:tr>
    </w:tbl>
    <w:p>
      <w:pPr>
        <w:pStyle w:val="BodyText"/>
      </w:pPr>
      <m:oMath>
        <m:r>
          <m:rPr>
            <m:sty m:val="p"/>
          </m:rPr>
          <m:t>Λ</m:t>
        </m:r>
      </m:oMath>
      <w:r>
        <w:t xml:space="preserve"> </w:t>
      </w:r>
      <w:r>
        <w:t xml:space="preserve">= 11-city total expected importations (M3 schedule-driven</w:t>
      </w:r>
      <w:r>
        <w:t xml:space="preserve"> </w:t>
      </w:r>
      <w:r>
        <w:t xml:space="preserve">model), computed deterministically with</w:t>
      </w:r>
      <w:r>
        <w:t xml:space="preserve"> </w:t>
      </w:r>
      <m:oMath>
        <m:sSub>
          <m:e>
            <m:r>
              <m:t>ρ</m:t>
            </m:r>
          </m:e>
          <m:sub>
            <m:r>
              <m:t>d</m:t>
            </m:r>
          </m:sub>
        </m:sSub>
      </m:oMath>
      <w:r>
        <w:t xml:space="preserve"> </w:t>
      </w:r>
      <w:r>
        <w:t xml:space="preserve">fixed at its</w:t>
      </w:r>
      <w:r>
        <w:t xml:space="preserve"> </w:t>
      </w:r>
      <w:r>
        <w:t xml:space="preserve">literature midpoint</w:t>
      </w:r>
      <w:r>
        <w:t xml:space="preserve"> </w:t>
      </w:r>
      <m:oMath>
        <m:r>
          <m:rPr>
            <m:sty m:val="p"/>
          </m:rPr>
          <m:t>(</m:t>
        </m:r>
        <m:sSub>
          <m:e>
            <m:r>
              <m:t>ρ</m:t>
            </m:r>
          </m:e>
          <m:sub>
            <m:r>
              <m:rPr>
                <m:sty m:val="p"/>
              </m:rPr>
              <m:t>min</m:t>
            </m:r>
          </m:sub>
        </m:sSub>
        <m:r>
          <m:rPr>
            <m:sty m:val="p"/>
          </m:rPr>
          <m:t>+</m:t>
        </m:r>
        <m:sSub>
          <m:e>
            <m:r>
              <m:t>ρ</m:t>
            </m:r>
          </m:e>
          <m:sub>
            <m:r>
              <m:rPr>
                <m:sty m:val="p"/>
              </m:rPr>
              <m:t>max</m:t>
            </m:r>
          </m:sub>
        </m:sSub>
        <m:r>
          <m:rPr>
            <m:sty m:val="p"/>
          </m:rPr>
          <m:t>)</m:t>
        </m:r>
        <m:r>
          <m:rPr>
            <m:sty m:val="p"/>
          </m:rPr>
          <m:t>/</m:t>
        </m:r>
        <m:r>
          <m:t>2</m:t>
        </m:r>
      </m:oMath>
      <w:r>
        <w:t xml:space="preserve">.</w:t>
      </w:r>
      <w:r>
        <w:t xml:space="preserve"> </w:t>
      </w:r>
      <w:r>
        <w:t xml:space="preserve">Fold</w:t>
      </w:r>
      <w:r>
        <w:t xml:space="preserve"> </w:t>
      </w:r>
      <m:oMath>
        <m:r>
          <m:rPr>
            <m:sty m:val="p"/>
          </m:rPr>
          <m:t>=</m:t>
        </m:r>
        <m:r>
          <m:rPr>
            <m:sty m:val="p"/>
          </m:rPr>
          <m:t>Λ</m:t>
        </m:r>
        <m:r>
          <m:rPr>
            <m:sty m:val="p"/>
          </m:rPr>
          <m:t>(</m:t>
        </m:r>
        <m:sSub>
          <m:e>
            <m:r>
              <m:t>p</m:t>
            </m:r>
          </m:e>
          <m:sub>
            <m:r>
              <m:rPr>
                <m:sty m:val="p"/>
              </m:rPr>
              <m:t>max</m:t>
            </m:r>
          </m:sub>
        </m:sSub>
        <m:r>
          <m:rPr>
            <m:sty m:val="p"/>
          </m:rPr>
          <m:t>)</m:t>
        </m:r>
        <m:r>
          <m:rPr>
            <m:sty m:val="p"/>
          </m:rPr>
          <m:t>/</m:t>
        </m:r>
        <m:r>
          <m:rPr>
            <m:sty m:val="p"/>
          </m:rPr>
          <m:t>Λ</m:t>
        </m:r>
        <m:r>
          <m:rPr>
            <m:sty m:val="p"/>
          </m:rPr>
          <m:t>(</m:t>
        </m:r>
        <m:sSub>
          <m:e>
            <m:r>
              <m:t>p</m:t>
            </m:r>
          </m:e>
          <m:sub>
            <m:r>
              <m:rPr>
                <m:sty m:val="p"/>
              </m:rPr>
              <m:t>min</m:t>
            </m:r>
          </m:sub>
        </m:sSub>
        <m:r>
          <m:rPr>
            <m:sty m:val="p"/>
          </m:rPr>
          <m:t>)</m:t>
        </m:r>
        <m:r>
          <m:rPr>
            <m:sty m:val="p"/>
          </m:rPr>
          <m:t>=</m:t>
        </m:r>
        <m:sSub>
          <m:e>
            <m:r>
              <m:t>p</m:t>
            </m:r>
          </m:e>
          <m:sub>
            <m:r>
              <m:rPr>
                <m:sty m:val="p"/>
              </m:rPr>
              <m:t>max</m:t>
            </m:r>
          </m:sub>
        </m:sSub>
        <m:r>
          <m:rPr>
            <m:sty m:val="p"/>
          </m:rPr>
          <m:t>/</m:t>
        </m:r>
        <m:sSub>
          <m:e>
            <m:r>
              <m:t>p</m:t>
            </m:r>
          </m:e>
          <m:sub>
            <m:r>
              <m:rPr>
                <m:sty m:val="p"/>
              </m:rPr>
              <m:t>min</m:t>
            </m:r>
          </m:sub>
        </m:sSub>
      </m:oMath>
      <w:r>
        <w:t xml:space="preserve"> </w:t>
      </w:r>
      <w:r>
        <w:t xml:space="preserve">(exact).</w:t>
      </w:r>
      <w:r>
        <w:t xml:space="preserve"> </w:t>
      </w:r>
      <w:r>
        <w:t xml:space="preserve">Malaria and measles carry the largest sensitivity to</w:t>
      </w:r>
      <w:r>
        <w:t xml:space="preserve"> </w:t>
      </w:r>
      <m:oMath>
        <m:sSub>
          <m:e>
            <m:r>
              <m:t>p</m:t>
            </m:r>
          </m:e>
          <m:sub>
            <m:r>
              <m:t>d</m:t>
            </m:r>
          </m:sub>
        </m:sSub>
      </m:oMath>
      <w:r>
        <w:t xml:space="preserve">; pertussis</w:t>
      </w:r>
      <w:r>
        <w:t xml:space="preserve"> </w:t>
      </w:r>
      <w:r>
        <w:t xml:space="preserve">the smallest.</w:t>
      </w:r>
    </w:p>
    <w:bookmarkStart w:id="129" w:name="fig:s1"/>
    <w:p>
      <w:pPr>
        <w:pStyle w:val="CaptionedFigure"/>
      </w:pPr>
      <w:r>
        <w:drawing>
          <wp:inline>
            <wp:extent cx="5334000" cy="1920240"/>
            <wp:effectExtent b="0" l="0" r="0" t="0"/>
            <wp:docPr descr="" title="" id="127" name="Picture"/>
            <a:graphic>
              <a:graphicData uri="http://schemas.openxmlformats.org/drawingml/2006/picture">
                <pic:pic>
                  <pic:nvPicPr>
                    <pic:cNvPr descr="FigureS1.png" id="128" name="Picture"/>
                    <pic:cNvPicPr>
                      <a:picLocks noChangeArrowheads="1" noChangeAspect="1"/>
                    </pic:cNvPicPr>
                  </pic:nvPicPr>
                  <pic:blipFill>
                    <a:blip r:embed="rId126"/>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rPr>
          <w:b/>
          <w:bCs/>
        </w:rPr>
        <w:t xml:space="preserve">Figure S1.</w:t>
      </w:r>
      <w:r>
        <w:t xml:space="preserve"> </w:t>
      </w:r>
      <w:r>
        <w:rPr>
          <w:b/>
          <w:bCs/>
        </w:rPr>
        <w:t xml:space="preserve">Importation probability under the Baseline model (M1),</w:t>
      </w:r>
      <w:r>
        <w:rPr>
          <w:b/>
          <w:bCs/>
        </w:rPr>
        <w:t xml:space="preserve"> </w:t>
      </w:r>
      <w:r>
        <w:rPr>
          <w:b/>
          <w:bCs/>
        </w:rPr>
        <w:t xml:space="preserve">June 2024 (no World Cup adjustment).</w:t>
      </w:r>
      <w:r>
        <w:t xml:space="preserve"> </w:t>
      </w:r>
      <w:r>
        <w:t xml:space="preserve">Same layout as Figure </w:t>
      </w:r>
      <w:hyperlink w:anchor="fig:heatmap">
        <w:r>
          <w:rPr>
            <w:rStyle w:val="Hyperlink"/>
          </w:rPr>
          <w:t xml:space="preserve">1</w:t>
        </w:r>
      </w:hyperlink>
      <w:r>
        <w:t xml:space="preserve">. M1 represents the</w:t>
      </w:r>
      <w:r>
        <w:t xml:space="preserve"> </w:t>
      </w:r>
      <w:r>
        <w:t xml:space="preserve">pre-tournament counterfactual: typical June travel volumes</w:t>
      </w:r>
      <w:r>
        <w:t xml:space="preserve"> </w:t>
      </w:r>
      <w:r>
        <w:t xml:space="preserve">without the World Cup surge. Dengue</w:t>
      </w:r>
      <w:r>
        <w:t xml:space="preserve"> </w:t>
      </w:r>
      <m:oMath>
        <m:r>
          <m:t>P</m:t>
        </m:r>
        <m:r>
          <m:rPr>
            <m:sty m:val="p"/>
          </m:rPr>
          <m:t>(</m:t>
        </m:r>
        <m:r>
          <m:rPr>
            <m:sty m:val="p"/>
          </m:rPr>
          <m:t>≥</m:t>
        </m:r>
        <m:r>
          <m:t>1</m:t>
        </m:r>
        <m:r>
          <m:rPr>
            <m:sty m:val="p"/>
          </m:rPr>
          <m:t>)</m:t>
        </m:r>
        <m:r>
          <m:rPr>
            <m:sty m:val="p"/>
          </m:rPr>
          <m:t>&gt;</m:t>
        </m:r>
        <m:r>
          <m:t>0.99</m:t>
        </m:r>
      </m:oMath>
      <w:r>
        <w:t xml:space="preserve"> </w:t>
      </w:r>
      <w:r>
        <w:t xml:space="preserve">is</w:t>
      </w:r>
      <w:r>
        <w:t xml:space="preserve"> </w:t>
      </w:r>
      <w:r>
        <w:t xml:space="preserve">already present at Miami, New York, and Houston under baseline</w:t>
      </w:r>
      <w:r>
        <w:t xml:space="preserve"> </w:t>
      </w:r>
      <w:r>
        <w:t xml:space="preserve">conditions, confirming that the World Cup amplifies but does</w:t>
      </w:r>
      <w:r>
        <w:t xml:space="preserve"> </w:t>
      </w:r>
      <w:r>
        <w:t xml:space="preserve">not create the dengue importation threat.</w:t>
      </w:r>
    </w:p>
    <w:bookmarkEnd w:id="129"/>
    <w:bookmarkStart w:id="133" w:name="fig:s2"/>
    <w:p>
      <w:pPr>
        <w:pStyle w:val="CaptionedFigure"/>
      </w:pPr>
      <w:r>
        <w:drawing>
          <wp:inline>
            <wp:extent cx="5334000" cy="1920240"/>
            <wp:effectExtent b="0" l="0" r="0" t="0"/>
            <wp:docPr descr="" title="" id="131" name="Picture"/>
            <a:graphic>
              <a:graphicData uri="http://schemas.openxmlformats.org/drawingml/2006/picture">
                <pic:pic>
                  <pic:nvPicPr>
                    <pic:cNvPr descr="FigureS2.png" id="132" name="Picture"/>
                    <pic:cNvPicPr>
                      <a:picLocks noChangeArrowheads="1" noChangeAspect="1"/>
                    </pic:cNvPicPr>
                  </pic:nvPicPr>
                  <pic:blipFill>
                    <a:blip r:embed="rId130"/>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rPr>
          <w:b/>
          <w:bCs/>
        </w:rPr>
        <w:t xml:space="preserve">Figure S2.</w:t>
      </w:r>
      <w:r>
        <w:t xml:space="preserve"> </w:t>
      </w:r>
      <w:r>
        <w:rPr>
          <w:b/>
          <w:bCs/>
        </w:rPr>
        <w:t xml:space="preserve">Importation probability under the WC-adjusted model (M2),</w:t>
      </w:r>
      <w:r>
        <w:rPr>
          <w:b/>
          <w:bCs/>
        </w:rPr>
        <w:t xml:space="preserve"> </w:t>
      </w:r>
      <w:r>
        <w:rPr>
          <w:b/>
          <w:bCs/>
        </w:rPr>
        <w:t xml:space="preserve">June 2026.</w:t>
      </w:r>
      <w:r>
        <w:t xml:space="preserve"> </w:t>
      </w:r>
      <w:r>
        <w:t xml:space="preserve">Same layout as Figure </w:t>
      </w:r>
      <w:hyperlink w:anchor="fig:heatmap">
        <w:r>
          <w:rPr>
            <w:rStyle w:val="Hyperlink"/>
          </w:rPr>
          <w:t xml:space="preserve">1</w:t>
        </w:r>
      </w:hyperlink>
      <w:r>
        <w:t xml:space="preserve">. M2 applies World Cup</w:t>
      </w:r>
      <w:r>
        <w:t xml:space="preserve"> </w:t>
      </w:r>
      <w:r>
        <w:t xml:space="preserve">growth factors to national arrivals but distributes all travel</w:t>
      </w:r>
      <w:r>
        <w:t xml:space="preserve"> </w:t>
      </w:r>
      <w:r>
        <w:t xml:space="preserve">to US cities via T-100 routing fractions, including the fan</w:t>
      </w:r>
      <w:r>
        <w:t xml:space="preserve"> </w:t>
      </w:r>
      <w:r>
        <w:t xml:space="preserve">increment for teams playing in Canada and Mexico. M2 values</w:t>
      </w:r>
      <w:r>
        <w:t xml:space="preserve"> </w:t>
      </w:r>
      <w:r>
        <w:t xml:space="preserve">therefore represent a slight overestimate relative to M3 for</w:t>
      </w:r>
      <w:r>
        <w:t xml:space="preserve"> </w:t>
      </w:r>
      <w:r>
        <w:t xml:space="preserve">US cities.</w:t>
      </w:r>
    </w:p>
    <w:bookmarkEnd w:id="133"/>
    <w:bookmarkStart w:id="137" w:name="fig:s3"/>
    <w:p>
      <w:pPr>
        <w:pStyle w:val="CaptionedFigure"/>
      </w:pPr>
      <w:r>
        <w:drawing>
          <wp:inline>
            <wp:extent cx="4533900" cy="3022599"/>
            <wp:effectExtent b="0" l="0" r="0" t="0"/>
            <wp:docPr descr="" title="" id="135" name="Picture"/>
            <a:graphic>
              <a:graphicData uri="http://schemas.openxmlformats.org/drawingml/2006/picture">
                <pic:pic>
                  <pic:nvPicPr>
                    <pic:cNvPr descr="FigureS3.png" id="136" name="Picture"/>
                    <pic:cNvPicPr>
                      <a:picLocks noChangeArrowheads="1" noChangeAspect="1"/>
                    </pic:cNvPicPr>
                  </pic:nvPicPr>
                  <pic:blipFill>
                    <a:blip r:embed="rId134"/>
                    <a:stretch>
                      <a:fillRect/>
                    </a:stretch>
                  </pic:blipFill>
                  <pic:spPr bwMode="auto">
                    <a:xfrm>
                      <a:off x="0" y="0"/>
                      <a:ext cx="4533900" cy="3022599"/>
                    </a:xfrm>
                    <a:prstGeom prst="rect">
                      <a:avLst/>
                    </a:prstGeom>
                    <a:noFill/>
                    <a:ln w="9525">
                      <a:noFill/>
                      <a:headEnd/>
                      <a:tailEnd/>
                    </a:ln>
                  </pic:spPr>
                </pic:pic>
              </a:graphicData>
            </a:graphic>
          </wp:inline>
        </w:drawing>
      </w:r>
    </w:p>
    <w:p>
      <w:pPr>
        <w:pStyle w:val="ImageCaption"/>
      </w:pPr>
      <w:r>
        <w:rPr>
          <w:b/>
          <w:bCs/>
        </w:rPr>
        <w:t xml:space="preserve">Figure S3.</w:t>
      </w:r>
      <w:r>
        <w:t xml:space="preserve"> </w:t>
      </w:r>
      <w:r>
        <w:rPr>
          <w:b/>
          <w:bCs/>
        </w:rPr>
        <w:t xml:space="preserve">Direction of Monte Carlo uncertainty by disease.</w:t>
      </w:r>
      <w:r>
        <w:t xml:space="preserve"> </w:t>
      </w:r>
      <w:r>
        <w:t xml:space="preserve">Each point represents one disease–city combination. X-axis: downside ratio (</w:t>
      </w:r>
      <m:oMath>
        <m:sSub>
          <m:e>
            <m:r>
              <m:t>λ</m:t>
            </m:r>
          </m:e>
          <m:sub>
            <m:r>
              <m:rPr>
                <m:nor/>
                <m:sty m:val="p"/>
              </m:rPr>
              <m:t>median</m:t>
            </m:r>
          </m:sub>
        </m:sSub>
        <m:r>
          <m:rPr>
            <m:sty m:val="p"/>
          </m:rPr>
          <m:t>/</m:t>
        </m:r>
        <m:sSub>
          <m:e>
            <m:r>
              <m:t>λ</m:t>
            </m:r>
          </m:e>
          <m:sub>
            <m:r>
              <m:rPr>
                <m:nor/>
                <m:sty m:val="p"/>
              </m:rPr>
              <m:t>lo</m:t>
            </m:r>
          </m:sub>
        </m:sSub>
      </m:oMath>
      <w:r>
        <w:t xml:space="preserve">), measuring how far the lower CI bound lies below the median. Y-axis: upside ratio (</w:t>
      </w:r>
      <m:oMath>
        <m:sSub>
          <m:e>
            <m:r>
              <m:t>λ</m:t>
            </m:r>
          </m:e>
          <m:sub>
            <m:r>
              <m:rPr>
                <m:nor/>
                <m:sty m:val="p"/>
              </m:rPr>
              <m:t>hi</m:t>
            </m:r>
          </m:sub>
        </m:sSub>
        <m:r>
          <m:rPr>
            <m:sty m:val="p"/>
          </m:rPr>
          <m:t>/</m:t>
        </m:r>
        <m:sSub>
          <m:e>
            <m:r>
              <m:t>λ</m:t>
            </m:r>
          </m:e>
          <m:sub>
            <m:r>
              <m:rPr>
                <m:nor/>
                <m:sty m:val="p"/>
              </m:rPr>
              <m:t>median</m:t>
            </m:r>
          </m:sub>
        </m:sSub>
      </m:oMath>
      <w:r>
        <w:t xml:space="preserve">), measuring how far the upper CI bound lies above the median. Points above the diagonal have CIs that extend further upward; points below the diagonal have CIs that extend further downward, placing the central estimate closer to the upper plausible bound. All five diseases fall below the diagonal: uncertainty is asymmetrically larger on the downside for every disease. Dengue and measles sit closest to the diagonal (downside ratio</w:t>
      </w:r>
      <w:r>
        <w:t xml:space="preserve"> </w:t>
      </w:r>
      <m:oMath>
        <m:r>
          <m:rPr>
            <m:sty m:val="p"/>
          </m:rPr>
          <m:t>≈</m:t>
        </m:r>
        <m:r>
          <m:t>2.8</m:t>
        </m:r>
      </m:oMath>
      <w:r>
        <w:t xml:space="preserve">), while malaria, influenza, and pertussis show larger downside ratios (4.3–4.8), indicating their medians are more conservative upper estimates.</w:t>
      </w:r>
    </w:p>
    <w:bookmarkEnd w:id="137"/>
    <w:bookmarkStart w:id="141" w:name="fig:s4"/>
    <w:p>
      <w:pPr>
        <w:pStyle w:val="CaptionedFigure"/>
      </w:pPr>
      <w:r>
        <w:drawing>
          <wp:inline>
            <wp:extent cx="5334000" cy="3556000"/>
            <wp:effectExtent b="0" l="0" r="0" t="0"/>
            <wp:docPr descr="" title="" id="139" name="Picture"/>
            <a:graphic>
              <a:graphicData uri="http://schemas.openxmlformats.org/drawingml/2006/picture">
                <pic:pic>
                  <pic:nvPicPr>
                    <pic:cNvPr descr="FigureS4.png" id="140" name="Picture"/>
                    <pic:cNvPicPr>
                      <a:picLocks noChangeArrowheads="1" noChangeAspect="1"/>
                    </pic:cNvPicPr>
                  </pic:nvPicPr>
                  <pic:blipFill>
                    <a:blip r:embed="rId138"/>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rPr>
          <w:b/>
          <w:bCs/>
        </w:rPr>
        <w:t xml:space="preserve">Figure S4.</w:t>
      </w:r>
      <w:r>
        <w:t xml:space="preserve"> </w:t>
      </w:r>
      <w:r>
        <w:rPr>
          <w:b/>
          <w:bCs/>
        </w:rPr>
        <w:t xml:space="preserve">Geographic distribution of the 16 FIFA World Cup 2026</w:t>
      </w:r>
      <w:r>
        <w:rPr>
          <w:b/>
          <w:bCs/>
        </w:rPr>
        <w:t xml:space="preserve"> </w:t>
      </w:r>
      <w:r>
        <w:rPr>
          <w:b/>
          <w:bCs/>
        </w:rPr>
        <w:t xml:space="preserve">stadiums across the United States, Canada, and Mexico.</w:t>
      </w:r>
      <w:r>
        <w:t xml:space="preserve"> </w:t>
      </w:r>
      <w:r>
        <w:t xml:space="preserve">Colours indicate host nation. This analysis focuses on the 11</w:t>
      </w:r>
      <w:r>
        <w:t xml:space="preserve"> </w:t>
      </w:r>
      <w:r>
        <w:t xml:space="preserve">US venues (blue); Canadian (Toronto, Vancouver) and Mexican</w:t>
      </w:r>
      <w:r>
        <w:t xml:space="preserve"> </w:t>
      </w:r>
      <w:r>
        <w:t xml:space="preserve">(Mexico City, Monterrey, Guadalajara) venues are shown for</w:t>
      </w:r>
      <w:r>
        <w:t xml:space="preserve"> </w:t>
      </w:r>
      <w:r>
        <w:t xml:space="preserve">context. The East Coast cluster (New York, Philadelphia, Boston)</w:t>
      </w:r>
      <w:r>
        <w:t xml:space="preserve"> </w:t>
      </w:r>
      <w:r>
        <w:t xml:space="preserve">is the densest; Kansas City and Seattle are the most geographically</w:t>
      </w:r>
      <w:r>
        <w:t xml:space="preserve"> </w:t>
      </w:r>
      <w:r>
        <w:t xml:space="preserve">isolated US venues.</w:t>
      </w:r>
    </w:p>
    <w:bookmarkEnd w:id="141"/>
    <w:bookmarkStart w:id="145" w:name="fig:s5"/>
    <w:p>
      <w:pPr>
        <w:pStyle w:val="CaptionedFigure"/>
      </w:pPr>
      <w:r>
        <w:drawing>
          <wp:inline>
            <wp:extent cx="5334000" cy="3282461"/>
            <wp:effectExtent b="0" l="0" r="0" t="0"/>
            <wp:docPr descr="" title="" id="143" name="Picture"/>
            <a:graphic>
              <a:graphicData uri="http://schemas.openxmlformats.org/drawingml/2006/picture">
                <pic:pic>
                  <pic:nvPicPr>
                    <pic:cNvPr descr="FigureS5.png" id="144" name="Picture"/>
                    <pic:cNvPicPr>
                      <a:picLocks noChangeArrowheads="1" noChangeAspect="1"/>
                    </pic:cNvPicPr>
                  </pic:nvPicPr>
                  <pic:blipFill>
                    <a:blip r:embed="rId142"/>
                    <a:stretch>
                      <a:fillRect/>
                    </a:stretch>
                  </pic:blipFill>
                  <pic:spPr bwMode="auto">
                    <a:xfrm>
                      <a:off x="0" y="0"/>
                      <a:ext cx="5334000" cy="3282461"/>
                    </a:xfrm>
                    <a:prstGeom prst="rect">
                      <a:avLst/>
                    </a:prstGeom>
                    <a:noFill/>
                    <a:ln w="9525">
                      <a:noFill/>
                      <a:headEnd/>
                      <a:tailEnd/>
                    </a:ln>
                  </pic:spPr>
                </pic:pic>
              </a:graphicData>
            </a:graphic>
          </wp:inline>
        </w:drawing>
      </w:r>
    </w:p>
    <w:p>
      <w:pPr>
        <w:pStyle w:val="ImageCaption"/>
      </w:pPr>
      <w:r>
        <w:rPr>
          <w:b/>
          <w:bCs/>
        </w:rPr>
        <w:t xml:space="preserve">Figure S5.</w:t>
      </w:r>
      <w:r>
        <w:t xml:space="preserve"> </w:t>
      </w:r>
      <w:r>
        <w:rPr>
          <w:b/>
          <w:bCs/>
        </w:rPr>
        <w:t xml:space="preserve">Secondary seeding risk index (</w:t>
      </w:r>
      <m:oMath>
        <m:sSup>
          <m:e>
            <m:r>
              <m:rPr>
                <m:sty m:val="p"/>
              </m:rPr>
              <m:t>Ω</m:t>
            </m:r>
          </m:e>
          <m:sup>
            <m:r>
              <m:t>B</m:t>
            </m:r>
          </m:sup>
        </m:sSup>
      </m:oMath>
      <w:r>
        <w:rPr>
          <w:b/>
          <w:bCs/>
        </w:rPr>
        <w:t xml:space="preserve">) for diaspora</w:t>
      </w:r>
      <w:r>
        <w:rPr>
          <w:b/>
          <w:bCs/>
        </w:rPr>
        <w:t xml:space="preserve"> </w:t>
      </w:r>
      <w:r>
        <w:rPr>
          <w:b/>
          <w:bCs/>
        </w:rPr>
        <w:t xml:space="preserve">hub cities, by disease (Mechanism B).</w:t>
      </w:r>
      <w:r>
        <w:t xml:space="preserve"> </w:t>
      </w:r>
      <w:r>
        <w:t xml:space="preserve">Bars show the top 15 hub metropolitan areas per disease, ranked</w:t>
      </w:r>
      <w:r>
        <w:t xml:space="preserve"> </w:t>
      </w:r>
      <w:r>
        <w:t xml:space="preserve">by</w:t>
      </w:r>
      <w:r>
        <w:t xml:space="preserve"> </w:t>
      </w:r>
      <m:oMath>
        <m:sSup>
          <m:e>
            <m:r>
              <m:rPr>
                <m:sty m:val="p"/>
              </m:rPr>
              <m:t>Ω</m:t>
            </m:r>
          </m:e>
          <m:sup>
            <m:r>
              <m:t>B</m:t>
            </m:r>
          </m:sup>
        </m:sSup>
      </m:oMath>
      <w:r>
        <w:t xml:space="preserve"> </w:t>
      </w:r>
      <w:r>
        <w:t xml:space="preserve">summed across all source countries and match venues,</w:t>
      </w:r>
      <w:r>
        <w:t xml:space="preserve"> </w:t>
      </w:r>
      <w:r>
        <w:t xml:space="preserve">and colored by whether the hub is a World Cup host city or a</w:t>
      </w:r>
      <w:r>
        <w:t xml:space="preserve"> </w:t>
      </w:r>
      <w:r>
        <w:t xml:space="preserve">non-host city. Hubs are the home cities to which diaspora members</w:t>
      </w:r>
      <w:r>
        <w:t xml:space="preserve"> </w:t>
      </w:r>
      <w:r>
        <w:t xml:space="preserve">return after attending matches.</w:t>
      </w:r>
    </w:p>
    <w:bookmarkEnd w:id="145"/>
    <w:bookmarkStart w:id="149" w:name="fig:s6"/>
    <w:p>
      <w:pPr>
        <w:pStyle w:val="CaptionedFigure"/>
      </w:pPr>
      <w:r>
        <w:drawing>
          <wp:inline>
            <wp:extent cx="5334000" cy="4622800"/>
            <wp:effectExtent b="0" l="0" r="0" t="0"/>
            <wp:docPr descr="" title="" id="147" name="Picture"/>
            <a:graphic>
              <a:graphicData uri="http://schemas.openxmlformats.org/drawingml/2006/picture">
                <pic:pic>
                  <pic:nvPicPr>
                    <pic:cNvPr descr="FigureS6.png" id="148" name="Picture"/>
                    <pic:cNvPicPr>
                      <a:picLocks noChangeArrowheads="1" noChangeAspect="1"/>
                    </pic:cNvPicPr>
                  </pic:nvPicPr>
                  <pic:blipFill>
                    <a:blip r:embed="rId146"/>
                    <a:stretch>
                      <a:fillRect/>
                    </a:stretch>
                  </pic:blipFill>
                  <pic:spPr bwMode="auto">
                    <a:xfrm>
                      <a:off x="0" y="0"/>
                      <a:ext cx="5334000" cy="4622800"/>
                    </a:xfrm>
                    <a:prstGeom prst="rect">
                      <a:avLst/>
                    </a:prstGeom>
                    <a:noFill/>
                    <a:ln w="9525">
                      <a:noFill/>
                      <a:headEnd/>
                      <a:tailEnd/>
                    </a:ln>
                  </pic:spPr>
                </pic:pic>
              </a:graphicData>
            </a:graphic>
          </wp:inline>
        </w:drawing>
      </w:r>
    </w:p>
    <w:p>
      <w:pPr>
        <w:pStyle w:val="ImageCaption"/>
      </w:pPr>
      <w:r>
        <w:rPr>
          <w:b/>
          <w:bCs/>
        </w:rPr>
        <w:t xml:space="preserve">Figure S6.</w:t>
      </w:r>
      <w:r>
        <w:t xml:space="preserve"> </w:t>
      </w:r>
      <w:r>
        <w:rPr>
          <w:b/>
          <w:bCs/>
        </w:rPr>
        <w:t xml:space="preserve">Top 10 source-country contributors to diaspora-network</w:t>
      </w:r>
      <w:r>
        <w:rPr>
          <w:b/>
          <w:bCs/>
        </w:rPr>
        <w:t xml:space="preserve"> </w:t>
      </w:r>
      <w:r>
        <w:rPr>
          <w:b/>
          <w:bCs/>
        </w:rPr>
        <w:t xml:space="preserve">importation intensity (</w:t>
      </w:r>
      <m:oMath>
        <m:sSup>
          <m:e>
            <m:r>
              <m:rPr>
                <m:sty m:val="p"/>
              </m:rPr>
              <m:t>Ω</m:t>
            </m:r>
          </m:e>
          <m:sup>
            <m:r>
              <m:t>A</m:t>
            </m:r>
          </m:sup>
        </m:sSup>
      </m:oMath>
      <w:r>
        <w:rPr>
          <w:b/>
          <w:bCs/>
        </w:rPr>
        <w:t xml:space="preserve">) per disease.</w:t>
      </w:r>
      <w:r>
        <w:t xml:space="preserve"> </w:t>
      </w:r>
      <w:r>
        <w:t xml:space="preserve">Bars show</w:t>
      </w:r>
      <w:r>
        <w:t xml:space="preserve"> </w:t>
      </w:r>
      <m:oMath>
        <m:sSup>
          <m:e>
            <m:r>
              <m:rPr>
                <m:sty m:val="p"/>
              </m:rPr>
              <m:t>Ω</m:t>
            </m:r>
          </m:e>
          <m:sup>
            <m:r>
              <m:t>A</m:t>
            </m:r>
          </m:sup>
        </m:sSup>
      </m:oMath>
      <w:r>
        <w:t xml:space="preserve"> </w:t>
      </w:r>
      <w:r>
        <w:t xml:space="preserve">for each source country, summed across the</w:t>
      </w:r>
      <w:r>
        <w:t xml:space="preserve"> </w:t>
      </w:r>
      <w:r>
        <w:t xml:space="preserve">11 host cities; colors denote world region (</w:t>
      </w:r>
      <w:r>
        <w:t xml:space="preserve"> </w:t>
      </w:r>
      <w:r>
        <w:t xml:space="preserve">Canada and Mexico</w:t>
      </w:r>
      <w:r>
        <w:t xml:space="preserve"> </w:t>
      </w:r>
      <w:r>
        <w:t xml:space="preserve">grouped as North America). The corresponding</w:t>
      </w:r>
      <w:r>
        <w:t xml:space="preserve"> </w:t>
      </w:r>
      <w:r>
        <w:t xml:space="preserve">raw-</w:t>
      </w:r>
      <m:oMath>
        <m:r>
          <m:t>λ</m:t>
        </m:r>
      </m:oMath>
      <w:r>
        <w:t xml:space="preserve"> </w:t>
      </w:r>
      <w:r>
        <w:t xml:space="preserve">ranking is shown in Figure </w:t>
      </w:r>
      <w:hyperlink w:anchor="fig:countries">
        <w:r>
          <w:rPr>
            <w:rStyle w:val="Hyperlink"/>
          </w:rPr>
          <w:t xml:space="preserve">4</w:t>
        </w:r>
      </w:hyperlink>
      <w:r>
        <w:t xml:space="preserve">.</w:t>
      </w:r>
    </w:p>
    <w:bookmarkEnd w:id="149"/>
    <w:bookmarkStart w:id="153" w:name="fig:s7b"/>
    <w:p>
      <w:pPr>
        <w:pStyle w:val="CaptionedFigure"/>
      </w:pPr>
      <w:r>
        <w:drawing>
          <wp:inline>
            <wp:extent cx="5334000" cy="1846384"/>
            <wp:effectExtent b="0" l="0" r="0" t="0"/>
            <wp:docPr descr="" title="" id="151" name="Picture"/>
            <a:graphic>
              <a:graphicData uri="http://schemas.openxmlformats.org/drawingml/2006/picture">
                <pic:pic>
                  <pic:nvPicPr>
                    <pic:cNvPr descr="FigureS7.png" id="152" name="Picture"/>
                    <pic:cNvPicPr>
                      <a:picLocks noChangeArrowheads="1" noChangeAspect="1"/>
                    </pic:cNvPicPr>
                  </pic:nvPicPr>
                  <pic:blipFill>
                    <a:blip r:embed="rId150"/>
                    <a:stretch>
                      <a:fillRect/>
                    </a:stretch>
                  </pic:blipFill>
                  <pic:spPr bwMode="auto">
                    <a:xfrm>
                      <a:off x="0" y="0"/>
                      <a:ext cx="5334000" cy="1846384"/>
                    </a:xfrm>
                    <a:prstGeom prst="rect">
                      <a:avLst/>
                    </a:prstGeom>
                    <a:noFill/>
                    <a:ln w="9525">
                      <a:noFill/>
                      <a:headEnd/>
                      <a:tailEnd/>
                    </a:ln>
                  </pic:spPr>
                </pic:pic>
              </a:graphicData>
            </a:graphic>
          </wp:inline>
        </w:drawing>
      </w:r>
    </w:p>
    <w:p>
      <w:pPr>
        <w:pStyle w:val="ImageCaption"/>
      </w:pPr>
      <w:r>
        <w:rPr>
          <w:b/>
          <w:bCs/>
        </w:rPr>
        <w:t xml:space="preserve">Figure S7.</w:t>
      </w:r>
      <w:r>
        <w:t xml:space="preserve"> </w:t>
      </w:r>
      <w:r>
        <w:rPr>
          <w:b/>
          <w:bCs/>
        </w:rPr>
        <w:t xml:space="preserve">Diaspora network importation probability (</w:t>
      </w:r>
      <m:oMath>
        <m:sSup>
          <m:e>
            <m:r>
              <m:t>P</m:t>
            </m:r>
          </m:e>
          <m:sup>
            <m:r>
              <m:t>A</m:t>
            </m:r>
          </m:sup>
        </m:sSup>
        <m:r>
          <m:rPr>
            <m:sty m:val="p"/>
          </m:rPr>
          <m:t>(</m:t>
        </m:r>
        <m:r>
          <m:rPr>
            <m:sty m:val="p"/>
          </m:rPr>
          <m:t>≥</m:t>
        </m:r>
        <m:r>
          <m:t>1</m:t>
        </m:r>
        <m:r>
          <m:rPr>
            <m:sty m:val="p"/>
          </m:rPr>
          <m:t>)</m:t>
        </m:r>
      </m:oMath>
      <w:r>
        <w:rPr>
          <w:b/>
          <w:bCs/>
        </w:rPr>
        <w:t xml:space="preserve">)</w:t>
      </w:r>
      <w:r>
        <w:rPr>
          <w:b/>
          <w:bCs/>
        </w:rPr>
        <w:t xml:space="preserve"> </w:t>
      </w:r>
      <w:r>
        <w:rPr>
          <w:b/>
          <w:bCs/>
        </w:rPr>
        <w:t xml:space="preserve">for all five diseases at 11 US host cities.</w:t>
      </w:r>
      <w:r>
        <w:t xml:space="preserve"> </w:t>
      </w:r>
      <w:r>
        <w:t xml:space="preserve">Cells show</w:t>
      </w:r>
      <w:r>
        <w:t xml:space="preserve"> </w:t>
      </w:r>
      <m:oMath>
        <m:sSup>
          <m:e>
            <m:r>
              <m:t>P</m:t>
            </m:r>
          </m:e>
          <m:sup>
            <m:r>
              <m:t>A</m:t>
            </m:r>
          </m:sup>
        </m:sSup>
        <m:r>
          <m:rPr>
            <m:sty m:val="p"/>
          </m:rPr>
          <m:t>(</m:t>
        </m:r>
        <m:r>
          <m:rPr>
            <m:sty m:val="p"/>
          </m:rPr>
          <m:t>≥</m:t>
        </m:r>
        <m:r>
          <m:t>1</m:t>
        </m:r>
        <m:sSub>
          <m:e>
            <m:r>
              <m:rPr>
                <m:sty m:val="p"/>
              </m:rPr>
              <m:t>)</m:t>
            </m:r>
          </m:e>
          <m:sub>
            <m:r>
              <m:t>v</m:t>
            </m:r>
            <m:r>
              <m:rPr>
                <m:sty m:val="p"/>
              </m:rPr>
              <m:t>,</m:t>
            </m:r>
            <m:r>
              <m:t>d</m:t>
            </m:r>
          </m:sub>
        </m:sSub>
      </m:oMath>
      <w:r>
        <w:t xml:space="preserve">, the probability that at least one</w:t>
      </w:r>
      <w:r>
        <w:t xml:space="preserve"> </w:t>
      </w:r>
      <w:r>
        <w:t xml:space="preserve">imported case enters a co-national diaspora</w:t>
      </w:r>
      <w:r>
        <w:t xml:space="preserve"> </w:t>
      </w:r>
      <w:r>
        <w:t xml:space="preserve">network at each host</w:t>
      </w:r>
      <w:r>
        <w:t xml:space="preserve"> </w:t>
      </w:r>
      <w:r>
        <w:t xml:space="preserve">city. The dengue and malaria rows correspond</w:t>
      </w:r>
      <w:r>
        <w:t xml:space="preserve"> </w:t>
      </w:r>
      <w:r>
        <w:t xml:space="preserve">to Panel A of</w:t>
      </w:r>
      <w:r>
        <w:t xml:space="preserve"> </w:t>
      </w:r>
      <w:r>
        <w:t xml:space="preserve">Figure </w:t>
      </w:r>
      <w:hyperlink w:anchor="fig:diaspora">
        <w:r>
          <w:rPr>
            <w:rStyle w:val="Hyperlink"/>
          </w:rPr>
          <w:t xml:space="preserve">5</w:t>
        </w:r>
      </w:hyperlink>
      <w:r>
        <w:t xml:space="preserve"> </w:t>
      </w:r>
      <w:r>
        <w:t xml:space="preserve">in the main text.</w:t>
      </w:r>
    </w:p>
    <w:bookmarkEnd w:id="153"/>
    <w:bookmarkStart w:id="157" w:name="fig:s8"/>
    <w:p>
      <w:pPr>
        <w:pStyle w:val="CaptionedFigure"/>
      </w:pPr>
      <w:r>
        <w:drawing>
          <wp:inline>
            <wp:extent cx="5334000" cy="2872153"/>
            <wp:effectExtent b="0" l="0" r="0" t="0"/>
            <wp:docPr descr="" title="" id="155" name="Picture"/>
            <a:graphic>
              <a:graphicData uri="http://schemas.openxmlformats.org/drawingml/2006/picture">
                <pic:pic>
                  <pic:nvPicPr>
                    <pic:cNvPr descr="FigureS8.png" id="156" name="Picture"/>
                    <pic:cNvPicPr>
                      <a:picLocks noChangeArrowheads="1" noChangeAspect="1"/>
                    </pic:cNvPicPr>
                  </pic:nvPicPr>
                  <pic:blipFill>
                    <a:blip r:embed="rId154"/>
                    <a:stretch>
                      <a:fillRect/>
                    </a:stretch>
                  </pic:blipFill>
                  <pic:spPr bwMode="auto">
                    <a:xfrm>
                      <a:off x="0" y="0"/>
                      <a:ext cx="5334000" cy="2872153"/>
                    </a:xfrm>
                    <a:prstGeom prst="rect">
                      <a:avLst/>
                    </a:prstGeom>
                    <a:noFill/>
                    <a:ln w="9525">
                      <a:noFill/>
                      <a:headEnd/>
                      <a:tailEnd/>
                    </a:ln>
                  </pic:spPr>
                </pic:pic>
              </a:graphicData>
            </a:graphic>
          </wp:inline>
        </w:drawing>
      </w:r>
    </w:p>
    <w:p>
      <w:pPr>
        <w:pStyle w:val="ImageCaption"/>
      </w:pPr>
      <w:r>
        <w:rPr>
          <w:b/>
          <w:bCs/>
        </w:rPr>
        <w:t xml:space="preserve">Figure S8.</w:t>
      </w:r>
      <w:r>
        <w:t xml:space="preserve"> </w:t>
      </w:r>
      <w:r>
        <w:rPr>
          <w:b/>
          <w:bCs/>
        </w:rPr>
        <w:t xml:space="preserve">Source-country contributions to Mechanism B secondary seeding index (</w:t>
      </w:r>
      <m:oMath>
        <m:sSup>
          <m:e>
            <m:r>
              <m:rPr>
                <m:sty m:val="p"/>
              </m:rPr>
              <m:t>Ω</m:t>
            </m:r>
          </m:e>
          <m:sup>
            <m:r>
              <m:t>B</m:t>
            </m:r>
          </m:sup>
        </m:sSup>
      </m:oMath>
      <w:r>
        <w:rPr>
          <w:b/>
          <w:bCs/>
        </w:rPr>
        <w:t xml:space="preserve">) for dengue and malaria.</w:t>
      </w:r>
      <w:r>
        <w:t xml:space="preserve"> </w:t>
      </w:r>
      <w:r>
        <w:t xml:space="preserve">Bars show the three largest source-country contributions</w:t>
      </w:r>
      <w:r>
        <w:t xml:space="preserve"> </w:t>
      </w:r>
      <w:r>
        <w:t xml:space="preserve">to</w:t>
      </w:r>
      <w:r>
        <w:t xml:space="preserve"> </w:t>
      </w:r>
      <m:oMath>
        <m:sSup>
          <m:e>
            <m:r>
              <m:rPr>
                <m:sty m:val="p"/>
              </m:rPr>
              <m:t>Ω</m:t>
            </m:r>
          </m:e>
          <m:sup>
            <m:r>
              <m:t>B</m:t>
            </m:r>
          </m:sup>
        </m:sSup>
      </m:oMath>
      <w:r>
        <w:t xml:space="preserve"> </w:t>
      </w:r>
      <w:r>
        <w:t xml:space="preserve">at each of the top 10 hub cities per disease,</w:t>
      </w:r>
      <w:r>
        <w:t xml:space="preserve"> </w:t>
      </w:r>
      <w:r>
        <w:t xml:space="preserve">ranked</w:t>
      </w:r>
      <w:r>
        <w:t xml:space="preserve"> </w:t>
      </w:r>
      <w:r>
        <w:t xml:space="preserve">by total</w:t>
      </w:r>
      <w:r>
        <w:t xml:space="preserve"> </w:t>
      </w:r>
      <m:oMath>
        <m:sSup>
          <m:e>
            <m:r>
              <m:rPr>
                <m:sty m:val="p"/>
              </m:rPr>
              <m:t>Ω</m:t>
            </m:r>
          </m:e>
          <m:sup>
            <m:r>
              <m:t>B</m:t>
            </m:r>
          </m:sup>
        </m:sSup>
      </m:oMath>
      <w:r>
        <w:t xml:space="preserve">. Dot shape distinguishes World Cup</w:t>
      </w:r>
      <w:r>
        <w:t xml:space="preserve"> </w:t>
      </w:r>
      <w:r>
        <w:t xml:space="preserve">venue</w:t>
      </w:r>
      <w:r>
        <w:t xml:space="preserve"> </w:t>
      </w:r>
      <w:r>
        <w:t xml:space="preserve">cities (circle) from non-venue metropolitan areas</w:t>
      </w:r>
      <w:r>
        <w:t xml:space="preserve"> </w:t>
      </w:r>
      <w:r>
        <w:t xml:space="preserve">(triangle).</w:t>
      </w:r>
      <w:r>
        <w:t xml:space="preserve"> </w:t>
      </w:r>
      <w:r>
        <w:t xml:space="preserve">For malaria, Nigerian and Indian diaspora communities</w:t>
      </w:r>
      <w:r>
        <w:t xml:space="preserve"> </w:t>
      </w:r>
      <w:r>
        <w:t xml:space="preserve">drive</w:t>
      </w:r>
      <w:r>
        <w:t xml:space="preserve"> </w:t>
      </w:r>
      <w:r>
        <w:t xml:space="preserve">secondary seeding at all top hubs; non-venue cities</w:t>
      </w:r>
      <w:r>
        <w:t xml:space="preserve"> </w:t>
      </w:r>
      <w:r>
        <w:t xml:space="preserve">(Washington, DC; Minneapolis; Austin; Charlotte; Detroit;</w:t>
      </w:r>
      <w:r>
        <w:t xml:space="preserve"> </w:t>
      </w:r>
      <w:r>
        <w:t xml:space="preserve">and</w:t>
      </w:r>
      <w:r>
        <w:t xml:space="preserve"> </w:t>
      </w:r>
      <w:r>
        <w:t xml:space="preserve">Chicago) rank alongside host cities (Houston, Dallas, and</w:t>
      </w:r>
      <w:r>
        <w:t xml:space="preserve"> </w:t>
      </w:r>
      <w:r>
        <w:t xml:space="preserve">Philadelphia) because of their large co-national diaspora</w:t>
      </w:r>
      <w:r>
        <w:t xml:space="preserve"> </w:t>
      </w:r>
      <w:r>
        <w:t xml:space="preserve">concentrations. For dengue, Mexican diaspora communities</w:t>
      </w:r>
      <w:r>
        <w:t xml:space="preserve"> </w:t>
      </w:r>
      <w:r>
        <w:t xml:space="preserve">dominate, with non-venue hubs outranking most host</w:t>
      </w:r>
      <w:r>
        <w:t xml:space="preserve"> </w:t>
      </w:r>
      <w:r>
        <w:t xml:space="preserve">cities.</w:t>
      </w:r>
    </w:p>
    <w:bookmarkEnd w:id="157"/>
    <w:bookmarkEnd w:id="158"/>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34" Target="media/rId34.png" /><Relationship Type="http://schemas.openxmlformats.org/officeDocument/2006/relationships/image" Id="rId39" Target="media/rId39.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134" Target="media/rId134.png" /><Relationship Type="http://schemas.openxmlformats.org/officeDocument/2006/relationships/image" Id="rId138" Target="media/rId138.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0" Target="media/rId150.png" /><Relationship Type="http://schemas.openxmlformats.org/officeDocument/2006/relationships/image" Id="rId154" Target="media/rId154.png" /><Relationship Type="http://schemas.openxmlformats.org/officeDocument/2006/relationships/hyperlink" Id="rId64" Target="https://CRAN.R-project.org/package=tidycensus" TargetMode="External" /><Relationship Type="http://schemas.openxmlformats.org/officeDocument/2006/relationships/hyperlink" Id="rId90" Target="https://doi.org/10.1002/(SICI)1096-9071(199812)56:4&lt;337::AID-JMV9&gt;3.0.CO;2-3" TargetMode="External" /><Relationship Type="http://schemas.openxmlformats.org/officeDocument/2006/relationships/hyperlink" Id="rId86" Target="https://doi.org/10.1016/S0140-6736(12)60522-4" TargetMode="External" /><Relationship Type="http://schemas.openxmlformats.org/officeDocument/2006/relationships/hyperlink" Id="rId88" Target="https://doi.org/10.1016/S0140-6736(98)02364-2" TargetMode="External" /><Relationship Type="http://schemas.openxmlformats.org/officeDocument/2006/relationships/hyperlink" Id="rId100" Target="https://doi.org/10.1016/S2213-2600(14)70034-7" TargetMode="External" /><Relationship Type="http://schemas.openxmlformats.org/officeDocument/2006/relationships/hyperlink" Id="rId58" Target="https://doi.org/10.1016/j.nmni.2022.101055" TargetMode="External" /><Relationship Type="http://schemas.openxmlformats.org/officeDocument/2006/relationships/hyperlink" Id="rId56" Target="https://doi.org/10.1016/j.tmaid.2018.06.010" TargetMode="External" /><Relationship Type="http://schemas.openxmlformats.org/officeDocument/2006/relationships/hyperlink" Id="rId78" Target="https://doi.org/10.1038/nature12060" TargetMode="External" /><Relationship Type="http://schemas.openxmlformats.org/officeDocument/2006/relationships/hyperlink" Id="rId84" Target="https://doi.org/10.1038/s41598-020-75261-9" TargetMode="External" /><Relationship Type="http://schemas.openxmlformats.org/officeDocument/2006/relationships/hyperlink" Id="rId92" Target="https://doi.org/10.1080/21645515.2016.1186313" TargetMode="External" /><Relationship Type="http://schemas.openxmlformats.org/officeDocument/2006/relationships/hyperlink" Id="rId102" Target="https://doi.org/10.1093/aje/kwm375" TargetMode="External" /><Relationship Type="http://schemas.openxmlformats.org/officeDocument/2006/relationships/hyperlink" Id="rId94" Target="https://doi.org/10.1093/cid/ciz531" TargetMode="External" /><Relationship Type="http://schemas.openxmlformats.org/officeDocument/2006/relationships/hyperlink" Id="rId104" Target="https://doi.org/10.1097/EDE.0000000000000340" TargetMode="External" /><Relationship Type="http://schemas.openxmlformats.org/officeDocument/2006/relationships/hyperlink" Id="rId96" Target="https://doi.org/10.1186/s12916-015-0382-8" TargetMode="External" /><Relationship Type="http://schemas.openxmlformats.org/officeDocument/2006/relationships/hyperlink" Id="rId98" Target="https://doi.org/10.1186/s12976-020-00129-4" TargetMode="External" /><Relationship Type="http://schemas.openxmlformats.org/officeDocument/2006/relationships/hyperlink" Id="rId80" Target="https://doi.org/10.1371/journal.pntd.0002056" TargetMode="External" /><Relationship Type="http://schemas.openxmlformats.org/officeDocument/2006/relationships/hyperlink" Id="rId54" Target="https://doi.org/10.1371/journal.pntd.0003063" TargetMode="External" /><Relationship Type="http://schemas.openxmlformats.org/officeDocument/2006/relationships/hyperlink" Id="rId106" Target="https://doi.org/10.15585/mmwr.mm7518a1" TargetMode="External" /><Relationship Type="http://schemas.openxmlformats.org/officeDocument/2006/relationships/hyperlink" Id="rId82" Target="https://doi.org/10.1586/eri.13.45" TargetMode="External" /><Relationship Type="http://schemas.openxmlformats.org/officeDocument/2006/relationships/hyperlink" Id="rId47" Target="https://github.com/jdiestra1977/FIFA_worldCup_2026_risk" TargetMode="External" /><Relationship Type="http://schemas.openxmlformats.org/officeDocument/2006/relationships/hyperlink" Id="rId76" Target="https://immunizationdata.who.int" TargetMode="External" /><Relationship Type="http://schemas.openxmlformats.org/officeDocument/2006/relationships/hyperlink" Id="rId66" Target="https://travel.trade.gov" TargetMode="External" /><Relationship Type="http://schemas.openxmlformats.org/officeDocument/2006/relationships/hyperlink" Id="rId62" Target="https://www.census.gov/library/stories/2026/06/2026-world-cup.html" TargetMode="External" /><Relationship Type="http://schemas.openxmlformats.org/officeDocument/2006/relationships/hyperlink" Id="rId60" Target="https://www.medrxiv.org/content/10.64898/2026.05.28.26354384" TargetMode="External" /><Relationship Type="http://schemas.openxmlformats.org/officeDocument/2006/relationships/hyperlink" Id="rId52" Target="https://www.trade.gov/travel-and-tourism-forecasts" TargetMode="External" /><Relationship Type="http://schemas.openxmlformats.org/officeDocument/2006/relationships/hyperlink" Id="rId68" Target="https://www.transtats.bts.gov/DL_SelectFields.aspx?gnoyr_VQ=FJE" TargetMode="External" /><Relationship Type="http://schemas.openxmlformats.org/officeDocument/2006/relationships/hyperlink" Id="rId72" Target="https://www.who.int/data/gho" TargetMode="External" /><Relationship Type="http://schemas.openxmlformats.org/officeDocument/2006/relationships/hyperlink" Id="rId74" Target="https://www.who.int/teams/global-malaria-programme/reports/world-malaria-report-2024" TargetMode="External" /><Relationship Type="http://schemas.openxmlformats.org/officeDocument/2006/relationships/hyperlink" Id="rId70" Target="https://www.worldometers.info/world-population/population-by-country/" TargetMode="External" /><Relationship Type="http://schemas.openxmlformats.org/officeDocument/2006/relationships/hyperlink" Id="rId9" Target="mailto:jherreradiestra@tarleton.edu" TargetMode="External" /></Relationships>
</file>

<file path=word/_rels/footnotes.xml.rels><?xml version="1.0" encoding="UTF-8"?><Relationships xmlns="http://schemas.openxmlformats.org/package/2006/relationships"><Relationship Type="http://schemas.openxmlformats.org/officeDocument/2006/relationships/hyperlink" Id="rId64" Target="https://CRAN.R-project.org/package=tidycensus" TargetMode="External" /><Relationship Type="http://schemas.openxmlformats.org/officeDocument/2006/relationships/hyperlink" Id="rId90" Target="https://doi.org/10.1002/(SICI)1096-9071(199812)56:4&lt;337::AID-JMV9&gt;3.0.CO;2-3" TargetMode="External" /><Relationship Type="http://schemas.openxmlformats.org/officeDocument/2006/relationships/hyperlink" Id="rId86" Target="https://doi.org/10.1016/S0140-6736(12)60522-4" TargetMode="External" /><Relationship Type="http://schemas.openxmlformats.org/officeDocument/2006/relationships/hyperlink" Id="rId88" Target="https://doi.org/10.1016/S0140-6736(98)02364-2" TargetMode="External" /><Relationship Type="http://schemas.openxmlformats.org/officeDocument/2006/relationships/hyperlink" Id="rId100" Target="https://doi.org/10.1016/S2213-2600(14)70034-7" TargetMode="External" /><Relationship Type="http://schemas.openxmlformats.org/officeDocument/2006/relationships/hyperlink" Id="rId58" Target="https://doi.org/10.1016/j.nmni.2022.101055" TargetMode="External" /><Relationship Type="http://schemas.openxmlformats.org/officeDocument/2006/relationships/hyperlink" Id="rId56" Target="https://doi.org/10.1016/j.tmaid.2018.06.010" TargetMode="External" /><Relationship Type="http://schemas.openxmlformats.org/officeDocument/2006/relationships/hyperlink" Id="rId78" Target="https://doi.org/10.1038/nature12060" TargetMode="External" /><Relationship Type="http://schemas.openxmlformats.org/officeDocument/2006/relationships/hyperlink" Id="rId84" Target="https://doi.org/10.1038/s41598-020-75261-9" TargetMode="External" /><Relationship Type="http://schemas.openxmlformats.org/officeDocument/2006/relationships/hyperlink" Id="rId92" Target="https://doi.org/10.1080/21645515.2016.1186313" TargetMode="External" /><Relationship Type="http://schemas.openxmlformats.org/officeDocument/2006/relationships/hyperlink" Id="rId102" Target="https://doi.org/10.1093/aje/kwm375" TargetMode="External" /><Relationship Type="http://schemas.openxmlformats.org/officeDocument/2006/relationships/hyperlink" Id="rId94" Target="https://doi.org/10.1093/cid/ciz531" TargetMode="External" /><Relationship Type="http://schemas.openxmlformats.org/officeDocument/2006/relationships/hyperlink" Id="rId104" Target="https://doi.org/10.1097/EDE.0000000000000340" TargetMode="External" /><Relationship Type="http://schemas.openxmlformats.org/officeDocument/2006/relationships/hyperlink" Id="rId96" Target="https://doi.org/10.1186/s12916-015-0382-8" TargetMode="External" /><Relationship Type="http://schemas.openxmlformats.org/officeDocument/2006/relationships/hyperlink" Id="rId98" Target="https://doi.org/10.1186/s12976-020-00129-4" TargetMode="External" /><Relationship Type="http://schemas.openxmlformats.org/officeDocument/2006/relationships/hyperlink" Id="rId80" Target="https://doi.org/10.1371/journal.pntd.0002056" TargetMode="External" /><Relationship Type="http://schemas.openxmlformats.org/officeDocument/2006/relationships/hyperlink" Id="rId54" Target="https://doi.org/10.1371/journal.pntd.0003063" TargetMode="External" /><Relationship Type="http://schemas.openxmlformats.org/officeDocument/2006/relationships/hyperlink" Id="rId106" Target="https://doi.org/10.15585/mmwr.mm7518a1" TargetMode="External" /><Relationship Type="http://schemas.openxmlformats.org/officeDocument/2006/relationships/hyperlink" Id="rId82" Target="https://doi.org/10.1586/eri.13.45" TargetMode="External" /><Relationship Type="http://schemas.openxmlformats.org/officeDocument/2006/relationships/hyperlink" Id="rId47" Target="https://github.com/jdiestra1977/FIFA_worldCup_2026_risk" TargetMode="External" /><Relationship Type="http://schemas.openxmlformats.org/officeDocument/2006/relationships/hyperlink" Id="rId76" Target="https://immunizationdata.who.int" TargetMode="External" /><Relationship Type="http://schemas.openxmlformats.org/officeDocument/2006/relationships/hyperlink" Id="rId66" Target="https://travel.trade.gov" TargetMode="External" /><Relationship Type="http://schemas.openxmlformats.org/officeDocument/2006/relationships/hyperlink" Id="rId62" Target="https://www.census.gov/library/stories/2026/06/2026-world-cup.html" TargetMode="External" /><Relationship Type="http://schemas.openxmlformats.org/officeDocument/2006/relationships/hyperlink" Id="rId60" Target="https://www.medrxiv.org/content/10.64898/2026.05.28.26354384" TargetMode="External" /><Relationship Type="http://schemas.openxmlformats.org/officeDocument/2006/relationships/hyperlink" Id="rId52" Target="https://www.trade.gov/travel-and-tourism-forecasts" TargetMode="External" /><Relationship Type="http://schemas.openxmlformats.org/officeDocument/2006/relationships/hyperlink" Id="rId68" Target="https://www.transtats.bts.gov/DL_SelectFields.aspx?gnoyr_VQ=FJE" TargetMode="External" /><Relationship Type="http://schemas.openxmlformats.org/officeDocument/2006/relationships/hyperlink" Id="rId72" Target="https://www.who.int/data/gho" TargetMode="External" /><Relationship Type="http://schemas.openxmlformats.org/officeDocument/2006/relationships/hyperlink" Id="rId74" Target="https://www.who.int/teams/global-malaria-programme/reports/world-malaria-report-2024" TargetMode="External" /><Relationship Type="http://schemas.openxmlformats.org/officeDocument/2006/relationships/hyperlink" Id="rId70" Target="https://www.worldometers.info/world-population/population-by-country/" TargetMode="External" /><Relationship Type="http://schemas.openxmlformats.org/officeDocument/2006/relationships/hyperlink" Id="rId9" Target="mailto:jherreradiestra@tarleton.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6834</Words>
  <SharedDoc>false</SharedDoc>
  <HyperlinksChanged>false</HyperlinksChanged>
  <AppVersion>12.0000</AppVersion>
  <LinksUpToDate>false</LinksUpToDate>
  <Application>Microsoft Word 12.0.0</Application>
  <CharactersWithSpaces>49692</CharactersWithSpaces>
  <Template>Normal.dotm</Template>
  <DocSecurity>0</DocSecurity>
  <TotalTime>6</TotalTime>
  <ScaleCrop>false</ScaleCrop>
  <Characters>41547</Characters>
  <Paragraphs>326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risk was already there: infectious disease importation at the 2026 FIFA World Cup</dc:title>
  <dc:creator>Jose L. Herrera-Diestra</dc:creator>
  <cp:keywords/>
  <dcterms:created xsi:type="dcterms:W3CDTF">2026-07-24T23:06:05Z</dcterms:created>
  <dcterms:modified xsi:type="dcterms:W3CDTF">2026-07-24T23:06:05Z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references_IJID.bib</vt:lpwstr>
  </property>
  <property fmtid="{D5CDD505-2E9C-101B-9397-08002B2CF9AE}" pid="3" name="csl">
    <vt:lpwstr>/usr/local/texlive/2026/texmf-dist/tex/latex/citation-style-language/styles/vancouver.csl</vt:lpwstr>
  </property>
</Properties>
</file>