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schedule-driven Poisson framework separates event risk from travel baseline.</w:t>
      </w:r>
    </w:p>
    <w:p>
      <w:pPr>
        <w:pStyle w:val="Compact"/>
        <w:numPr>
          <w:ilvl w:val="0"/>
          <w:numId w:val="1001"/>
        </w:numPr>
      </w:pPr>
      <w:r>
        <w:t xml:space="preserve">Applied to WC2026: baseline travel caused 86-93% of importation risk, not the event.</w:t>
      </w:r>
    </w:p>
    <w:p>
      <w:pPr>
        <w:pStyle w:val="Compact"/>
        <w:numPr>
          <w:ilvl w:val="0"/>
          <w:numId w:val="1001"/>
        </w:numPr>
      </w:pPr>
      <w:r>
        <w:t xml:space="preserve">Dengue and malaria dominated risk in Miami, New York, Houston, and Atlanta.</w:t>
      </w:r>
    </w:p>
    <w:p>
      <w:pPr>
        <w:pStyle w:val="Compact"/>
        <w:numPr>
          <w:ilvl w:val="0"/>
          <w:numId w:val="1001"/>
        </w:numPr>
      </w:pPr>
      <w:r>
        <w:t xml:space="preserve">A diaspora extension flags co-national networks for targeted health outreach.</w:t>
      </w:r>
    </w:p>
    <w:p>
      <w:pPr>
        <w:pStyle w:val="Compact"/>
        <w:numPr>
          <w:ilvl w:val="0"/>
          <w:numId w:val="1001"/>
        </w:numPr>
      </w:pPr>
      <w:r>
        <w:t xml:space="preserve">Uses only free, public data, so any health department can run it, low-budget or not.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2026-09-04T16:08:31Z</dcterms:created>
  <dcterms:modified xsi:type="dcterms:W3CDTF">2026-09-04T16:08:31Z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