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65.png" ContentType="image/png"/>
  <Override PartName="/word/media/rId77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57.png" ContentType="image/png"/>
  <Override PartName="/word/media/rId61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Supplementary Material</w:t>
      </w:r>
      <w:r>
        <w:br/>
      </w:r>
      <w:r>
        <w:t xml:space="preserve">Estimating Infectious Disease Importation Risk</w:t>
      </w:r>
      <w:r>
        <w:t xml:space="preserve"> </w:t>
      </w:r>
      <w:r>
        <w:t xml:space="preserve">during the 2026 FIFA World Cup</w:t>
      </w:r>
    </w:p>
    <w:p>
      <w:pPr>
        <w:pStyle w:val="Author"/>
      </w:pPr>
      <w:r>
        <w:t xml:space="preserve">Jose L. Herrera-Diestra</w:t>
      </w:r>
    </w:p>
    <w:p>
      <w:pPr>
        <w:pStyle w:val="Author"/>
      </w:pPr>
      <w:r>
        <w:t xml:space="preserve">Kaiming Bi</w:t>
      </w:r>
    </w:p>
    <w:p>
      <w:pPr>
        <w:pStyle w:val="Author"/>
      </w:pPr>
      <w:r>
        <w:t xml:space="preserve">Zeynep Ertem</w:t>
      </w:r>
    </w:p>
    <w:p>
      <w:pPr>
        <w:pStyle w:val="Author"/>
      </w:pPr>
      <w:r>
        <w:t xml:space="preserve">Amera Al-Amery</w:t>
      </w:r>
    </w:p>
    <w:p>
      <w:pPr>
        <w:pStyle w:val="Author"/>
      </w:pPr>
      <w:r>
        <w:t xml:space="preserve">Mallory Harris</w:t>
      </w:r>
    </w:p>
    <w:bookmarkStart w:id="41" w:name="X1b77bf20474c9d9fe68d8466b74ab3b55dc4b72"/>
    <w:p>
      <w:pPr>
        <w:pStyle w:val="Heading1"/>
      </w:pPr>
      <w:r>
        <w:t xml:space="preserve">Appendix A: Detailed Methods and Data Sources</w:t>
      </w:r>
    </w:p>
    <w:bookmarkStart w:id="12" w:name="study-setting"/>
    <w:p>
      <w:pPr>
        <w:pStyle w:val="Heading2"/>
      </w:pPr>
      <w:r>
        <w:t xml:space="preserve">Study setting</w:t>
      </w:r>
    </w:p>
    <w:p>
      <w:pPr>
        <w:pStyle w:val="FirstParagraph"/>
      </w:pPr>
      <w:r>
        <w:t xml:space="preserve">The 2026 FIFA World Cup will be hosted jointly by the United States,</w:t>
      </w:r>
      <w:r>
        <w:t xml:space="preserve"> </w:t>
      </w:r>
      <w:r>
        <w:t xml:space="preserve">Mexico, and Canada, with matches scheduled from June 11 through</w:t>
      </w:r>
      <w:r>
        <w:t xml:space="preserve"> </w:t>
      </w:r>
      <w:r>
        <w:t xml:space="preserve">July 19, 2026. The United States will host the majority of matches</w:t>
      </w:r>
      <w:r>
        <w:t xml:space="preserve"> </w:t>
      </w:r>
      <w:r>
        <w:t xml:space="preserve">across eleven venues: MetLife Stadium (East Rutherford, NJ), SoFi</w:t>
      </w:r>
      <w:r>
        <w:t xml:space="preserve"> </w:t>
      </w:r>
      <w:r>
        <w:t xml:space="preserve">Stadium (Inglewood, CA), AT&amp;T Stadium (Arlington, TX), Mercedes-Benz</w:t>
      </w:r>
      <w:r>
        <w:t xml:space="preserve"> </w:t>
      </w:r>
      <w:r>
        <w:t xml:space="preserve">Stadium (Atlanta, GA), NRG Stadium (Houston, TX), Arrowhead Stadium</w:t>
      </w:r>
      <w:r>
        <w:t xml:space="preserve"> </w:t>
      </w:r>
      <w:r>
        <w:t xml:space="preserve">(Kansas City, MO), Lincoln Financial Field (Philadelphia, PA), Hard</w:t>
      </w:r>
      <w:r>
        <w:t xml:space="preserve"> </w:t>
      </w:r>
      <w:r>
        <w:t xml:space="preserve">Rock Stadium (Miami Gardens, FL), Levi’s Stadium (Santa Clara, CA),</w:t>
      </w:r>
      <w:r>
        <w:t xml:space="preserve"> </w:t>
      </w:r>
      <w:r>
        <w:t xml:space="preserve">Lumen Field (Seattle, WA), and Gillette Stadium (Foxborough, MA).</w:t>
      </w:r>
      <w:r>
        <w:t xml:space="preserve"> </w:t>
      </w:r>
      <w:r>
        <w:t xml:space="preserve">Canada hosts two venues (BC Place, Vancouver; BMO Field, Toronto) and</w:t>
      </w:r>
      <w:r>
        <w:t xml:space="preserve"> </w:t>
      </w:r>
      <w:r>
        <w:t xml:space="preserve">Mexico hosts three (Estadio Azteca, Mexico City; Estadio BBVA,</w:t>
      </w:r>
      <w:r>
        <w:t xml:space="preserve"> </w:t>
      </w:r>
      <w:r>
        <w:t xml:space="preserve">Monterrey; Estadio Akron, Guadalajara). The geographic distribution</w:t>
      </w:r>
      <w:r>
        <w:t xml:space="preserve"> </w:t>
      </w:r>
      <w:r>
        <w:t xml:space="preserve">of all 16 venues across the three co-host nations is shown in</w:t>
      </w:r>
      <w:r>
        <w:t xml:space="preserve"> </w:t>
      </w:r>
      <w:r>
        <w:t xml:space="preserve">Figure </w:t>
      </w:r>
      <w:hyperlink w:anchor="fig:venue_map">
        <w:r>
          <w:rPr>
            <w:rStyle w:val="Hyperlink"/>
          </w:rPr>
          <w:t xml:space="preserve">[fig:venue_map]</w:t>
        </w:r>
      </w:hyperlink>
      <w:r>
        <w:t xml:space="preserve">.</w:t>
      </w:r>
      <w:r>
        <w:t xml:space="preserve"> </w:t>
      </w:r>
      <w:r>
        <w:t xml:space="preserve">All 48 qualified nations are listed in Appendix D.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wc2026_venue_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Geographic distribution of the 16 FIFA World Cup 2026</w:t>
      </w:r>
      <w:r>
        <w:t xml:space="preserve"> </w:t>
      </w:r>
      <w:r>
        <w:t xml:space="preserve">venue stadiums across the three co-host nations. Circles are</w:t>
      </w:r>
      <w:r>
        <w:t xml:space="preserve"> </w:t>
      </w:r>
      <w:r>
        <w:t xml:space="preserve">colour-coded by host country: USA (blue, 11 venues), Canada</w:t>
      </w:r>
      <w:r>
        <w:t xml:space="preserve"> </w:t>
      </w:r>
      <w:r>
        <w:t xml:space="preserve">(red, 2 venues), and Mexico (green, 3 venues). Suburb stadium</w:t>
      </w:r>
      <w:r>
        <w:t xml:space="preserve"> </w:t>
      </w:r>
      <w:r>
        <w:t xml:space="preserve">locations are labelled by their metropolitan area to match the</w:t>
      </w:r>
      <w:r>
        <w:t xml:space="preserve"> </w:t>
      </w:r>
      <w:r>
        <w:t xml:space="preserve">spatial aggregation used throughout the analysis</w:t>
      </w:r>
      <w:r>
        <w:t xml:space="preserve"> </w:t>
      </w:r>
      <w:r>
        <w:t xml:space="preserve">(e.g. East Rutherford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New York, Foxborough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Boston).</w:t>
      </w:r>
    </w:p>
    <w:p>
      <w:pPr>
        <w:pStyle w:val="BodyText"/>
      </w:pPr>
      <w:r>
        <w:t xml:space="preserve">We estimated the importation risk of five infectious diseases—dengue</w:t>
      </w:r>
      <w:r>
        <w:t xml:space="preserve"> </w:t>
      </w:r>
      <w:r>
        <w:t xml:space="preserve">fever, influenza, malaria, measles, and pertussis—for each host city</w:t>
      </w:r>
      <w:r>
        <w:t xml:space="preserve"> </w:t>
      </w:r>
      <w:r>
        <w:t xml:space="preserve">using three complementary models of increasing resolution: (1) a</w:t>
      </w:r>
      <w:r>
        <w:t xml:space="preserve"> </w:t>
      </w:r>
      <w:r>
        <w:rPr>
          <w:i/>
          <w:iCs/>
        </w:rPr>
        <w:t xml:space="preserve">baseline model</w:t>
      </w:r>
      <w:r>
        <w:t xml:space="preserve"> </w:t>
      </w:r>
      <w:r>
        <w:t xml:space="preserve">using COR June 2024 arrivals with BTS T-100</w:t>
      </w:r>
      <w:r>
        <w:t xml:space="preserve"> </w:t>
      </w:r>
      <w:r>
        <w:t xml:space="preserve">routing fractions and no World Cup growth adjustment; (2) a</w:t>
      </w:r>
      <w:r>
        <w:t xml:space="preserve"> </w:t>
      </w:r>
      <w:r>
        <w:rPr>
          <w:i/>
          <w:iCs/>
        </w:rPr>
        <w:t xml:space="preserve">World</w:t>
      </w:r>
      <w:r>
        <w:rPr>
          <w:i/>
          <w:iCs/>
        </w:rPr>
        <w:t xml:space="preserve"> </w:t>
      </w:r>
      <w:r>
        <w:rPr>
          <w:i/>
          <w:iCs/>
        </w:rPr>
        <w:t xml:space="preserve">Cup (WC)-adjusted model</w:t>
      </w:r>
      <w:r>
        <w:t xml:space="preserve"> </w:t>
      </w:r>
      <w:r>
        <w:t xml:space="preserve">that scales volumes to country-level 2026</w:t>
      </w:r>
      <w:r>
        <w:t xml:space="preserve"> </w:t>
      </w:r>
      <w:r>
        <w:t xml:space="preserve">projections; and (3) a</w:t>
      </w:r>
      <w:r>
        <w:t xml:space="preserve"> </w:t>
      </w:r>
      <w:r>
        <w:rPr>
          <w:i/>
          <w:iCs/>
        </w:rPr>
        <w:t xml:space="preserve">schedule-driven model</w:t>
      </w:r>
      <w:r>
        <w:t xml:space="preserve"> </w:t>
      </w:r>
      <w:r>
        <w:t xml:space="preserve">that separates</w:t>
      </w:r>
      <w:r>
        <w:t xml:space="preserve"> </w:t>
      </w:r>
      <w:r>
        <w:t xml:space="preserve">World Cup fan travel from background tourism and routes fans to the</w:t>
      </w:r>
      <w:r>
        <w:t xml:space="preserve"> </w:t>
      </w:r>
      <w:r>
        <w:t xml:space="preserve">specific venue cities where their national team plays.</w:t>
      </w:r>
      <w:r>
        <w:t xml:space="preserve"> </w:t>
      </w:r>
      <w:r>
        <w:t xml:space="preserve">The five diseases were selected because each is endemic in countries</w:t>
      </w:r>
      <w:r>
        <w:t xml:space="preserve"> </w:t>
      </w:r>
      <w:r>
        <w:t xml:space="preserve">with strong football traditions, each has a plausible pathway for</w:t>
      </w:r>
      <w:r>
        <w:t xml:space="preserve"> </w:t>
      </w:r>
      <w:r>
        <w:t xml:space="preserve">travel-associated importation into the United States, and each</w:t>
      </w:r>
      <w:r>
        <w:t xml:space="preserve"> </w:t>
      </w:r>
      <w:r>
        <w:t xml:space="preserve">represents a distinct surveillance and public health response</w:t>
      </w:r>
      <w:r>
        <w:t xml:space="preserve"> </w:t>
      </w:r>
      <w:r>
        <w:t xml:space="preserve">challenge. Influenza is included because June corresponds to the</w:t>
      </w:r>
      <w:r>
        <w:t xml:space="preserve"> </w:t>
      </w:r>
      <w:r>
        <w:t xml:space="preserve">Southern Hemisphere winter peak, coinciding with the tournament window</w:t>
      </w:r>
      <w:r>
        <w:t xml:space="preserve"> </w:t>
      </w:r>
      <w:r>
        <w:t xml:space="preserve">for WC-qualified nations in South America and Oceania.</w:t>
      </w:r>
    </w:p>
    <w:bookmarkEnd w:id="12"/>
    <w:bookmarkStart w:id="13" w:name="notation-and-variable-definitions"/>
    <w:p>
      <w:pPr>
        <w:pStyle w:val="Heading2"/>
      </w:pPr>
      <w:r>
        <w:t xml:space="preserve">Notation and variable definitions</w:t>
      </w:r>
    </w:p>
    <w:p>
      <w:pPr>
        <w:pStyle w:val="FirstParagraph"/>
      </w:pPr>
      <w:r>
        <w:t xml:space="preserve">The following indices and variables are used consistently throughout</w:t>
      </w:r>
      <w:r>
        <w:t xml:space="preserve"> </w:t>
      </w:r>
      <w:r>
        <w:t xml:space="preserve">all three models. Where the range of an index differs between models,</w:t>
      </w:r>
      <w:r>
        <w:t xml:space="preserve"> </w:t>
      </w:r>
      <w:r>
        <w:t xml:space="preserve">this is noted explicitly.</w:t>
      </w:r>
    </w:p>
    <w:p>
      <w:pPr>
        <w:pStyle w:val="BodyText"/>
      </w:pPr>
      <w:r>
        <w:rPr>
          <w:b/>
          <w:bCs/>
        </w:rPr>
        <w:t xml:space="preserve">Indices</w:t>
      </w:r>
    </w:p>
    <w:p>
      <w:pPr>
        <w:numPr>
          <w:ilvl w:val="0"/>
          <w:numId w:val="1001"/>
        </w:numPr>
      </w:pPr>
      <m:oMath>
        <m:r>
          <m:t>c</m:t>
        </m:r>
      </m:oMath>
      <w:r>
        <w:t xml:space="preserve"> </w:t>
      </w:r>
      <w:r>
        <w:t xml:space="preserve">— source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of international travelers</w:t>
      </w:r>
      <w:r>
        <w:t xml:space="preserve"> </w:t>
      </w:r>
      <w:r>
        <w:t xml:space="preserve">(all three models).</w:t>
      </w:r>
    </w:p>
    <w:p>
      <w:pPr>
        <w:numPr>
          <w:ilvl w:val="0"/>
          <w:numId w:val="1001"/>
        </w:numPr>
      </w:pPr>
      <m:oMath>
        <m:r>
          <m:t>v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destination venue city</w:t>
      </w:r>
      <w:r>
        <w:t xml:space="preserve">. In all three models,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ranges over the eleven US WC venue cities</w:t>
      </w:r>
      <w:r>
        <w:t xml:space="preserve"> </w:t>
      </w:r>
      <w:r>
        <w:t xml:space="preserve">(Table </w:t>
      </w:r>
      <w:hyperlink w:anchor="tab:venues">
        <w:r>
          <w:rPr>
            <w:rStyle w:val="Hyperlink"/>
          </w:rPr>
          <w:t xml:space="preserve">[tab:venues]</w:t>
        </w:r>
      </w:hyperlink>
      <w:r>
        <w:t xml:space="preserve">). Model 3 additionally covers the five</w:t>
      </w:r>
      <w:r>
        <w:t xml:space="preserve"> </w:t>
      </w:r>
      <w:r>
        <w:t xml:space="preserve">non-US host cities (Toronto, Vancouver, Guadalajara, Mexico City,</w:t>
      </w:r>
      <w:r>
        <w:t xml:space="preserve"> </w:t>
      </w:r>
      <w:r>
        <w:t xml:space="preserve">Monterrey).</w:t>
      </w:r>
    </w:p>
    <w:p>
      <w:pPr>
        <w:numPr>
          <w:ilvl w:val="0"/>
          <w:numId w:val="1001"/>
        </w:numPr>
      </w:pPr>
      <m:oMath>
        <m:r>
          <m:t>d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disease</w:t>
      </w:r>
      <w:r>
        <w:t xml:space="preserve">: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dengue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influenza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malaria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measles</m:t>
        </m:r>
        <m:r>
          <m:rPr>
            <m:sty m:val="p"/>
          </m:rPr>
          <m:t>,</m:t>
        </m:r>
        <m:r>
          <m:t> </m:t>
        </m:r>
        <m:r>
          <m:rPr>
            <m:nor/>
            <m:sty m:val="p"/>
          </m:rPr>
          <m:t>pertussis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calendar year</w:t>
      </w:r>
      <w:r>
        <w:t xml:space="preserve">, used when averaging over</w:t>
      </w:r>
      <w:r>
        <w:t xml:space="preserve"> </w:t>
      </w:r>
      <w:r>
        <w:t xml:space="preserve">multiple June cross-sections (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2023</m:t>
        </m:r>
        <m:r>
          <m:rPr>
            <m:sty m:val="p"/>
          </m:rPr>
          <m:t>,</m:t>
        </m:r>
        <m:r>
          <m:t>2024</m:t>
        </m:r>
        <m:r>
          <m:rPr>
            <m:sty m:val="p"/>
          </m:rPr>
          <m:t>,</m:t>
        </m:r>
        <m:r>
          <m:t>2025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T-100 routing fractions).</w:t>
      </w:r>
    </w:p>
    <w:p>
      <w:pPr>
        <w:pStyle w:val="FirstParagraph"/>
      </w:pPr>
      <w:r>
        <w:rPr>
          <w:b/>
          <w:bCs/>
        </w:rPr>
        <w:t xml:space="preserve">Travel and importation variables</w:t>
      </w:r>
    </w:p>
    <w:p>
      <w:pPr>
        <w:numPr>
          <w:ilvl w:val="0"/>
          <w:numId w:val="1002"/>
        </w:numPr>
      </w:pPr>
      <m:oMath>
        <m:sSub>
          <m:e>
            <m:r>
              <m:t>N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— expected number of</w:t>
      </w:r>
      <w:r>
        <w:t xml:space="preserve"> </w:t>
      </w:r>
      <w:r>
        <w:rPr>
          <w:b/>
          <w:bCs/>
        </w:rPr>
        <w:t xml:space="preserve">travelers</w:t>
      </w:r>
      <w:r>
        <w:t xml:space="preserve"> </w:t>
      </w:r>
      <w:r>
        <w:t xml:space="preserve">from</w:t>
      </w:r>
      <w:r>
        <w:t xml:space="preserve"> </w:t>
      </w:r>
      <w:r>
        <w:t xml:space="preserve">source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arriving in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during June.</w:t>
      </w:r>
      <w:r>
        <w:t xml:space="preserve"> </w:t>
      </w:r>
      <w:r>
        <w:t xml:space="preserve">Constructed differently in each model (see below).</w:t>
      </w:r>
    </w:p>
    <w:p>
      <w:pPr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Λ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importation intensity</w:t>
      </w:r>
      <w:r>
        <w:t xml:space="preserve"> </w:t>
      </w:r>
      <w:r>
        <w:t xml:space="preserve">(Poisson</w:t>
      </w:r>
      <w:r>
        <w:t xml:space="preserve"> </w:t>
      </w:r>
      <w:r>
        <w:t xml:space="preserve">rate): expected number of imported cases of disease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arriving</w:t>
      </w:r>
      <w:r>
        <w:t xml:space="preserve"> </w:t>
      </w:r>
      <w:r>
        <w:t xml:space="preserve">in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during June 2026.</w:t>
      </w:r>
    </w:p>
    <w:p>
      <w:pPr>
        <w:numPr>
          <w:ilvl w:val="0"/>
          <w:numId w:val="1002"/>
        </w:numPr>
      </w:pPr>
      <m:oMath>
        <m:sSub>
          <m:e>
            <m:r>
              <m:t>λ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importation contribution</w:t>
      </w:r>
      <w:r>
        <w:t xml:space="preserve"> </w:t>
      </w:r>
      <w:r>
        <w:t xml:space="preserve">from source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disease</w:t>
      </w:r>
      <w:r>
        <w:t xml:space="preserve"> </w:t>
      </w:r>
      <m:oMath>
        <m:r>
          <m:t>d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Disease and parameter variables</w:t>
      </w:r>
    </w:p>
    <w:p>
      <w:pPr>
        <w:numPr>
          <w:ilvl w:val="0"/>
          <w:numId w:val="1003"/>
        </w:numPr>
      </w:pPr>
      <m:oMath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per-traveler infection probability</w:t>
      </w:r>
      <w:r>
        <w:t xml:space="preserve">:</w:t>
      </w:r>
      <w:r>
        <w:t xml:space="preserve"> </w:t>
      </w:r>
      <w:r>
        <w:t xml:space="preserve">probability that a randomly selected traveler from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carrying disease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during their trip. Defined as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reported cases</w:t>
      </w:r>
      <w:r>
        <w:t xml:space="preserve"> </w:t>
      </w:r>
      <w:r>
        <w:t xml:space="preserve">of disease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source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during June (or annual figure divided by 12 for</w:t>
      </w:r>
      <w:r>
        <w:t xml:space="preserve"> </w:t>
      </w:r>
      <w:r>
        <w:t xml:space="preserve">diseases with only annual reporting).</w:t>
      </w:r>
    </w:p>
    <w:p>
      <w:pPr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of source country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reporting adjustment factor</w:t>
      </w:r>
      <w:r>
        <w:t xml:space="preserve"> </w:t>
      </w:r>
      <w:r>
        <w:t xml:space="preserve">for</w:t>
      </w:r>
      <w:r>
        <w:t xml:space="preserve"> </w:t>
      </w:r>
      <w:r>
        <w:t xml:space="preserve">disease</w:t>
      </w:r>
      <w:r>
        <w:t xml:space="preserve"> </w:t>
      </w:r>
      <m:oMath>
        <m:r>
          <m:t>d</m:t>
        </m:r>
      </m:oMath>
      <w:r>
        <w:t xml:space="preserve">: corrects for under-reporting in routine</w:t>
      </w:r>
      <w:r>
        <w:t xml:space="preserve"> </w:t>
      </w:r>
      <w:r>
        <w:t xml:space="preserve">surveillance and the fraction of reported cases that are</w:t>
      </w:r>
      <w:r>
        <w:t xml:space="preserve"> </w:t>
      </w:r>
      <w:r>
        <w:t xml:space="preserve">actively infectious at any given time</w:t>
      </w:r>
      <w:r>
        <w:t xml:space="preserve"> </w:t>
      </w:r>
      <w:r>
        <w:t xml:space="preserve">(Table </w:t>
      </w:r>
      <w:hyperlink w:anchor="tab:params">
        <w:r>
          <w:rPr>
            <w:rStyle w:val="Hyperlink"/>
          </w:rPr>
          <w:t xml:space="preserve">[tab:params]</w:t>
        </w:r>
      </w:hyperlink>
      <w:r>
        <w:t xml:space="preserve">).</w:t>
      </w:r>
    </w:p>
    <w:p>
      <w:pPr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travel-while-infectious probability</w:t>
      </w:r>
      <w:r>
        <w:t xml:space="preserve">:</w:t>
      </w:r>
      <w:r>
        <w:t xml:space="preserve"> </w:t>
      </w:r>
      <w:r>
        <w:t xml:space="preserve">probability that a person infected with disease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continues</w:t>
      </w:r>
      <w:r>
        <w:t xml:space="preserve"> </w:t>
      </w:r>
      <w:r>
        <w:t xml:space="preserve">to travel internationally during the infectious window</w:t>
      </w:r>
      <w:r>
        <w:t xml:space="preserve"> </w:t>
      </w:r>
      <w:r>
        <w:t xml:space="preserve">(Table </w:t>
      </w:r>
      <w:hyperlink w:anchor="tab:params">
        <w:r>
          <w:rPr>
            <w:rStyle w:val="Hyperlink"/>
          </w:rPr>
          <w:t xml:space="preserve">[tab:params]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Routing fractions and travel growth</w:t>
      </w:r>
    </w:p>
    <w:p>
      <w:pPr>
        <w:numPr>
          <w:ilvl w:val="0"/>
          <w:numId w:val="1004"/>
        </w:numPr>
      </w:pPr>
      <m:oMath>
        <m:sSubSup>
          <m:e>
            <m:r>
              <m:t>f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  <m:sup>
            <m:r>
              <m:rPr>
                <m:nor/>
                <m:sty m:val="p"/>
              </m:rPr>
              <m:t>T100</m:t>
            </m:r>
          </m:sup>
        </m:sSubSup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T-100 routing fraction</w:t>
      </w:r>
      <w:r>
        <w:t xml:space="preserve">:</w:t>
      </w:r>
      <w:r>
        <w:t xml:space="preserve"> </w:t>
      </w:r>
      <w:r>
        <w:t xml:space="preserve">share of country</w:t>
      </w:r>
      <w:r>
        <w:t xml:space="preserve"> </w:t>
      </w:r>
      <m:oMath>
        <m:r>
          <m:t>c</m:t>
        </m:r>
      </m:oMath>
      <w:r>
        <w:t xml:space="preserve">’s US-bound June arrivals that enter through</w:t>
      </w:r>
      <w:r>
        <w:t xml:space="preserve"> </w:t>
      </w:r>
      <w:r>
        <w:t xml:space="preserve">city</w:t>
      </w:r>
      <w:r>
        <w:t xml:space="preserve"> </w:t>
      </w:r>
      <m:oMath>
        <m:r>
          <m:t>v</m:t>
        </m:r>
      </m:oMath>
      <w:r>
        <w:t xml:space="preserve">, derived from BTS T-100 International Segment data</w:t>
      </w:r>
      <w:r>
        <w:t xml:space="preserve"> </w:t>
      </w:r>
      <w:r>
        <w:t xml:space="preserve">averaged over June 2023–2025. Used in all three models.</w:t>
      </w:r>
    </w:p>
    <w:p>
      <w:pPr>
        <w:numPr>
          <w:ilvl w:val="0"/>
          <w:numId w:val="1004"/>
        </w:numPr>
      </w:pPr>
      <m:oMath>
        <m:sSub>
          <m:e>
            <m:r>
              <m:t>ϕ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growth factor</w:t>
      </w:r>
      <w:r>
        <w:t xml:space="preserve"> </w:t>
      </w:r>
      <w:r>
        <w:t xml:space="preserve">for country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w:r>
        <w:t xml:space="preserve">ratio of projected 2026 to observed 2024 annual visitor volume</w:t>
      </w:r>
      <w:r>
        <w:t xml:space="preserve"> </w:t>
      </w:r>
      <w:r>
        <w:t xml:space="preserve">(</w:t>
      </w:r>
      <m:oMath>
        <m:sSub>
          <m:e>
            <m:r>
              <m:t>ϕ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2026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2024</m:t>
            </m:r>
          </m:sub>
        </m:sSub>
      </m:oMath>
      <w:r>
        <w:t xml:space="preserve">). Derived from NTTO for Tier 1</w:t>
      </w:r>
      <w:r>
        <w:t xml:space="preserve"> </w:t>
      </w:r>
      <w:r>
        <w:t xml:space="preserve">countries; set to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WC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all others.</w:t>
      </w:r>
    </w:p>
    <w:p>
      <w:pPr>
        <w:numPr>
          <w:ilvl w:val="0"/>
          <w:numId w:val="1004"/>
        </w:numPr>
      </w:pP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WC</m:t>
            </m:r>
          </m:sub>
        </m:sSub>
        <m:r>
          <m:rPr>
            <m:sty m:val="p"/>
          </m:rPr>
          <m:t>=</m:t>
        </m:r>
        <m:r>
          <m:t>1.174</m:t>
        </m:r>
      </m:oMath>
      <w:r>
        <w:t xml:space="preserve"> </w:t>
      </w:r>
      <w:r>
        <w:t xml:space="preserve">— aggregate WC growth factor</w:t>
      </w:r>
      <w:r>
        <w:t xml:space="preserve"> </w:t>
      </w:r>
      <w:r>
        <w:t xml:space="preserve">(NTTO total: 85,017/72,390 thousand).</w:t>
      </w:r>
    </w:p>
    <w:p>
      <w:pPr>
        <w:numPr>
          <w:ilvl w:val="0"/>
          <w:numId w:val="1004"/>
        </w:numPr>
      </w:pP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r>
          <m:t>1.077</m:t>
        </m:r>
      </m:oMath>
      <w:r>
        <w:t xml:space="preserve"> </w:t>
      </w:r>
      <w:r>
        <w:t xml:space="preserve">— baseline (non-WC) growth</w:t>
      </w:r>
      <w:r>
        <w:t xml:space="preserve"> </w:t>
      </w:r>
      <w:r>
        <w:t xml:space="preserve">factor derived as the geometric mean annual growth rate over</w:t>
      </w:r>
      <w:r>
        <w:t xml:space="preserve"> </w:t>
      </w:r>
      <w:r>
        <w:t xml:space="preserve">June 2023–2025, averaged across COR (1.062) and T-100 (1.092)</w:t>
      </w:r>
      <w:r>
        <w:t xml:space="preserve"> </w:t>
      </w:r>
      <w:r>
        <w:t xml:space="preserve">data sources; applied to non-qualified countries.</w:t>
      </w:r>
    </w:p>
    <w:p>
      <w:pPr>
        <w:numPr>
          <w:ilvl w:val="0"/>
          <w:numId w:val="1004"/>
        </w:numPr>
      </w:pP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WC</m:t>
            </m:r>
          </m:sup>
        </m:sSubSup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WC-fan travel increment</w:t>
      </w:r>
      <w:r>
        <w:t xml:space="preserve">:</w:t>
      </w:r>
      <w:r>
        <w:t xml:space="preserve"> </w:t>
      </w:r>
      <w:r>
        <w:t xml:space="preserve">marginal arrivals attributed to the World Cup for country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bg</m:t>
            </m:r>
          </m:sup>
        </m:sSubSup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background arrivals</w:t>
      </w:r>
      <w:r>
        <w:t xml:space="preserve">: June</w:t>
      </w:r>
      <w:r>
        <w:t xml:space="preserve"> </w:t>
      </w:r>
      <w:r>
        <w:t xml:space="preserve">2026 travel that would have occurred without the WC.</w:t>
      </w:r>
    </w:p>
    <w:p>
      <w:pPr>
        <w:numPr>
          <w:ilvl w:val="0"/>
          <w:numId w:val="1004"/>
        </w:numPr>
      </w:pPr>
      <m:oMath>
        <m:sSub>
          <m:e>
            <m:r>
              <m:t>ω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schedule routing fraction</w:t>
      </w:r>
      <w:r>
        <w:t xml:space="preserve">:</w:t>
      </w:r>
      <w:r>
        <w:t xml:space="preserve"> </w:t>
      </w:r>
      <w:r>
        <w:t xml:space="preserve">share of WC fans from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attending matches in venue</w:t>
      </w:r>
      <w:r>
        <w:t xml:space="preserve"> </w:t>
      </w:r>
      <w:r>
        <w:t xml:space="preserve">city</w:t>
      </w:r>
      <w:r>
        <w:t xml:space="preserve"> </w:t>
      </w:r>
      <m:oMath>
        <m:r>
          <m:t>v</m:t>
        </m:r>
      </m:oMath>
      <w:r>
        <w:t xml:space="preserve">; defined as games played in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divided by total known</w:t>
      </w:r>
      <w:r>
        <w:t xml:space="preserve"> </w:t>
      </w:r>
      <w:r>
        <w:t xml:space="preserve">games for that team.</w:t>
      </w:r>
    </w:p>
    <w:p>
      <w:pPr>
        <w:numPr>
          <w:ilvl w:val="0"/>
          <w:numId w:val="1004"/>
        </w:numPr>
      </w:pPr>
      <m:oMath>
        <m:r>
          <m:rPr>
            <m:scr m:val="script"/>
            <m:sty m:val="p"/>
          </m:rPr>
          <m:t>Q</m:t>
        </m:r>
      </m:oMath>
      <w:r>
        <w:t xml:space="preserve"> </w:t>
      </w:r>
      <w:r>
        <w:t xml:space="preserve">— set of WC-qualified countries with a</w:t>
      </w:r>
      <w:r>
        <w:t xml:space="preserve"> </w:t>
      </w:r>
      <w:r>
        <w:t xml:space="preserve">known group-stage match schedule (TBD matches excluded).</w:t>
      </w:r>
    </w:p>
    <w:bookmarkEnd w:id="13"/>
    <w:bookmarkStart w:id="14" w:name="importation-risk-framework"/>
    <w:p>
      <w:pPr>
        <w:pStyle w:val="Heading2"/>
      </w:pPr>
      <w:r>
        <w:t xml:space="preserve">Importation risk framework</w:t>
      </w:r>
    </w:p>
    <w:p>
      <w:pPr>
        <w:pStyle w:val="FirstParagraph"/>
      </w:pPr>
      <w:r>
        <w:t xml:space="preserve">We modelled disease importation as a Poisson process. This choice</w:t>
      </w:r>
      <w:r>
        <w:t xml:space="preserve"> </w:t>
      </w:r>
      <w:r>
        <w:t xml:space="preserve">is standard for rare-event counting problems: when individual import</w:t>
      </w:r>
      <w:r>
        <w:t xml:space="preserve"> </w:t>
      </w:r>
      <w:r>
        <w:t xml:space="preserve">events are independent and the per-traveller probability of infection</w:t>
      </w:r>
      <w:r>
        <w:t xml:space="preserve"> </w:t>
      </w:r>
      <w:r>
        <w:t xml:space="preserve">is small, the number of imported cases in a fixed time window</w:t>
      </w:r>
      <w:r>
        <w:t xml:space="preserve"> </w:t>
      </w:r>
      <w:r>
        <w:t xml:space="preserve">converges to a Poisson random variable. The Poisson framework is also</w:t>
      </w:r>
      <w:r>
        <w:t xml:space="preserve"> </w:t>
      </w:r>
      <w:r>
        <w:t xml:space="preserve">analytically tractable and additive over source units, allowing</w:t>
      </w:r>
      <w:r>
        <w:t xml:space="preserve"> </w:t>
      </w:r>
      <w:r>
        <w:t xml:space="preserve">country-level and stream-level contributions to be computed and</w:t>
      </w:r>
      <w:r>
        <w:t xml:space="preserve"> </w:t>
      </w:r>
      <w:r>
        <w:t xml:space="preserve">summed independently. This framework is consistent with previously</w:t>
      </w:r>
      <w:r>
        <w:t xml:space="preserve"> </w:t>
      </w:r>
      <w:r>
        <w:t xml:space="preserve">published importation risk analyses for large international sporting</w:t>
      </w:r>
      <w:r>
        <w:t xml:space="preserve"> </w:t>
      </w:r>
      <w:r>
        <w:t xml:space="preserve">events </w:t>
      </w:r>
      <w:r>
        <w:t xml:space="preserve">(</w:t>
      </w:r>
      <w:r>
        <w:t xml:space="preserve">Herrera-Diestra et al.</w:t>
      </w:r>
      <w:r>
        <w:t xml:space="preserve"> </w:t>
      </w:r>
      <w:r>
        <w:t xml:space="preserve">2026)</w:t>
      </w:r>
      <w:r>
        <w:t xml:space="preserve">. The core equations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Λ</m:t>
                </m:r>
              </m:e>
              <m:sub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)</w:t>
      </w:r>
      <w:r>
        <w:t xml:space="preserve"> </w:t>
      </w:r>
      <w:r>
        <w:t xml:space="preserve">are given in the main text; the three models differ only in how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is constructed, as detailed below.</w:t>
      </w:r>
    </w:p>
    <w:bookmarkEnd w:id="14"/>
    <w:bookmarkStart w:id="17" w:name="Xfc476c4a2684083c1352f2fc2bdc34893dc1d6d"/>
    <w:p>
      <w:pPr>
        <w:pStyle w:val="Heading2"/>
      </w:pPr>
      <w:r>
        <w:t xml:space="preserve">Baseline model: COR June 2024 travel volume with T-100 routing</w:t>
      </w:r>
      <w:r>
        <w:t xml:space="preserve"> </w:t>
      </w:r>
      <w:r>
        <w:t xml:space="preserve">(no WC adjustment)</w:t>
      </w:r>
    </w:p>
    <w:bookmarkStart w:id="15" w:name="baseline-city-level-arrivals"/>
    <w:p>
      <w:pPr>
        <w:pStyle w:val="Heading3"/>
      </w:pPr>
      <w:r>
        <w:t xml:space="preserve">Baseline city-level arrivals</w:t>
      </w:r>
    </w:p>
    <w:p>
      <w:pPr>
        <w:pStyle w:val="FirstParagraph"/>
      </w:pPr>
      <w:r>
        <w:t xml:space="preserve">Baseline arrivals from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 venue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baseline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June 2024</m:t>
              </m:r>
            </m:sub>
            <m:sup>
              <m:r>
                <m:rPr>
                  <m:nor/>
                  <m:sty m:val="p"/>
                </m:rPr>
                <m:t>COR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f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T100</m:t>
              </m:r>
            </m:sup>
          </m:sSubSup>
        </m:oMath>
      </m:oMathPara>
    </w:p>
    <w:p>
      <w:pPr>
        <w:pStyle w:val="FirstParagraph"/>
      </w:pPr>
      <w:r>
        <w:t xml:space="preserve">Countries with no T-100 routing data are excluded; their volumes are</w:t>
      </w:r>
      <w:r>
        <w:t xml:space="preserve"> </w:t>
      </w:r>
      <w:r>
        <w:t xml:space="preserve">negligible in the aggregate.</w:t>
      </w:r>
    </w:p>
    <w:bookmarkEnd w:id="15"/>
    <w:bookmarkStart w:id="16" w:name="importation-intensity-baseline"/>
    <w:p>
      <w:pPr>
        <w:pStyle w:val="Heading3"/>
      </w:pPr>
      <w:r>
        <w:t xml:space="preserve">Importation intensity (baseline)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baseline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Λ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e>
          </m:nary>
        </m:oMath>
      </m:oMathPara>
    </w:p>
    <w:bookmarkEnd w:id="16"/>
    <w:bookmarkEnd w:id="17"/>
    <w:bookmarkStart w:id="21" w:name="Xdc05b83cccfd6a155fe13f1f1208e06ff489176"/>
    <w:p>
      <w:pPr>
        <w:pStyle w:val="Heading2"/>
      </w:pPr>
      <w:r>
        <w:t xml:space="preserve">BTS T-100 International Segment data: country-level</w:t>
      </w:r>
      <w:r>
        <w:t xml:space="preserve"> </w:t>
      </w:r>
      <w:r>
        <w:t xml:space="preserve">city routing fractions</w:t>
      </w:r>
    </w:p>
    <w:bookmarkStart w:id="18" w:name="motivation-and-data-source"/>
    <w:p>
      <w:pPr>
        <w:pStyle w:val="Heading3"/>
      </w:pPr>
      <w:r>
        <w:t xml:space="preserve">Motivation and data source</w:t>
      </w:r>
    </w:p>
    <w:p>
      <w:pPr>
        <w:pStyle w:val="FirstParagraph"/>
      </w:pPr>
      <w:r>
        <w:t xml:space="preserve">All three models require country-level city routing fractions that</w:t>
      </w:r>
      <w:r>
        <w:t xml:space="preserve"> </w:t>
      </w:r>
      <w:r>
        <w:t xml:space="preserve">cover every US WC venue city. We use the Bureau of Transportation</w:t>
      </w:r>
      <w:r>
        <w:t xml:space="preserve"> </w:t>
      </w:r>
      <w:r>
        <w:t xml:space="preserve">Statistics (BTS) T-100 International Segment (All Carriers)</w:t>
      </w:r>
      <w:r>
        <w:t xml:space="preserve"> </w:t>
      </w:r>
      <w:r>
        <w:t xml:space="preserve">dataset </w:t>
      </w:r>
      <w:r>
        <w:t xml:space="preserve">(Bureau of Transportation Statistics 2026)</w:t>
      </w:r>
      <w:r>
        <w:t xml:space="preserve">, which records nonstop international flight</w:t>
      </w:r>
      <w:r>
        <w:t xml:space="preserve"> </w:t>
      </w:r>
      <w:r>
        <w:t xml:space="preserve">segments landing at US airports at the individual airport level.</w:t>
      </w:r>
      <w:r>
        <w:t xml:space="preserve"> </w:t>
      </w:r>
      <w:r>
        <w:t xml:space="preserve">T-100 covers all US commercial airports and reports passengers by</w:t>
      </w:r>
      <w:r>
        <w:t xml:space="preserve"> </w:t>
      </w:r>
      <w:r>
        <w:t xml:space="preserve">country of origin, making it possible to compute country-specific</w:t>
      </w:r>
      <w:r>
        <w:t xml:space="preserve"> </w:t>
      </w:r>
      <w:r>
        <w:t xml:space="preserve">routing fractions for all eleven US venue cities. The T-100 data do</w:t>
      </w:r>
      <w:r>
        <w:t xml:space="preserve"> </w:t>
      </w:r>
      <w:r>
        <w:t xml:space="preserve">not include an origin city field, only the originating country code</w:t>
      </w:r>
      <w:r>
        <w:t xml:space="preserve"> </w:t>
      </w:r>
      <w:r>
        <w:t xml:space="preserve">for the international segment.</w:t>
      </w:r>
    </w:p>
    <w:bookmarkEnd w:id="18"/>
    <w:bookmarkStart w:id="19" w:name="X02f512ce543c77a48bdb6ce9ed3fbe7a91d8304"/>
    <w:p>
      <w:pPr>
        <w:pStyle w:val="Heading3"/>
      </w:pPr>
      <w:r>
        <w:t xml:space="preserve">Data processing and routing fraction construction</w:t>
      </w:r>
    </w:p>
    <w:p>
      <w:pPr>
        <w:pStyle w:val="FirstParagraph"/>
      </w:pPr>
      <w:r>
        <w:t xml:space="preserve">Three full years of T-100 data were downloaded for 2023, 2024, and</w:t>
      </w:r>
      <w:r>
        <w:t xml:space="preserve"> </w:t>
      </w:r>
      <w:r>
        <w:t xml:space="preserve">2025, covering all months. Only June records (month = 6) were</w:t>
      </w:r>
      <w:r>
        <w:t xml:space="preserve"> </w:t>
      </w:r>
      <w:r>
        <w:t xml:space="preserve">retained for each year, yielding three June cross-sections. This</w:t>
      </w:r>
      <w:r>
        <w:t xml:space="preserve"> </w:t>
      </w:r>
      <w:r>
        <w:t xml:space="preserve">window was chosen to: (1) match the June travel period of the WC</w:t>
      </w:r>
      <w:r>
        <w:t xml:space="preserve"> </w:t>
      </w:r>
      <w:r>
        <w:t xml:space="preserve">group stage; (2) use the three most recent complete pre-tournament</w:t>
      </w:r>
      <w:r>
        <w:t xml:space="preserve"> </w:t>
      </w:r>
      <w:r>
        <w:t xml:space="preserve">June months; and (3) avoid the COVID-recovery period (2020–2022)</w:t>
      </w:r>
      <w:r>
        <w:t xml:space="preserve"> </w:t>
      </w:r>
      <w:r>
        <w:t xml:space="preserve">during which route networks and traffic volumes were atypical.</w:t>
      </w:r>
    </w:p>
    <w:p>
      <w:pPr>
        <w:pStyle w:val="BodyText"/>
      </w:pPr>
      <w:r>
        <w:t xml:space="preserve">Records were filtered to scheduled passenger service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 = "F"</w:t>
      </w:r>
      <w:r>
        <w:t xml:space="preserve">), excluding charter (</w:t>
      </w:r>
      <w:r>
        <w:rPr>
          <w:rStyle w:val="VerbatimChar"/>
        </w:rPr>
        <w:t xml:space="preserve">N</w:t>
      </w:r>
      <w:r>
        <w:t xml:space="preserve">),</w:t>
      </w:r>
      <w:r>
        <w:t xml:space="preserve"> </w:t>
      </w:r>
      <w:r>
        <w:t xml:space="preserve">all-cargo (</w:t>
      </w:r>
      <w:r>
        <w:rPr>
          <w:rStyle w:val="VerbatimChar"/>
        </w:rPr>
        <w:t xml:space="preserve">L</w:t>
      </w:r>
      <w:r>
        <w:t xml:space="preserve">), and mixed cargo (</w:t>
      </w:r>
      <w:r>
        <w:rPr>
          <w:rStyle w:val="VerbatimChar"/>
        </w:rPr>
        <w:t xml:space="preserve">P</w:t>
      </w:r>
      <w:r>
        <w:t xml:space="preserve">) service</w:t>
      </w:r>
      <w:r>
        <w:t xml:space="preserve"> </w:t>
      </w:r>
      <w:r>
        <w:t xml:space="preserve">classes. Only segments with at least one passenger (</w:t>
      </w:r>
      <w:r>
        <w:rPr>
          <w:rStyle w:val="VerbatimChar"/>
        </w:rPr>
        <w:t xml:space="preserve">PASSENGERS &gt; 0</w:t>
      </w:r>
      <w:r>
        <w:t xml:space="preserve">)</w:t>
      </w:r>
      <w:r>
        <w:t xml:space="preserve"> </w:t>
      </w:r>
      <w:r>
        <w:t xml:space="preserve">and landing in the United States (</w:t>
      </w:r>
      <w:r>
        <w:rPr>
          <w:rStyle w:val="VerbatimChar"/>
        </w:rPr>
        <w:t xml:space="preserve">DEST_COUNTRY = "US"</w:t>
      </w:r>
      <w:r>
        <w:t xml:space="preserve">) were</w:t>
      </w:r>
      <w:r>
        <w:t xml:space="preserve"> </w:t>
      </w:r>
      <w:r>
        <w:t xml:space="preserve">retained. Destination airports were then mapped to the eleven US</w:t>
      </w:r>
      <w:r>
        <w:t xml:space="preserve"> </w:t>
      </w:r>
      <w:r>
        <w:t xml:space="preserve">WC venue city groups using a predefined airport-to-city table (e.g.,</w:t>
      </w:r>
      <w:r>
        <w:t xml:space="preserve"> </w:t>
      </w:r>
      <w:r>
        <w:t xml:space="preserve">JFK, EWR, and LGA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New York; MIA and FLL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Miami;</w:t>
      </w:r>
      <w:r>
        <w:t xml:space="preserve"> </w:t>
      </w:r>
      <w:r>
        <w:t xml:space="preserve">SFO, OAK, and SJC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San Francisco). Any airport not associated</w:t>
      </w:r>
      <w:r>
        <w:t xml:space="preserve"> </w:t>
      </w:r>
      <w:r>
        <w:t xml:space="preserve">with a WC venue city was excluded.</w:t>
      </w:r>
    </w:p>
    <w:p>
      <w:pPr>
        <w:pStyle w:val="BodyText"/>
      </w:pPr>
      <w:r>
        <w:t xml:space="preserve">For each source country</w:t>
      </w:r>
      <w:r>
        <w:t xml:space="preserve"> </w:t>
      </w:r>
      <m:oMath>
        <m:r>
          <m:t>c</m:t>
        </m:r>
      </m:oMath>
      <w:r>
        <w:t xml:space="preserve">, venue city</w:t>
      </w:r>
      <w:r>
        <w:t xml:space="preserve"> </w:t>
      </w:r>
      <m:oMath>
        <m:r>
          <m:t>v</m:t>
        </m:r>
      </m:oMath>
      <w:r>
        <w:t xml:space="preserve">, and year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t xml:space="preserve">routing fraction is first computed within each June cross-section</w:t>
      </w:r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rPr>
                  <m:nor/>
                  <m:sty m:val="p"/>
                </m:rPr>
                <m:t>T100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rPr>
                      <m:nor/>
                      <m:sty m:val="p"/>
                    </m:rPr>
                    <m:t>June</m:t>
                  </m:r>
                </m:sup>
              </m:sSubSup>
            </m:num>
            <m:den>
              <m:sSubSup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US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rPr>
                      <m:nor/>
                      <m:sty m:val="p"/>
                    </m:rPr>
                    <m:t>June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y</m:t>
            </m:r>
          </m:sub>
          <m:sup>
            <m:r>
              <m:rPr>
                <m:nor/>
                <m:sty m:val="p"/>
              </m:rPr>
              <m:t>June</m:t>
            </m:r>
          </m:sup>
        </m:sSubSup>
      </m:oMath>
      <w:r>
        <w:t xml:space="preserve"> </w:t>
      </w:r>
      <w:r>
        <w:t xml:space="preserve">is the total T-100 passengers from</w:t>
      </w:r>
      <w:r>
        <w:t xml:space="preserve"> </w:t>
      </w:r>
      <w:r>
        <w:t xml:space="preserve">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 the airport group serving venue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June of</w:t>
      </w:r>
      <w:r>
        <w:t xml:space="preserve"> </w:t>
      </w:r>
      <w:r>
        <w:t xml:space="preserve">year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US</m:t>
            </m:r>
            <m:r>
              <m:rPr>
                <m:sty m:val="p"/>
              </m:rPr>
              <m:t>,</m:t>
            </m:r>
            <m:r>
              <m:t>y</m:t>
            </m:r>
          </m:sub>
          <m:sup>
            <m:r>
              <m:rPr>
                <m:nor/>
                <m:sty m:val="p"/>
              </m:rPr>
              <m:t>June</m:t>
            </m:r>
          </m:sup>
        </m:sSubSup>
      </m:oMath>
      <w:r>
        <w:t xml:space="preserve"> </w:t>
      </w:r>
      <w:r>
        <w:t xml:space="preserve">is the total T-100</w:t>
      </w:r>
      <w:r>
        <w:t xml:space="preserve"> </w:t>
      </w:r>
      <w:r>
        <w:t xml:space="preserve">passengers from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US airports in June of</w:t>
      </w:r>
      <w:r>
        <w:t xml:space="preserve"> </w:t>
      </w:r>
      <w:r>
        <w:t xml:space="preserve">year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The mean routing fraction is then averaged across the three years: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T100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t>Y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rPr>
                      <m:nor/>
                      <m:sty m:val="p"/>
                    </m:rPr>
                    <m:t>T100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2023</m:t>
        </m:r>
        <m:r>
          <m:rPr>
            <m:sty m:val="p"/>
          </m:rPr>
          <m:t>,</m:t>
        </m:r>
        <m:r>
          <m:t>2024</m:t>
        </m:r>
        <m:r>
          <m:rPr>
            <m:sty m:val="p"/>
          </m:rPr>
          <m:t>,</m:t>
        </m:r>
        <m:r>
          <m:t>2025</m:t>
        </m:r>
        <m:r>
          <m:rPr>
            <m:sty m:val="p"/>
          </m:rPr>
          <m:t>}</m:t>
        </m:r>
      </m:oMath>
      <w:r>
        <w:t xml:space="preserve">.</w:t>
      </w:r>
    </w:p>
    <w:bookmarkEnd w:id="19"/>
    <w:bookmarkStart w:id="20" w:name="Xa0e09846eef94c9ab199acb767dd36e0002eb93"/>
    <w:p>
      <w:pPr>
        <w:pStyle w:val="Heading3"/>
      </w:pPr>
      <w:r>
        <w:t xml:space="preserve">Important limitations of T-100 routing fractions</w:t>
      </w:r>
    </w:p>
    <w:p>
      <w:pPr>
        <w:pStyle w:val="FirstParagraph"/>
      </w:pPr>
      <w:r>
        <w:t xml:space="preserve">T-100 records the</w:t>
      </w:r>
      <w:r>
        <w:t xml:space="preserve"> </w:t>
      </w:r>
      <w:r>
        <w:rPr>
          <w:i/>
          <w:iCs/>
        </w:rPr>
        <w:t xml:space="preserve">nonstop international segment</w:t>
      </w:r>
      <w:r>
        <w:t xml:space="preserve"> </w:t>
      </w:r>
      <w:r>
        <w:t xml:space="preserve">only. A</w:t>
      </w:r>
      <w:r>
        <w:t xml:space="preserve"> </w:t>
      </w:r>
      <w:r>
        <w:t xml:space="preserve">passenger travelling on a connecting itinerary (e.g., São Paulo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Miami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Kansas City) appears only in the Miami row, because</w:t>
      </w:r>
      <w:r>
        <w:t xml:space="preserve"> </w:t>
      </w:r>
      <w:r>
        <w:t xml:space="preserve">Miami is the airport where the international segment terminates and US</w:t>
      </w:r>
      <w:r>
        <w:t xml:space="preserve"> </w:t>
      </w:r>
      <w:r>
        <w:t xml:space="preserve">Customs is cleared. Kansas City correctly shows near-zero T-100</w:t>
      </w:r>
      <w:r>
        <w:t xml:space="preserve"> </w:t>
      </w:r>
      <w:r>
        <w:t xml:space="preserve">routing fractions for most countries; its WC-specific traffic is</w:t>
      </w:r>
      <w:r>
        <w:t xml:space="preserve"> </w:t>
      </w:r>
      <w:r>
        <w:t xml:space="preserve">captured entirely by the schedule-driven WC-fan stream.</w:t>
      </w:r>
    </w:p>
    <w:p>
      <w:pPr>
        <w:pStyle w:val="BodyText"/>
      </w:pPr>
      <w:r>
        <w:t xml:space="preserve">Country names in T-100 use ISO/ICAO conventions (e.g.,</w:t>
      </w:r>
      <w:r>
        <w:t xml:space="preserve"> </w:t>
      </w:r>
      <w:r>
        <w:t xml:space="preserve">“Korea, Republic of”</w:t>
      </w:r>
      <w:r>
        <w:t xml:space="preserve">,</w:t>
      </w:r>
      <w:r>
        <w:t xml:space="preserve"> </w:t>
      </w:r>
      <w:r>
        <w:t xml:space="preserve">“Viet Nam”</w:t>
      </w:r>
      <w:r>
        <w:t xml:space="preserve">) while the CBP COR arrival data</w:t>
      </w:r>
      <w:r>
        <w:t xml:space="preserve"> </w:t>
      </w:r>
      <w:r>
        <w:t xml:space="preserve">use informal short names (e.g.,</w:t>
      </w:r>
      <w:r>
        <w:t xml:space="preserve"> </w:t>
      </w:r>
      <w:r>
        <w:t xml:space="preserve">“South Korea”</w:t>
      </w:r>
      <w:r>
        <w:t xml:space="preserve">,</w:t>
      </w:r>
      <w:r>
        <w:t xml:space="preserve"> </w:t>
      </w:r>
      <w:r>
        <w:t xml:space="preserve">“Vietnam”</w:t>
      </w:r>
      <w:r>
        <w:t xml:space="preserve">). A</w:t>
      </w:r>
      <w:r>
        <w:t xml:space="preserve"> </w:t>
      </w:r>
      <w:r>
        <w:t xml:space="preserve">standardised recode table covering 26 known mismatches was applied</w:t>
      </w:r>
      <w:r>
        <w:t xml:space="preserve"> </w:t>
      </w:r>
      <w:r>
        <w:t xml:space="preserve">before joining the two datasets.</w:t>
      </w:r>
    </w:p>
    <w:bookmarkEnd w:id="20"/>
    <w:bookmarkEnd w:id="21"/>
    <w:bookmarkStart w:id="26" w:name="Xd9d56d805dda51234cce445a0eda0ef0677b624"/>
    <w:p>
      <w:pPr>
        <w:pStyle w:val="Heading2"/>
      </w:pPr>
      <w:r>
        <w:t xml:space="preserve">World Cup–adjusted model: country-level travel</w:t>
      </w:r>
      <w:r>
        <w:t xml:space="preserve"> </w:t>
      </w:r>
      <w:r>
        <w:t xml:space="preserve">volume (2026 projections)</w:t>
      </w:r>
    </w:p>
    <w:bookmarkStart w:id="24" w:name="construction-of-2026-travel-volume"/>
    <w:p>
      <w:pPr>
        <w:pStyle w:val="Heading3"/>
      </w:pPr>
      <w:r>
        <w:t xml:space="preserve">Construction of 2026 travel volume</w:t>
      </w:r>
    </w:p>
    <w:p>
      <w:pPr>
        <w:pStyle w:val="FirstParagraph"/>
      </w:pPr>
      <w:r>
        <w:t xml:space="preserve">Country-level June 2026 visitor volumes to the United States were</w:t>
      </w:r>
      <w:r>
        <w:t xml:space="preserve"> </w:t>
      </w:r>
      <w:r>
        <w:t xml:space="preserve">constructed from two complementary sources using a tiered approach.</w:t>
      </w:r>
    </w:p>
    <w:bookmarkStart w:id="22" w:name="X97cc39e4b3387325b6c45ad4775c3320a1b5698"/>
    <w:p>
      <w:pPr>
        <w:pStyle w:val="Heading4"/>
      </w:pPr>
      <w:r>
        <w:t xml:space="preserve">Tier 1 — NTTO projections (top 12 source markets).</w:t>
      </w:r>
    </w:p>
    <w:p>
      <w:pPr>
        <w:pStyle w:val="FirstParagraph"/>
      </w:pPr>
      <w:r>
        <w:t xml:space="preserve">Official 2026 international visitor projections for twelve major</w:t>
      </w:r>
      <w:r>
        <w:t xml:space="preserve"> </w:t>
      </w:r>
      <w:r>
        <w:t xml:space="preserve">source markets were obtained from the US National Travel and Tourism</w:t>
      </w:r>
      <w:r>
        <w:t xml:space="preserve"> </w:t>
      </w:r>
      <w:r>
        <w:t xml:space="preserve">Office (NTTO) 2025 Forecast Report </w:t>
      </w:r>
      <w:r>
        <w:t xml:space="preserve">(National Travel and Tourism Office 2025)</w:t>
      </w:r>
      <w:r>
        <w:t xml:space="preserve">.</w:t>
      </w:r>
      <w:r>
        <w:t xml:space="preserve"> </w:t>
      </w:r>
      <w:r>
        <w:t xml:space="preserve">These projections—available for Australia, Brazil, Canada, China,</w:t>
      </w:r>
      <w:r>
        <w:t xml:space="preserve"> </w:t>
      </w:r>
      <w:r>
        <w:t xml:space="preserve">France, Germany, India, Italy, Japan, Mexico, South Korea, and the</w:t>
      </w:r>
      <w:r>
        <w:t xml:space="preserve"> </w:t>
      </w:r>
      <w:r>
        <w:t xml:space="preserve">United Kingdom—already incorporate the World Cup tourism effect.</w:t>
      </w:r>
      <w:r>
        <w:t xml:space="preserve"> </w:t>
      </w:r>
      <w:r>
        <w:t xml:space="preserve">The 2024-to-2026 growth factor for each country was derived as</w:t>
      </w:r>
      <w:r>
        <w:t xml:space="preserve"> </w:t>
      </w:r>
      <m:oMath>
        <m:sSub>
          <m:e>
            <m:r>
              <m:t>ϕ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2026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2024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projected annual visitor volume in year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(Table </w:t>
      </w:r>
      <w:hyperlink w:anchor="tab:ntto">
        <w:r>
          <w:rPr>
            <w:rStyle w:val="Hyperlink"/>
          </w:rPr>
          <w:t xml:space="preserve">[tab:ntto]</w:t>
        </w:r>
      </w:hyperlink>
      <w:r>
        <w:t xml:space="preserve">).</w:t>
      </w:r>
    </w:p>
    <w:bookmarkEnd w:id="22"/>
    <w:bookmarkStart w:id="23" w:name="X4f8feb020e36e301a1237aa4a6a00e5c57ef839"/>
    <w:p>
      <w:pPr>
        <w:pStyle w:val="Heading4"/>
      </w:pPr>
      <w:r>
        <w:t xml:space="preserve">Tier 2 — COR data scaled by global growth factors</w:t>
      </w:r>
      <w:r>
        <w:t xml:space="preserve"> </w:t>
      </w:r>
      <w:r>
        <w:t xml:space="preserve">(remaining countries).</w:t>
      </w:r>
    </w:p>
    <w:p>
      <w:pPr>
        <w:pStyle w:val="FirstParagraph"/>
      </w:pPr>
      <w:r>
        <w:t xml:space="preserve">For all other countries, country-level June 2024 arrivals were</w:t>
      </w:r>
      <w:r>
        <w:t xml:space="preserve"> </w:t>
      </w:r>
      <w:r>
        <w:t xml:space="preserve">extracted from the CBP I-94 Monthly Arrivals by Country of Residence</w:t>
      </w:r>
      <w:r>
        <w:t xml:space="preserve"> </w:t>
      </w:r>
      <w:r>
        <w:t xml:space="preserve">dataset </w:t>
      </w:r>
      <w:r>
        <w:t xml:space="preserve">(US Customs and Border Protection 2026)</w:t>
      </w:r>
      <w:r>
        <w:t xml:space="preserve">. A growth factor was then assigned based</w:t>
      </w:r>
      <w:r>
        <w:t xml:space="preserve"> </w:t>
      </w:r>
      <w:r>
        <w:t xml:space="preserve">on World Cup qualification status: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WC-qualified countries not in Tier 1</w:t>
      </w:r>
      <w:r>
        <w:t xml:space="preserve">: scaled by the</w:t>
      </w:r>
      <w:r>
        <w:t xml:space="preserve"> </w:t>
      </w:r>
      <w:r>
        <w:t xml:space="preserve">overall NTTO 2024</w:t>
      </w:r>
      <m:oMath>
        <m:r>
          <m:rPr>
            <m:sty m:val="p"/>
          </m:rPr>
          <m:t>→</m:t>
        </m:r>
      </m:oMath>
      <w:r>
        <w:t xml:space="preserve">2026 growth factor (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WC</m:t>
            </m:r>
          </m:sub>
        </m:sSub>
        <m:r>
          <m:rPr>
            <m:sty m:val="p"/>
          </m:rPr>
          <m:t>=</m:t>
        </m:r>
        <m:r>
          <m:t>85</m:t>
        </m:r>
        <m:r>
          <m:rPr>
            <m:sty m:val="p"/>
          </m:rPr>
          <m:t>,</m:t>
        </m:r>
        <m:r>
          <m:t>017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,</m:t>
        </m:r>
        <m:r>
          <m:t>390</m:t>
        </m:r>
        <m:r>
          <m:rPr>
            <m:sty m:val="p"/>
          </m:rPr>
          <m:t>=</m:t>
        </m:r>
        <m:r>
          <m:t>1.174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Non-qualified countries</w:t>
      </w:r>
      <w:r>
        <w:t xml:space="preserve">: scaled by a data-driven</w:t>
      </w:r>
      <w:r>
        <w:t xml:space="preserve"> </w:t>
      </w:r>
      <w:r>
        <w:t xml:space="preserve">baseline growth factor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 </w:t>
      </w:r>
      <w:r>
        <w:t xml:space="preserve">estimated from</w:t>
      </w:r>
      <w:r>
        <w:t xml:space="preserve"> </w:t>
      </w:r>
      <w:r>
        <w:t xml:space="preserve">observed trends in US inbound travel independent of the</w:t>
      </w:r>
      <w:r>
        <w:t xml:space="preserve"> </w:t>
      </w:r>
      <w:r>
        <w:t xml:space="preserve">tournament. We derived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 </w:t>
      </w:r>
      <w:r>
        <w:t xml:space="preserve">from two sources</w:t>
      </w:r>
      <w:r>
        <w:t xml:space="preserve"> </w:t>
      </w:r>
      <w:r>
        <w:t xml:space="preserve">covering June 2023–2025: (i) CBP COR monthly arrivals and (ii)</w:t>
      </w:r>
      <w:r>
        <w:t xml:space="preserve"> </w:t>
      </w:r>
      <w:r>
        <w:t xml:space="preserve">BTS T-100 total international passengers arriving in the US.</w:t>
      </w:r>
      <w:r>
        <w:t xml:space="preserve"> </w:t>
      </w:r>
      <w:r>
        <w:t xml:space="preserve">For each source, the geometric mean annual growth rate over the</w:t>
      </w:r>
      <w:r>
        <w:t xml:space="preserve"> </w:t>
      </w:r>
      <w:r>
        <w:t xml:space="preserve">two observed intervals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June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2025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June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2023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2024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2023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2025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2024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0"/>
        </w:numPr>
      </w:pPr>
      <w:r>
        <w:t xml:space="preserve">and the two-year forward factor follows as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p>
            <m:r>
              <m:t> </m:t>
            </m:r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June</m:t>
            </m:r>
            <m:r>
              <m:rPr>
                <m:sty m:val="p"/>
              </m:rPr>
              <m:t>,</m:t>
            </m:r>
            <m:r>
              <m:t>2025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June</m:t>
            </m:r>
            <m:r>
              <m:rPr>
                <m:sty m:val="p"/>
              </m:rPr>
              <m:t>,</m:t>
            </m:r>
            <m:r>
              <m:t>2023</m:t>
            </m:r>
          </m:sub>
        </m:sSub>
      </m:oMath>
      <w:r>
        <w:t xml:space="preserve">.</w:t>
      </w:r>
      <w:r>
        <w:t xml:space="preserve"> </w:t>
      </w:r>
      <w:r>
        <w:t xml:space="preserve">The COR estimate is</w:t>
      </w:r>
      <w:r>
        <w:t xml:space="preserve"> </w:t>
      </w:r>
      <m:oMath>
        <m:sSubSup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r>
              <m:rPr>
                <m:nor/>
                <m:sty m:val="p"/>
              </m:rPr>
              <m:t>COR</m:t>
            </m:r>
          </m:sup>
        </m:sSubSup>
        <m:r>
          <m:rPr>
            <m:sty m:val="p"/>
          </m:rPr>
          <m:t>=</m:t>
        </m:r>
        <m:r>
          <m:t>1.062</m:t>
        </m:r>
      </m:oMath>
      <w:r>
        <w:t xml:space="preserve"> </w:t>
      </w:r>
      <w:r>
        <w:t xml:space="preserve">and the T-100 estimate is</w:t>
      </w:r>
      <w:r>
        <w:t xml:space="preserve"> </w:t>
      </w:r>
      <m:oMath>
        <m:sSubSup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  <m:sup>
            <m:r>
              <m:rPr>
                <m:nor/>
                <m:sty m:val="p"/>
              </m:rPr>
              <m:t>T100</m:t>
            </m:r>
          </m:sup>
        </m:sSubSup>
        <m:r>
          <m:rPr>
            <m:sty m:val="p"/>
          </m:rPr>
          <m:t>=</m:t>
        </m:r>
        <m:r>
          <m:t>1.092</m:t>
        </m:r>
      </m:oMath>
      <w:r>
        <w:t xml:space="preserve">.</w:t>
      </w:r>
      <w:r>
        <w:t xml:space="preserve"> </w:t>
      </w:r>
      <w:r>
        <w:t xml:space="preserve">Their arithmetic mean,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r>
          <m:t>1.077</m:t>
        </m:r>
      </m:oMath>
      <w:r>
        <w:t xml:space="preserve">, is used in</w:t>
      </w:r>
      <w:r>
        <w:t xml:space="preserve"> </w:t>
      </w:r>
      <w:r>
        <w:t xml:space="preserve">the model.</w:t>
      </w:r>
    </w:p>
    <w:p>
      <w:pPr>
        <w:pStyle w:val="FirstParagraph"/>
      </w:pPr>
      <w:r>
        <w:t xml:space="preserve">The projected June 2026 arrivals for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June 2026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June 2024</m:t>
              </m:r>
            </m:sub>
            <m:sup>
              <m:r>
                <m:rPr>
                  <m:nor/>
                  <m:sty m:val="p"/>
                </m:rPr>
                <m:t>COR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ϕ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City-level arrival volumes are obtained by applying the T-100 routing</w:t>
      </w:r>
      <w:r>
        <w:t xml:space="preserve"> </w:t>
      </w:r>
      <w:r>
        <w:t xml:space="preserve">fractions: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t>2026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June 2026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f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T100</m:t>
              </m:r>
            </m:sup>
          </m:sSubSup>
        </m:oMath>
      </m:oMathPara>
    </w:p>
    <w:bookmarkEnd w:id="23"/>
    <w:bookmarkEnd w:id="24"/>
    <w:bookmarkStart w:id="25" w:name="importation-intensity-wc-adjusted"/>
    <w:p>
      <w:pPr>
        <w:pStyle w:val="Heading3"/>
      </w:pPr>
      <w:r>
        <w:t xml:space="preserve">Importation intensity (WC-adjusted)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t>2026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Λ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e>
          </m:nary>
        </m:oMath>
      </m:oMathPara>
    </w:p>
    <w:bookmarkEnd w:id="25"/>
    <w:bookmarkEnd w:id="26"/>
    <w:bookmarkStart w:id="31" w:name="schedule-driven-venue-routing-model"/>
    <w:p>
      <w:pPr>
        <w:pStyle w:val="Heading2"/>
      </w:pPr>
      <w:r>
        <w:t xml:space="preserve">Schedule-driven venue routing model</w:t>
      </w:r>
    </w:p>
    <w:bookmarkStart w:id="27" w:name="travel-decomposition"/>
    <w:p>
      <w:pPr>
        <w:pStyle w:val="Heading3"/>
      </w:pPr>
      <w:r>
        <w:t xml:space="preserve">Travel decomposition</w:t>
      </w:r>
    </w:p>
    <w:p>
      <w:pPr>
        <w:pStyle w:val="FirstParagraph"/>
      </w:pPr>
      <w:r>
        <w:t xml:space="preserve">For each source country</w:t>
      </w:r>
      <w:r>
        <w:t xml:space="preserve"> </w:t>
      </w:r>
      <m:oMath>
        <m:r>
          <m:t>c</m:t>
        </m:r>
      </m:oMath>
      <w:r>
        <w:t xml:space="preserve">, total projected June 2026 arrivals</w:t>
      </w:r>
      <w:r>
        <w:t xml:space="preserve"> </w:t>
      </w:r>
      <w:r>
        <w:t xml:space="preserve">are decomposed into two components: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WC-fan stream</w:t>
      </w:r>
      <w:r>
        <w:t xml:space="preserve">: the marginal arrivals attributable to</w:t>
      </w:r>
      <w:r>
        <w:t xml:space="preserve"> </w:t>
      </w:r>
      <w:r>
        <w:t xml:space="preserve">the World Cup: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</m:sub>
            <m:sup>
              <m:r>
                <m:rPr>
                  <m:nor/>
                  <m:sty m:val="p"/>
                </m:rPr>
                <m:t>WC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June 2024</m:t>
              </m:r>
            </m:sub>
            <m:sup>
              <m:r>
                <m:rPr>
                  <m:nor/>
                  <m:sty m:val="p"/>
                </m:rPr>
                <m:t>COR</m:t>
              </m:r>
            </m:sup>
          </m:sSubSup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ϕ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e>
          </m:d>
        </m:oMath>
      </m:oMathPara>
    </w:p>
    <w:p>
      <w:pPr>
        <w:numPr>
          <w:ilvl w:val="0"/>
          <w:numId w:val="1006"/>
        </w:numPr>
      </w:pPr>
      <w:r>
        <w:rPr>
          <w:i/>
          <w:iCs/>
        </w:rPr>
        <w:t xml:space="preserve">Background stream</w:t>
      </w:r>
      <w:r>
        <w:t xml:space="preserve">: arrivals that would have occurred</w:t>
      </w:r>
      <w:r>
        <w:t xml:space="preserve"> </w:t>
      </w:r>
      <w:r>
        <w:t xml:space="preserve">regardless of the World Cup: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</m:sub>
            <m:sup>
              <m:r>
                <m:rPr>
                  <m:nor/>
                  <m:sty m:val="p"/>
                </m:rPr>
                <m:t>bg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June 2026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N</m:t>
              </m:r>
            </m:e>
            <m:sub>
              <m:r>
                <m:t>c</m:t>
              </m:r>
            </m:sub>
            <m:sup>
              <m:r>
                <m:rPr>
                  <m:nor/>
                  <m:sty m:val="p"/>
                </m:rPr>
                <m:t>WC</m:t>
              </m:r>
            </m:sup>
          </m:sSubSup>
        </m:oMath>
      </m:oMathPara>
    </w:p>
    <w:p>
      <w:pPr>
        <w:pStyle w:val="FirstParagraph"/>
      </w:pPr>
      <w:r>
        <w:t xml:space="preserve">For a WC-qualified country assigned the global WC growth factor</w:t>
      </w:r>
      <w:r>
        <w:t xml:space="preserve"> </w:t>
      </w:r>
      <w:r>
        <w:t xml:space="preserve">(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WC</m:t>
            </m:r>
          </m:sub>
        </m:sSub>
        <m:r>
          <m:rPr>
            <m:sty m:val="p"/>
          </m:rPr>
          <m:t>=</m:t>
        </m:r>
        <m:r>
          <m:t>1.174</m:t>
        </m:r>
      </m:oMath>
      <w:r>
        <w:t xml:space="preserve">), the WC fan fraction is approximately</w:t>
      </w:r>
      <w:r>
        <w:t xml:space="preserve"> </w:t>
      </w:r>
      <m:oMath>
        <m:r>
          <m:t>8.3</m:t>
        </m:r>
        <m:r>
          <m:rPr>
            <m:sty m:val="p"/>
          </m:rPr>
          <m:t>%</m:t>
        </m:r>
      </m:oMath>
      <w:r>
        <w:t xml:space="preserve"> </w:t>
      </w:r>
      <w:r>
        <w:t xml:space="preserve">of projected arrivals:</w:t>
      </w:r>
      <w:r>
        <w:t xml:space="preserve"> </w:t>
      </w:r>
      <m:oMath>
        <m:r>
          <m:rPr>
            <m:sty m:val="p"/>
          </m:rPr>
          <m:t>(</m:t>
        </m:r>
        <m:r>
          <m:t>1.174</m:t>
        </m:r>
        <m:r>
          <m:rPr>
            <m:sty m:val="p"/>
          </m:rPr>
          <m:t>−</m:t>
        </m:r>
        <m:r>
          <m:t>1.077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1.174</m:t>
        </m:r>
        <m:r>
          <m:rPr>
            <m:sty m:val="p"/>
          </m:rPr>
          <m:t>≈</m:t>
        </m:r>
        <m:r>
          <m:t>0.083</m:t>
        </m:r>
      </m:oMath>
      <w:r>
        <w:t xml:space="preserve">.</w:t>
      </w:r>
    </w:p>
    <w:bookmarkEnd w:id="27"/>
    <w:bookmarkStart w:id="28" w:name="schedule-based-wc-fan-routing"/>
    <w:p>
      <w:pPr>
        <w:pStyle w:val="Heading3"/>
      </w:pPr>
      <w:r>
        <w:t xml:space="preserve">Schedule-based WC fan routing</w:t>
      </w:r>
    </w:p>
    <w:p>
      <w:pPr>
        <w:pStyle w:val="FirstParagraph"/>
      </w:pPr>
      <w:r>
        <w:t xml:space="preserve">For each WC-qualified country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team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a</w:t>
      </w:r>
      <w:r>
        <w:t xml:space="preserve"> </w:t>
      </w:r>
      <w:r>
        <w:t xml:space="preserve">schedule routing fraction is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is the number of matches played by team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venue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</m:sub>
            </m:sSub>
          </m:e>
        </m:nary>
      </m:oMath>
      <w:r>
        <w:t xml:space="preserve"> </w:t>
      </w:r>
      <w:r>
        <w:t xml:space="preserve">is the total number of</w:t>
      </w:r>
      <w:r>
        <w:t xml:space="preserve"> </w:t>
      </w:r>
      <w:r>
        <w:t xml:space="preserve">known matches for that team. Matches with undetermined opponents</w:t>
      </w:r>
      <w:r>
        <w:t xml:space="preserve"> </w:t>
      </w:r>
      <w:r>
        <w:t xml:space="preserve">(labelled</w:t>
      </w:r>
      <w:r>
        <w:t xml:space="preserve"> </w:t>
      </w:r>
      <w:r>
        <w:t xml:space="preserve">“TBD”</w:t>
      </w:r>
      <w:r>
        <w:t xml:space="preserve">) are excluded. WC-fan arrivals at each venue city</w:t>
      </w:r>
      <w:r>
        <w:t xml:space="preserve"> </w:t>
      </w:r>
      <w:r>
        <w:t xml:space="preserve">are then: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WC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c</m:t>
              </m:r>
            </m:sub>
            <m:sup>
              <m:r>
                <m:rPr>
                  <m:nor/>
                  <m:sty m:val="p"/>
                </m:rPr>
                <m:t>WC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</m:oMath>
      </m:oMathPara>
    </w:p>
    <w:bookmarkEnd w:id="28"/>
    <w:bookmarkStart w:id="29" w:name="X7ff4949b4454d25c68e26f7e7005f7cdc6569d3"/>
    <w:p>
      <w:pPr>
        <w:pStyle w:val="Heading3"/>
      </w:pPr>
      <w:r>
        <w:t xml:space="preserve">Background stream routing via T-100 fractions</w:t>
      </w:r>
    </w:p>
    <w:p>
      <w:pPr>
        <w:pStyle w:val="FirstParagraph"/>
      </w:pPr>
      <w:r>
        <w:t xml:space="preserve">Background travellers are distributed across venue cities using T-100</w:t>
      </w:r>
      <w:r>
        <w:t xml:space="preserve"> </w:t>
      </w:r>
      <w:r>
        <w:t xml:space="preserve">fractions: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bg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c</m:t>
              </m:r>
            </m:sub>
            <m:sup>
              <m:r>
                <m:rPr>
                  <m:nor/>
                  <m:sty m:val="p"/>
                </m:rPr>
                <m:t>bg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f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rPr>
                  <m:nor/>
                  <m:sty m:val="p"/>
                </m:rPr>
                <m:t>T100</m:t>
              </m:r>
            </m:sup>
          </m:sSubSup>
        </m:oMath>
      </m:oMathPara>
    </w:p>
    <w:p>
      <w:pPr>
        <w:pStyle w:val="FirstParagraph"/>
      </w:pPr>
      <w:r>
        <w:t xml:space="preserve">England and Scotland are distinct World Cup participants but share a</w:t>
      </w:r>
      <w:r>
        <w:t xml:space="preserve"> </w:t>
      </w:r>
      <w:r>
        <w:t xml:space="preserve">single country-of-residence entry (</w:t>
      </w:r>
      <w:r>
        <w:t xml:space="preserve">“United Kingdom”</w:t>
      </w:r>
      <w:r>
        <w:t xml:space="preserve">) in the COR</w:t>
      </w:r>
      <w:r>
        <w:t xml:space="preserve"> </w:t>
      </w:r>
      <w:r>
        <w:t xml:space="preserve">arrivals data. Their combined matches are pooled and the routing</w:t>
      </w:r>
      <w:r>
        <w:t xml:space="preserve"> </w:t>
      </w:r>
      <w:r>
        <w:t xml:space="preserve">fractions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UK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are computed over the union of their</w:t>
      </w:r>
      <w:r>
        <w:t xml:space="preserve"> </w:t>
      </w:r>
      <w:r>
        <w:t xml:space="preserve">games, with no double-counting of UK arrivals.</w:t>
      </w:r>
    </w:p>
    <w:p>
      <w:pPr>
        <w:pStyle w:val="TableCaption"/>
      </w:pPr>
      <w:r>
        <w:t xml:space="preserve">WC 2026 host venues and their canonical city names used in the</w:t>
      </w:r>
      <w:r>
        <w:t xml:space="preserve"> </w:t>
      </w:r>
      <w:r>
        <w:t xml:space="preserve">schedule-driven model. Cities with T-100 background routing are</w:t>
      </w:r>
      <w:r>
        <w:t xml:space="preserve"> </w:t>
      </w:r>
      <w:r>
        <w:t xml:space="preserve">marked with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C 2026 host venues and their canonical city names used in the schedule-driven model. Cities with T-100 background routing are marked with \dagge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 (canonical)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T-100 bg?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MetLife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SoFi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AT&amp;T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Dallas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Mercedes-Benz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NRG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Houston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Arrowhead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Kansas City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Lincoln Financial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Philadelphia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Rock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Miami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Levi’s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Lumen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Gillette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Vancouver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BMO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Estadio Azteca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Estadio BBVA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Monterrey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Estadio Akron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Guadalajara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Kansas City shows near-zero T-100 fractions for most countries,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reflecting its minimal direct international air service; its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WC-specific traffic is captured by the WC-fan stream.</w:t>
            </w:r>
          </w:p>
        </w:tc>
      </w:tr>
    </w:tbl>
    <w:bookmarkEnd w:id="29"/>
    <w:bookmarkStart w:id="30" w:name="importation-intensity-schedule-driven"/>
    <w:p>
      <w:pPr>
        <w:pStyle w:val="Heading3"/>
      </w:pPr>
      <w:r>
        <w:t xml:space="preserve">Importation intensity (schedule-driven)</w:t>
      </w:r>
    </w:p>
    <w:p>
      <w:pPr>
        <w:pStyle w:val="FirstParagraph"/>
      </w:pPr>
      <w:r>
        <w:t xml:space="preserve">The total Poisson importation intensity for venue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Λ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v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WC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d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WC-fan stream</m:t>
              </m:r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c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v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bg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d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background stream</m:t>
              </m:r>
            </m:lim>
          </m:limLow>
        </m:oMath>
      </m:oMathPara>
    </w:p>
    <w:bookmarkEnd w:id="30"/>
    <w:bookmarkEnd w:id="31"/>
    <w:bookmarkStart w:id="36" w:name="disease-data-sources"/>
    <w:p>
      <w:pPr>
        <w:pStyle w:val="Heading2"/>
      </w:pPr>
      <w:r>
        <w:t xml:space="preserve">Disease data sources</w:t>
      </w:r>
    </w:p>
    <w:bookmarkStart w:id="32" w:name="dengue"/>
    <w:p>
      <w:pPr>
        <w:pStyle w:val="Heading3"/>
      </w:pPr>
      <w:r>
        <w:t xml:space="preserve">Dengue</w:t>
      </w:r>
    </w:p>
    <w:p>
      <w:pPr>
        <w:pStyle w:val="FirstParagraph"/>
      </w:pPr>
      <w:r>
        <w:t xml:space="preserve">Monthly country-level dengue case counts were obtained from the WHO</w:t>
      </w:r>
      <w:r>
        <w:t xml:space="preserve"> </w:t>
      </w:r>
      <w:r>
        <w:t xml:space="preserve">Global Dengue Surveillance dataset </w:t>
      </w:r>
      <w:r>
        <w:t xml:space="preserve">(World Health Organization 2025a)</w:t>
      </w:r>
      <w:r>
        <w:t xml:space="preserve">. For all three</w:t>
      </w:r>
      <w:r>
        <w:t xml:space="preserve"> </w:t>
      </w:r>
      <w:r>
        <w:t xml:space="preserve">models, the mean June case count per country over 2024–2025 was used</w:t>
      </w:r>
      <w:r>
        <w:t xml:space="preserve"> </w:t>
      </w:r>
      <w:r>
        <w:t xml:space="preserve">directly, divided by national population to obtain a per-capita</w:t>
      </w:r>
      <w:r>
        <w:t xml:space="preserve"> </w:t>
      </w:r>
      <w:r>
        <w:t xml:space="preserve">incidence.</w:t>
      </w:r>
    </w:p>
    <w:bookmarkEnd w:id="32"/>
    <w:bookmarkStart w:id="33" w:name="malaria"/>
    <w:p>
      <w:pPr>
        <w:pStyle w:val="Heading3"/>
      </w:pPr>
      <w:r>
        <w:t xml:space="preserve">Malaria</w:t>
      </w:r>
    </w:p>
    <w:p>
      <w:pPr>
        <w:pStyle w:val="FirstParagraph"/>
      </w:pPr>
      <w:r>
        <w:t xml:space="preserve">Country-level malaria incidence rates for 2024 (cases per 1,000</w:t>
      </w:r>
      <w:r>
        <w:t xml:space="preserve"> </w:t>
      </w:r>
      <w:r>
        <w:t xml:space="preserve">population) were obtained from the WHO Global Malaria Programme</w:t>
      </w:r>
      <w:r>
        <w:t xml:space="preserve"> </w:t>
      </w:r>
      <w:r>
        <w:t xml:space="preserve">National Unit Data </w:t>
      </w:r>
      <w:r>
        <w:t xml:space="preserve">(World Health Organization 2024)</w:t>
      </w:r>
      <w:r>
        <w:t xml:space="preserve">. Annual incidence was divided</w:t>
      </w:r>
      <w:r>
        <w:t xml:space="preserve"> </w:t>
      </w:r>
      <w:r>
        <w:t xml:space="preserve">by 12 to obtain an approximate monthly rate.</w:t>
      </w:r>
    </w:p>
    <w:bookmarkEnd w:id="33"/>
    <w:bookmarkStart w:id="34" w:name="measles-and-pertussis"/>
    <w:p>
      <w:pPr>
        <w:pStyle w:val="Heading3"/>
      </w:pPr>
      <w:r>
        <w:t xml:space="preserve">Measles and pertussis</w:t>
      </w:r>
    </w:p>
    <w:p>
      <w:pPr>
        <w:pStyle w:val="FirstParagraph"/>
      </w:pPr>
      <w:r>
        <w:t xml:space="preserve">Annual country-level incidence rates (cases per 1,000,000 population)</w:t>
      </w:r>
      <w:r>
        <w:t xml:space="preserve"> </w:t>
      </w:r>
      <w:r>
        <w:t xml:space="preserve">for measles and pertussis were obtained from the WHO Immunization Data</w:t>
      </w:r>
      <w:r>
        <w:t xml:space="preserve"> </w:t>
      </w:r>
      <w:r>
        <w:t xml:space="preserve">portal </w:t>
      </w:r>
      <w:r>
        <w:t xml:space="preserve">(World Health Organization 2025b)</w:t>
      </w:r>
      <w:r>
        <w:t xml:space="preserve">. Annual incidence was divided by 12 to</w:t>
      </w:r>
      <w:r>
        <w:t xml:space="preserve"> </w:t>
      </w:r>
      <w:r>
        <w:t xml:space="preserve">obtain an approximate monthly rate.</w:t>
      </w:r>
    </w:p>
    <w:bookmarkEnd w:id="34"/>
    <w:bookmarkStart w:id="35" w:name="influenza"/>
    <w:p>
      <w:pPr>
        <w:pStyle w:val="Heading3"/>
      </w:pPr>
      <w:r>
        <w:t xml:space="preserve">Influenza</w:t>
      </w:r>
    </w:p>
    <w:p>
      <w:pPr>
        <w:pStyle w:val="FirstParagraph"/>
      </w:pPr>
      <w:r>
        <w:t xml:space="preserve">Weekly country-level positive specimen counts were obtained from the</w:t>
      </w:r>
      <w:r>
        <w:t xml:space="preserve"> </w:t>
      </w:r>
      <w:r>
        <w:t xml:space="preserve">WHO FluNet / Global Influenza Surveillance and Response System</w:t>
      </w:r>
      <w:r>
        <w:t xml:space="preserve"> </w:t>
      </w:r>
      <w:r>
        <w:t xml:space="preserve">(GISRS) </w:t>
      </w:r>
      <w:r>
        <w:t xml:space="preserve">(World Health Organization 2025b)</w:t>
      </w:r>
      <w:r>
        <w:t xml:space="preserve">. June corresponds to ISO weeks 22–26.</w:t>
      </w:r>
      <w:r>
        <w:t xml:space="preserve"> </w:t>
      </w:r>
      <w:r>
        <w:t xml:space="preserve">Mean June positive specimens per country were computed across</w:t>
      </w:r>
      <w:r>
        <w:t xml:space="preserve"> </w:t>
      </w:r>
      <w:r>
        <w:t xml:space="preserve">2023–2025 to produce a stable baseline signal.</w:t>
      </w:r>
    </w:p>
    <w:bookmarkEnd w:id="35"/>
    <w:bookmarkEnd w:id="36"/>
    <w:bookmarkStart w:id="37" w:name="model-parameters"/>
    <w:p>
      <w:pPr>
        <w:pStyle w:val="Heading2"/>
      </w:pPr>
      <w:r>
        <w:t xml:space="preserve">Model parameters</w:t>
      </w:r>
    </w:p>
    <w:p>
      <w:pPr>
        <w:pStyle w:val="FirstParagraph"/>
      </w:pPr>
      <w:r>
        <w:t xml:space="preserve">Table </w:t>
      </w:r>
      <w:hyperlink w:anchor="tab:params">
        <w:r>
          <w:rPr>
            <w:rStyle w:val="Hyperlink"/>
          </w:rPr>
          <w:t xml:space="preserve">[tab:params]</w:t>
        </w:r>
      </w:hyperlink>
      <w:r>
        <w:t xml:space="preserve"> </w:t>
      </w:r>
      <w:r>
        <w:t xml:space="preserve">summarises the disease-specific parameters</w:t>
      </w:r>
      <w:r>
        <w:t xml:space="preserve"> </w:t>
      </w:r>
      <w:r>
        <w:t xml:space="preserve">used in all three models.</w:t>
      </w:r>
    </w:p>
    <w:p>
      <w:pPr>
        <w:pStyle w:val="TableCaption"/>
      </w:pPr>
      <w:r>
        <w:t xml:space="preserve">Disease-specific model parameters. The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literature</w:t>
      </w:r>
      <w:r>
        <w:t xml:space="preserve"> </w:t>
      </w:r>
      <w:r>
        <w:t xml:space="preserve">range is derived from published burden and under-reporting studies;</w:t>
      </w:r>
      <w:r>
        <w:t xml:space="preserve"> </w:t>
      </w:r>
      <w:r>
        <w:t xml:space="preserve">the adopted value falls within or at the conservative end of that</w:t>
      </w:r>
      <w:r>
        <w:t xml:space="preserve"> </w:t>
      </w:r>
      <w:r>
        <w:t xml:space="preserve">range. All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values are supported by travel medicine literature.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ease-specific model parameters. The \rho_d literature range is derived from published burden and under-reporting studies; the adopted value falls within or at the conservative end of that range. All p_d values are supported by travel medicine literatur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Disease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ref. (</w:t>
            </w: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0.06–0.26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viraemic phase;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40% viremic on 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Bhatt et al.</w:t>
            </w:r>
            <w:r>
              <w:t xml:space="preserve"> </w:t>
            </w:r>
            <w:r>
              <w:t xml:space="preserve">2013; Undurraga et al. 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0.033–0.20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illness; many travel during early illness; SH winter peak in June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(World Health Organization 2025b)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0.10–0.35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illness; most febrile after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(World Health Organization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0.40–0.80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Prostrating; ambulatory only in short pre-rash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Simons et al.</w:t>
            </w:r>
            <w:r>
              <w:t xml:space="preserve"> </w:t>
            </w:r>
            <w:r>
              <w:t xml:space="preserve">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Pertussis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0.01–0.10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Catarrhal stage mimics common cold; unrecognised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McLaughlin et al.</w:t>
            </w:r>
            <w:r>
              <w:t xml:space="preserve"> </w:t>
            </w:r>
            <w:r>
              <w:t xml:space="preserve">2016)</w:t>
            </w:r>
          </w:p>
        </w:tc>
      </w:tr>
    </w:tbl>
    <w:bookmarkEnd w:id="37"/>
    <w:bookmarkStart w:id="38" w:name="X8edd2d79efd1297fa16eae2e4271588736c8ad9"/>
    <w:p>
      <w:pPr>
        <w:pStyle w:val="Heading2"/>
      </w:pPr>
      <w:r>
        <w:t xml:space="preserve">NTTO 2026 visitor projections for top 12 source markets</w:t>
      </w:r>
    </w:p>
    <w:p>
      <w:pPr>
        <w:pStyle w:val="TableCaption"/>
      </w:pPr>
      <w:r>
        <w:t xml:space="preserve">NTTO 2026 international visitor projections and derived</w:t>
      </w:r>
      <w:r>
        <w:t xml:space="preserve"> </w:t>
      </w:r>
      <w:r>
        <w:t xml:space="preserve">growth factors used in the WC-adjusted model. Source:</w:t>
      </w:r>
      <w:r>
        <w:t xml:space="preserve"> </w:t>
      </w:r>
      <w:r>
        <w:t xml:space="preserve">US National Travel and Tourism Office Forecast Report</w:t>
      </w:r>
      <w:r>
        <w:t xml:space="preserve"> </w:t>
      </w:r>
      <w:r>
        <w:t xml:space="preserve">(March 2025).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TTO 2026 international visitor projections and derived growth factors used in the WC-adjusted model. Source: US National Travel and Tourism Office Forecast Report (March 2025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2024 (000s)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2026 (000s)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rPr>
                      <m:sty m:val="bi"/>
                    </m:rPr>
                    <m:t>ϕ</m:t>
                  </m:r>
                </m:e>
                <m:sub>
                  <m:r>
                    <m:rPr>
                      <m:sty m:val="bi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WC team?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(England, Scotland)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international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72,390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1.174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40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All analyses were performed in R (version 4.5.2). The main</w:t>
      </w:r>
      <w:r>
        <w:t xml:space="preserve"> </w:t>
      </w:r>
      <w:r>
        <w:t xml:space="preserve">importation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importationRisk_main_with_uncertainty.R</w:t>
      </w:r>
      <w:r>
        <w:t xml:space="preserve">) uses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for data wrangling and visualisation,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 </w:t>
      </w:r>
      <w:r>
        <w:t xml:space="preserve">for Excel data ingestion,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for</w:t>
      </w:r>
      <w:r>
        <w:t xml:space="preserve"> </w:t>
      </w:r>
      <w:r>
        <w:t xml:space="preserve">column-name standardisation,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 </w:t>
      </w:r>
      <w:r>
        <w:t xml:space="preserve">for date operations,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cowplot</w:t>
      </w:r>
      <w:r>
        <w:t xml:space="preserve"> </w:t>
      </w:r>
      <w:r>
        <w:t xml:space="preserve">for multi-panel figure composition. Monte Carlo</w:t>
      </w:r>
      <w:r>
        <w:t xml:space="preserve"> </w:t>
      </w:r>
      <w:r>
        <w:t xml:space="preserve">uncertainty propagation (5,000 Uniform draws on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)</w:t>
      </w:r>
      <w:r>
        <w:t xml:space="preserve"> </w:t>
      </w:r>
      <w:r>
        <w:t xml:space="preserve">is integrated directly into the main pipeline via the vectorised</w:t>
      </w:r>
      <w:r>
        <w:t xml:space="preserve"> </w:t>
      </w:r>
      <w:r>
        <w:rPr>
          <w:rStyle w:val="VerbatimChar"/>
        </w:rPr>
        <w:t xml:space="preserve">compute_mc_summary()</w:t>
      </w:r>
      <w:r>
        <w:t xml:space="preserve"> </w:t>
      </w:r>
      <w:r>
        <w:t xml:space="preserve">helper. A dedicated data preparation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t100_routing_prep.R</w:t>
      </w:r>
      <w:r>
        <w:t xml:space="preserve">) processes BTS T-100 data and</w:t>
      </w:r>
      <w:r>
        <w:t xml:space="preserve"> </w:t>
      </w:r>
      <w:r>
        <w:t xml:space="preserve">must be run once before the main pipeline. FluNet influenza data are</w:t>
      </w:r>
      <w:r>
        <w:t xml:space="preserve"> </w:t>
      </w:r>
      <w:r>
        <w:t xml:space="preserve">downloaded automatically from the WHO FluNet API on first run and</w:t>
      </w:r>
      <w:r>
        <w:t xml:space="preserve"> </w:t>
      </w:r>
      <w:r>
        <w:t xml:space="preserve">cached locally. Code and data are available at: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https://github.com/jdiestra1977/FIFA_worldCup_2026_risk</w:t>
        </w:r>
      </w:hyperlink>
    </w:p>
    <w:bookmarkEnd w:id="40"/>
    <w:bookmarkEnd w:id="41"/>
    <w:bookmarkStart w:id="81" w:name="appendix-b-supplementary-results"/>
    <w:p>
      <w:pPr>
        <w:pStyle w:val="Heading1"/>
      </w:pPr>
      <w:r>
        <w:t xml:space="preserve">Appendix B: Supplementary Results</w:t>
      </w:r>
    </w:p>
    <w:bookmarkStart w:id="45" w:name="parameter-uncertainty-direction"/>
    <w:p>
      <w:pPr>
        <w:pStyle w:val="Heading2"/>
      </w:pPr>
      <w:r>
        <w:t xml:space="preserve">Parameter uncertainty direction</w:t>
      </w:r>
    </w:p>
    <w:p>
      <w:pPr>
        <w:pStyle w:val="FirstParagraph"/>
      </w:pPr>
      <w:r>
        <w:t xml:space="preserve">Figure </w:t>
      </w:r>
      <w:hyperlink w:anchor="fig:ci_asym">
        <w:r>
          <w:rPr>
            <w:rStyle w:val="Hyperlink"/>
          </w:rPr>
          <w:t xml:space="preserve">[fig:ci_asym]</w:t>
        </w:r>
      </w:hyperlink>
      <w:r>
        <w:t xml:space="preserve"> </w:t>
      </w:r>
      <w:r>
        <w:t xml:space="preserve">shows the directional asymmetry of Monte</w:t>
      </w:r>
      <w:r>
        <w:t xml:space="preserve"> </w:t>
      </w:r>
      <w:r>
        <w:t xml:space="preserve">Carlo uncertainty for each disease across all venue cities. The axes</w:t>
      </w:r>
      <w:r>
        <w:t xml:space="preserve"> </w:t>
      </w:r>
      <w:r>
        <w:t xml:space="preserve">compare the upside ratio (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hi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median</m:t>
            </m:r>
          </m:sub>
        </m:sSub>
      </m:oMath>
      <w:r>
        <w:t xml:space="preserve">)</w:t>
      </w:r>
      <w:r>
        <w:t xml:space="preserve"> </w:t>
      </w:r>
      <w:r>
        <w:t xml:space="preserve">against the downside ratio (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median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lo</m:t>
            </m:r>
          </m:sub>
        </m:sSub>
      </m:oMath>
      <w:r>
        <w:t xml:space="preserve">).</w:t>
      </w:r>
      <w:r>
        <w:t xml:space="preserve"> </w:t>
      </w:r>
      <w:r>
        <w:t xml:space="preserve">Points that fall above the dashed diagonal have CIs that extend further</w:t>
      </w:r>
      <w:r>
        <w:t xml:space="preserve"> </w:t>
      </w:r>
      <w:r>
        <w:t xml:space="preserve">above the median than below it. Points below the diagonal carry CIs</w:t>
      </w:r>
      <w:r>
        <w:t xml:space="preserve"> </w:t>
      </w:r>
      <w:r>
        <w:t xml:space="preserve">that compress below the median, indicating conservative upper bounds.</w:t>
      </w:r>
    </w:p>
    <w:p>
      <w:pPr>
        <w:pStyle w:val="BodyText"/>
      </w:pPr>
      <w:r>
        <w:t xml:space="preserve">Dengue and influenza consistently fall above the diagonal because their</w:t>
      </w:r>
      <w:r>
        <w:t xml:space="preserve"> </w:t>
      </w:r>
      <w:r>
        <w:t xml:space="preserve">central detection rates sit near the lower end of the literature range.</w:t>
      </w:r>
      <w:r>
        <w:t xml:space="preserve"> </w:t>
      </w:r>
      <w:r>
        <w:t xml:space="preserve">Pertussis sits well below the diagonal: the central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upper</w:t>
      </w:r>
      <w:r>
        <w:t xml:space="preserve"> </w:t>
      </w:r>
      <w:r>
        <w:t xml:space="preserve">bound of its range, so the plausible space is almost</w:t>
      </w:r>
      <w:r>
        <w:t xml:space="preserve"> </w:t>
      </w:r>
      <w:r>
        <w:t xml:space="preserve">entirely downward. Malaria and measles occupy intermediate, roughly</w:t>
      </w:r>
      <w:r>
        <w:t xml:space="preserve"> </w:t>
      </w:r>
      <w:r>
        <w:t xml:space="preserve">symmetric positions.</w:t>
      </w:r>
    </w:p>
    <w:p>
      <w:pPr>
        <w:pStyle w:val="CaptionedFigure"/>
      </w:pPr>
      <w:r>
        <w:drawing>
          <wp:inline>
            <wp:extent cx="4267200" cy="28447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ci_asymmetr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Direction of Monte Carlo parameter uncertainty by disease.</w:t>
      </w:r>
      <w:r>
        <w:t xml:space="preserve"> </w:t>
      </w:r>
      <w:r>
        <w:t xml:space="preserve">Each point represents one disease–city pair under the schedule-driven</w:t>
      </w:r>
      <w:r>
        <w:t xml:space="preserve"> </w:t>
      </w:r>
      <w:r>
        <w:t xml:space="preserve">model. Upside ratio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hi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median</m:t>
            </m:r>
          </m:sub>
        </m:sSub>
      </m:oMath>
      <w:r>
        <w:t xml:space="preserve">;</w:t>
      </w:r>
      <w:r>
        <w:t xml:space="preserve"> </w:t>
      </w:r>
      <w:r>
        <w:t xml:space="preserve">downside ratio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median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lo</m:t>
            </m:r>
          </m:sub>
        </m:sSub>
      </m:oMath>
      <w:r>
        <w:t xml:space="preserve">.</w:t>
      </w:r>
      <w:r>
        <w:t xml:space="preserve"> </w:t>
      </w:r>
      <w:r>
        <w:t xml:space="preserve">Points above the dashed diagonal: CI skews upward (central estimate</w:t>
      </w:r>
      <w:r>
        <w:t xml:space="preserve"> </w:t>
      </w:r>
      <w:r>
        <w:t xml:space="preserve">near lower bound of plausible range). Points below: CI skews downward</w:t>
      </w:r>
      <w:r>
        <w:t xml:space="preserve"> </w:t>
      </w:r>
      <w:r>
        <w:t xml:space="preserve">(central estimate near upper bound). Dengue and influenza may be</w:t>
      </w:r>
      <w:r>
        <w:t xml:space="preserve"> </w:t>
      </w:r>
      <w:r>
        <w:t xml:space="preserve">underestimated; pertussis estimates are conservative upper bounds.</w:t>
      </w:r>
    </w:p>
    <w:bookmarkEnd w:id="45"/>
    <w:bookmarkStart w:id="52" w:name="Xda12c2ae26d3a1bc806b2473e76dfa442fbc025"/>
    <w:p>
      <w:pPr>
        <w:pStyle w:val="Heading2"/>
      </w:pPr>
      <w:r>
        <w:t xml:space="preserve">Importation risk overview: Baseline and WC-adjusted models</w:t>
      </w:r>
    </w:p>
    <w:p>
      <w:pPr>
        <w:pStyle w:val="FirstParagraph"/>
      </w:pPr>
      <w:r>
        <w:t xml:space="preserve">Figures </w:t>
      </w:r>
      <w:hyperlink w:anchor="fig:heatmap_m1">
        <w:r>
          <w:rPr>
            <w:rStyle w:val="Hyperlink"/>
          </w:rPr>
          <w:t xml:space="preserve">[fig:heatmap_m1]</w:t>
        </w:r>
      </w:hyperlink>
      <w:r>
        <w:t xml:space="preserve"> </w:t>
      </w:r>
      <w:r>
        <w:t xml:space="preserve">and </w:t>
      </w:r>
      <w:hyperlink w:anchor="fig:heatmap_m2">
        <w:r>
          <w:rPr>
            <w:rStyle w:val="Hyperlink"/>
          </w:rPr>
          <w:t xml:space="preserve">[fig:heatmap_m2]</w:t>
        </w:r>
      </w:hyperlink>
      <w:r>
        <w:t xml:space="preserve"> </w:t>
      </w:r>
      <w:r>
        <w:t xml:space="preserve">show the same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heatmap as Figure 1 in the main text,</w:t>
      </w:r>
      <w:r>
        <w:t xml:space="preserve"> </w:t>
      </w:r>
      <w:r>
        <w:t xml:space="preserve">but for the Baseline (Model 1) and WC-adjusted (Model 2) tiers</w:t>
      </w:r>
      <w:r>
        <w:t xml:space="preserve"> </w:t>
      </w:r>
      <w:r>
        <w:t xml:space="preserve">respectively. City and disease ordering are identical to Figure 1</w:t>
      </w:r>
      <w:r>
        <w:t xml:space="preserve"> </w:t>
      </w:r>
      <w:r>
        <w:t xml:space="preserve">to allow direct visual comparison across all three model tiers.</w:t>
      </w:r>
      <w:r>
        <w:t xml:space="preserve"> </w:t>
      </w:r>
      <w:r>
        <w:t xml:space="preserve">Dengue importation probability is near-certain (</w:t>
      </w:r>
      <m:oMath>
        <m:r>
          <m:rPr>
            <m:sty m:val="p"/>
          </m:rPr>
          <m:t>&gt;</m:t>
        </m:r>
        <m:r>
          <m:t>0.99</m:t>
        </m:r>
      </m:oMath>
      <w:r>
        <w:t xml:space="preserve">) at the</w:t>
      </w:r>
      <w:r>
        <w:t xml:space="preserve"> </w:t>
      </w:r>
      <w:r>
        <w:t xml:space="preserve">highest-risk cities under all three models, confirming that this</w:t>
      </w:r>
      <w:r>
        <w:t xml:space="preserve"> </w:t>
      </w:r>
      <w:r>
        <w:t xml:space="preserve">finding is not an artefact of the schedule-driven travel assumptions.</w:t>
      </w:r>
    </w:p>
    <w:p>
      <w:pPr>
        <w:pStyle w:val="CaptionedFigure"/>
      </w:pPr>
      <w:r>
        <w:drawing>
          <wp:inline>
            <wp:extent cx="5334000" cy="192024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fig1_heatmap_baselin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Importation risk overview under the Baseline model (Model 1):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≥</m:t>
        </m:r>
        <m:r>
          <m:t>1</m:t>
        </m:r>
        <m:r>
          <m:rPr>
            <m:nor/>
            <m:sty m:val="p"/>
          </m:rPr>
          <m:t> importation</m:t>
        </m:r>
        <m:r>
          <m:rPr>
            <m:sty m:val="p"/>
          </m:rPr>
          <m:t>)</m:t>
        </m:r>
      </m:oMath>
      <w:r>
        <w:t xml:space="preserve"> </w:t>
      </w:r>
      <w:r>
        <w:t xml:space="preserve">using routine June 2024 COR arrivals</w:t>
      </w:r>
      <w:r>
        <w:t xml:space="preserve"> </w:t>
      </w:r>
      <w:r>
        <w:t xml:space="preserve">with no World Cup growth adjustment (MC median, 5,000 draws).</w:t>
      </w:r>
      <w:r>
        <w:t xml:space="preserve"> </w:t>
      </w:r>
      <w:r>
        <w:t xml:space="preserve">Same city and disease ordering as Figure 1 in the main text.</w:t>
      </w:r>
    </w:p>
    <w:p>
      <w:pPr>
        <w:pStyle w:val="CaptionedFigure"/>
      </w:pPr>
      <w:r>
        <w:drawing>
          <wp:inline>
            <wp:extent cx="5334000" cy="192024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fig1_heatmap_wc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Importation risk overview under the WC-adjusted model (Model 2):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≥</m:t>
        </m:r>
        <m:r>
          <m:t>1</m:t>
        </m:r>
        <m:r>
          <m:rPr>
            <m:nor/>
            <m:sty m:val="p"/>
          </m:rPr>
          <m:t> importation</m:t>
        </m:r>
        <m:r>
          <m:rPr>
            <m:sty m:val="p"/>
          </m:rPr>
          <m:t>)</m:t>
        </m:r>
      </m:oMath>
      <w:r>
        <w:t xml:space="preserve"> </w:t>
      </w:r>
      <w:r>
        <w:t xml:space="preserve">using June 2026 projected arrivals</w:t>
      </w:r>
      <w:r>
        <w:t xml:space="preserve"> </w:t>
      </w:r>
      <w:r>
        <w:t xml:space="preserve">scaled by NTTO growth factors (MC median, 5,000 draws).</w:t>
      </w:r>
      <w:r>
        <w:t xml:space="preserve"> </w:t>
      </w:r>
      <w:r>
        <w:t xml:space="preserve">Same city and disease ordering as Figure 1 in the main text.</w:t>
      </w:r>
    </w:p>
    <w:bookmarkEnd w:id="52"/>
    <w:bookmarkStart w:id="56" w:name="Xb3596e7f5f042352669f86318b6f415ceacb7f8"/>
    <w:p>
      <w:pPr>
        <w:pStyle w:val="Heading2"/>
      </w:pPr>
      <w:r>
        <w:t xml:space="preserve">Three-model comparison of importation intensity</w:t>
      </w:r>
    </w:p>
    <w:p>
      <w:pPr>
        <w:pStyle w:val="FirstParagraph"/>
      </w:pPr>
      <w:r>
        <w:t xml:space="preserve">Figure </w:t>
      </w:r>
      <w:hyperlink w:anchor="fig:model_comparison">
        <w:r>
          <w:rPr>
            <w:rStyle w:val="Hyperlink"/>
          </w:rPr>
          <w:t xml:space="preserve">[fig:model_comparison]</w:t>
        </w:r>
      </w:hyperlink>
      <w:r>
        <w:t xml:space="preserve"> </w:t>
      </w:r>
      <w:r>
        <w:t xml:space="preserve">compares expected importation intensity</w:t>
      </w:r>
      <w:r>
        <w:t xml:space="preserve"> </w:t>
      </w:r>
      <w:r>
        <w:t xml:space="preserve">(</w:t>
      </w:r>
      <m:oMath>
        <m:r>
          <m:rPr>
            <m:sty m:val="p"/>
          </m:rPr>
          <m:t>Λ</m:t>
        </m:r>
      </m:oMath>
      <w:r>
        <w:t xml:space="preserve">, median and 95% MC uncertainty interval) across the three nested</w:t>
      </w:r>
      <w:r>
        <w:t xml:space="preserve"> </w:t>
      </w:r>
      <w:r>
        <w:t xml:space="preserve">model tiers for the six highest-risk US cities. The near-uniform step-up from</w:t>
      </w:r>
      <w:r>
        <w:t xml:space="preserve"> </w:t>
      </w:r>
      <w:r>
        <w:t xml:space="preserve">Model 1 to Model 2 reflects proportional amplification driven by the WC growth</w:t>
      </w:r>
      <w:r>
        <w:t xml:space="preserve"> </w:t>
      </w:r>
      <w:r>
        <w:t xml:space="preserve">factor; the further step to Model 3 introduces modest city-specific divergence</w:t>
      </w:r>
      <w:r>
        <w:t xml:space="preserve"> </w:t>
      </w:r>
      <w:r>
        <w:t xml:space="preserve">through schedule-based fan routing, without changing city or disease rankings.</w:t>
      </w:r>
    </w:p>
    <w:p>
      <w:pPr>
        <w:pStyle w:val="CaptionedFigure"/>
      </w:pPr>
      <w:r>
        <w:drawing>
          <wp:inline>
            <wp:extent cx="5334000" cy="3238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fig3_model_comparis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Three-model comparison of expected importations (</w:t>
      </w:r>
      <m:oMath>
        <m:r>
          <m:rPr>
            <m:sty m:val="p"/>
          </m:rPr>
          <m:t>Λ</m:t>
        </m:r>
      </m:oMath>
      <w:r>
        <w:t xml:space="preserve">) for</w:t>
      </w:r>
      <w:r>
        <w:t xml:space="preserve"> </w:t>
      </w:r>
      <w:r>
        <w:t xml:space="preserve">the six highest-risk US venue cities. Each panel shows one disease; bars</w:t>
      </w:r>
      <w:r>
        <w:t xml:space="preserve"> </w:t>
      </w:r>
      <w:r>
        <w:t xml:space="preserve">are grouped by city and filled by model tier: Baseline (Model 1),</w:t>
      </w:r>
      <w:r>
        <w:t xml:space="preserve"> </w:t>
      </w:r>
      <w:r>
        <w:t xml:space="preserve">WC-adjusted (Model 2), and Schedule-driven (Model 3). Bars show the MC</w:t>
      </w:r>
      <w:r>
        <w:t xml:space="preserve"> </w:t>
      </w:r>
      <w:r>
        <w:t xml:space="preserve">median; whiskers span the 95% uncertainty interval. The WC surge</w:t>
      </w:r>
      <w:r>
        <w:t xml:space="preserve"> </w:t>
      </w:r>
      <w:r>
        <w:t xml:space="preserve">amplifies risk proportionally; schedule-based routing introduces modest</w:t>
      </w:r>
      <w:r>
        <w:t xml:space="preserve"> </w:t>
      </w:r>
      <w:r>
        <w:t xml:space="preserve">city-specific divergence but leaves rankings unchanged.</w:t>
      </w:r>
    </w:p>
    <w:bookmarkEnd w:id="56"/>
    <w:bookmarkStart w:id="60" w:name="Xbc5d4837401f9a8db583c35c76b16fa83ffa457"/>
    <w:p>
      <w:pPr>
        <w:pStyle w:val="Heading2"/>
      </w:pPr>
      <w:r>
        <w:t xml:space="preserve">Dengue stream decomposition by source country</w:t>
      </w:r>
    </w:p>
    <w:p>
      <w:pPr>
        <w:pStyle w:val="FirstParagraph"/>
      </w:pPr>
      <w:r>
        <w:t xml:space="preserve">Figure </w:t>
      </w:r>
      <w:hyperlink w:anchor="fig:stream_dengue">
        <w:r>
          <w:rPr>
            <w:rStyle w:val="Hyperlink"/>
          </w:rPr>
          <w:t xml:space="preserve">[fig:stream_dengue]</w:t>
        </w:r>
      </w:hyperlink>
      <w:r>
        <w:t xml:space="preserve"> </w:t>
      </w:r>
      <w:r>
        <w:t xml:space="preserve">shows the dengue-specific travel</w:t>
      </w:r>
      <w:r>
        <w:t xml:space="preserve"> </w:t>
      </w:r>
      <w:r>
        <w:t xml:space="preserve">stream decomposition for the top 20 source countries: background</w:t>
      </w:r>
      <w:r>
        <w:t xml:space="preserve"> </w:t>
      </w:r>
      <w:r>
        <w:t xml:space="preserve">travel (blue) vs. WC fans (orange). The full five-disease stream</w:t>
      </w:r>
      <w:r>
        <w:t xml:space="preserve"> </w:t>
      </w:r>
      <w:r>
        <w:t xml:space="preserve">panel is Figure </w:t>
      </w:r>
      <w:hyperlink w:anchor="fig:stream_panel">
        <w:r>
          <w:rPr>
            <w:rStyle w:val="Hyperlink"/>
          </w:rPr>
          <w:t xml:space="preserve">[fig:stream_panel]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4533900" cy="352636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stream_breakdown_dengu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2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Dengue: importation intensity by travel stream for the</w:t>
      </w:r>
      <w:r>
        <w:t xml:space="preserve"> </w:t>
      </w:r>
      <w:r>
        <w:t xml:space="preserve">top 20 source countries. Blue = background travel; orange = WC fans.</w:t>
      </w:r>
      <w:r>
        <w:t xml:space="preserve"> </w:t>
      </w:r>
      <w:r>
        <w:t xml:space="preserve">Background dominates for all countries; the WC fan increment is</w:t>
      </w:r>
      <w:r>
        <w:t xml:space="preserve"> </w:t>
      </w:r>
      <w:r>
        <w:t xml:space="preserve">largest for high-incidence WC-qualified nations</w:t>
      </w:r>
      <w:r>
        <w:t xml:space="preserve"> </w:t>
      </w:r>
      <w:r>
        <w:t xml:space="preserve">(Brazil, Colombia, Ecuador).</w:t>
      </w:r>
    </w:p>
    <w:bookmarkEnd w:id="60"/>
    <w:bookmarkStart w:id="64" w:name="X8fce92f2900ad31cfaa798f010182d02a8c7396"/>
    <w:p>
      <w:pPr>
        <w:pStyle w:val="Heading2"/>
      </w:pPr>
      <w:r>
        <w:t xml:space="preserve">WC-fan vs. background travel stream decomposition</w:t>
      </w:r>
    </w:p>
    <w:p>
      <w:pPr>
        <w:pStyle w:val="FirstParagraph"/>
      </w:pPr>
      <w:r>
        <w:t xml:space="preserve">Figure </w:t>
      </w:r>
      <w:hyperlink w:anchor="fig:stream_panel">
        <w:r>
          <w:rPr>
            <w:rStyle w:val="Hyperlink"/>
          </w:rPr>
          <w:t xml:space="preserve">[fig:stream_panel]</w:t>
        </w:r>
      </w:hyperlink>
      <w:r>
        <w:t xml:space="preserve"> </w:t>
      </w:r>
      <w:r>
        <w:t xml:space="preserve">decomposes the top 20 contributing</w:t>
      </w:r>
      <w:r>
        <w:t xml:space="preserve"> </w:t>
      </w:r>
      <w:r>
        <w:t xml:space="preserve">countries by travel stream (WC fans vs. background) for each of</w:t>
      </w:r>
      <w:r>
        <w:t xml:space="preserve"> </w:t>
      </w:r>
      <w:r>
        <w:t xml:space="preserve">the five diseases. For WC-qualified countries, the WC-fan stream</w:t>
      </w:r>
      <w:r>
        <w:t xml:space="preserve"> </w:t>
      </w:r>
      <w:r>
        <w:t xml:space="preserve">contributes a meaningful but typically minority share of the total</w:t>
      </w:r>
      <w:r>
        <w:t xml:space="preserve"> </w:t>
      </w:r>
      <w:r>
        <w:t xml:space="preserve">importation intensity, consistent with the</w:t>
      </w:r>
      <w:r>
        <w:t xml:space="preserve"> </w:t>
      </w:r>
      <m:oMath>
        <m:r>
          <m:rPr>
            <m:sty m:val="p"/>
          </m:rPr>
          <m:t>≈</m:t>
        </m:r>
        <m:r>
          <m:t>8.3</m:t>
        </m:r>
        <m:r>
          <m:rPr>
            <m:sty m:val="p"/>
          </m:rPr>
          <m:t>%</m:t>
        </m:r>
      </m:oMath>
      <w:r>
        <w:t xml:space="preserve"> </w:t>
      </w:r>
      <w:r>
        <w:t xml:space="preserve">fan</w:t>
      </w:r>
      <w:r>
        <w:t xml:space="preserve"> </w:t>
      </w:r>
      <w:r>
        <w:t xml:space="preserve">fraction. Non-qualified countries contribute exclusively through the</w:t>
      </w:r>
      <w:r>
        <w:t xml:space="preserve"> </w:t>
      </w:r>
      <w:r>
        <w:t xml:space="preserve">background stream.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stream_breakdown_panel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WC-fan vs. background travel stream decomposition for the</w:t>
      </w:r>
      <w:r>
        <w:t xml:space="preserve"> </w:t>
      </w:r>
      <w:r>
        <w:t xml:space="preserve">top 20 source countries by total importation intensity, for each</w:t>
      </w:r>
      <w:r>
        <w:t xml:space="preserve"> </w:t>
      </w:r>
      <w:r>
        <w:t xml:space="preserve">of the five diseases.</w:t>
      </w:r>
      <w:r>
        <w:t xml:space="preserve"> </w:t>
      </w:r>
      <w:r>
        <w:t xml:space="preserve">Orange</w:t>
      </w:r>
      <w:r>
        <w:t xml:space="preserve"> </w:t>
      </w:r>
      <w:r>
        <w:t xml:space="preserve">= WC fans;</w:t>
      </w:r>
      <w:r>
        <w:t xml:space="preserve"> </w:t>
      </w:r>
      <w:r>
        <w:t xml:space="preserve">Blue</w:t>
      </w:r>
      <w:r>
        <w:t xml:space="preserve"> </w:t>
      </w:r>
      <w:r>
        <w:t xml:space="preserve">= background. Countries with WC</w:t>
      </w:r>
      <w:r>
        <w:t xml:space="preserve"> </w:t>
      </w:r>
      <w:r>
        <w:t xml:space="preserve">teams show a non-zero WC-fan component; non-qualified countries</w:t>
      </w:r>
      <w:r>
        <w:t xml:space="preserve"> </w:t>
      </w:r>
      <w:r>
        <w:t xml:space="preserve">contribute only through background travel.</w:t>
      </w:r>
    </w:p>
    <w:bookmarkEnd w:id="64"/>
    <w:bookmarkStart w:id="80" w:name="country-times-city-importation-heatmaps"/>
    <w:p>
      <w:pPr>
        <w:pStyle w:val="Heading2"/>
      </w:pPr>
      <w:r>
        <w:t xml:space="preserve">Country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city importation heatmaps</w:t>
      </w:r>
    </w:p>
    <w:p>
      <w:pPr>
        <w:pStyle w:val="FirstParagraph"/>
      </w:pPr>
      <w:r>
        <w:t xml:space="preserve">Figures </w:t>
      </w:r>
      <w:hyperlink w:anchor="fig:heatmap_dengue">
        <w:r>
          <w:rPr>
            <w:rStyle w:val="Hyperlink"/>
          </w:rPr>
          <w:t xml:space="preserve">[fig:heatmap_dengue]</w:t>
        </w:r>
      </w:hyperlink>
      <w:r>
        <w:t xml:space="preserve">–</w:t>
      </w:r>
      <w:hyperlink w:anchor="fig:heatmap_influenza">
        <w:r>
          <w:rPr>
            <w:rStyle w:val="Hyperlink"/>
          </w:rPr>
          <w:t xml:space="preserve">[fig:heatmap_influenza]</w:t>
        </w:r>
      </w:hyperlink>
      <w:r>
        <w:t xml:space="preserve"> </w:t>
      </w:r>
      <w:r>
        <w:t xml:space="preserve">present</w:t>
      </w:r>
      <w:r>
        <w:t xml:space="preserve"> </w:t>
      </w:r>
      <w:r>
        <w:t xml:space="preserve">the country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city importation matrix (</w:t>
      </w:r>
      <m:oMath>
        <m:sSub>
          <m:e>
            <m:r>
              <m:t>λ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d</m:t>
            </m:r>
          </m:sub>
        </m:sSub>
      </m:oMath>
      <w:r>
        <w:t xml:space="preserve">)</w:t>
      </w:r>
      <w:r>
        <w:t xml:space="preserve"> </w:t>
      </w:r>
      <w:r>
        <w:t xml:space="preserve">for each disease. WC-qualified countries from high-incidence regions</w:t>
      </w:r>
      <w:r>
        <w:t xml:space="preserve"> </w:t>
      </w:r>
      <w:r>
        <w:t xml:space="preserve">show importation concentrated at the venue cities where their team</w:t>
      </w:r>
      <w:r>
        <w:t xml:space="preserve"> </w:t>
      </w:r>
      <w:r>
        <w:t xml:space="preserve">plays, producing a block-diagonal structure aligned with the match</w:t>
      </w:r>
      <w:r>
        <w:t xml:space="preserve"> </w:t>
      </w:r>
      <w:r>
        <w:t xml:space="preserve">schedule. Non-qualified countries show importation spread diffusely</w:t>
      </w:r>
      <w:r>
        <w:t xml:space="preserve"> </w:t>
      </w:r>
      <w:r>
        <w:t xml:space="preserve">across cities in proportion to T-100 routing fractions.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heatmap_dengu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Dengue importation matrix: expected importations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by source country (rows) and destination city</w:t>
      </w:r>
      <w:r>
        <w:t xml:space="preserve"> </w:t>
      </w:r>
      <w:r>
        <w:t xml:space="preserve">(columns) under the schedule-driven model.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/heatmap_malaria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Malaria importation matrix. Risk is concentrated in West</w:t>
      </w:r>
      <w:r>
        <w:t xml:space="preserve"> </w:t>
      </w:r>
      <w:r>
        <w:t xml:space="preserve">and Central African source countries.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ures/heatmap_measl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Measles importation matrix. Low absolute intensities</w:t>
      </w:r>
      <w:r>
        <w:t xml:space="preserve"> </w:t>
      </w:r>
      <w:r>
        <w:t xml:space="preserve">across all cells reflect the low travel-while-infectious</w:t>
      </w:r>
      <w:r>
        <w:t xml:space="preserve"> </w:t>
      </w:r>
      <w:r>
        <w:t xml:space="preserve">probability (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).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/heatmap_pertussi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Pertussis importation matrix. The broad geographic spread</w:t>
      </w:r>
      <w:r>
        <w:t xml:space="preserve"> </w:t>
      </w:r>
      <w:r>
        <w:t xml:space="preserve">reflects pertussis’s global endemicity and high</w:t>
      </w:r>
      <w:r>
        <w:t xml:space="preserve"> </w:t>
      </w:r>
      <w:r>
        <w:t xml:space="preserve">travel-while-infectious probability (</w:t>
      </w:r>
      <m:oMath>
        <m:r>
          <m:t>p</m:t>
        </m:r>
        <m:r>
          <m:rPr>
            <m:sty m:val="p"/>
          </m:rPr>
          <m:t>=</m:t>
        </m:r>
        <m:r>
          <m:t>0.70</m:t>
        </m:r>
      </m:oMath>
      <w:r>
        <w:t xml:space="preserve">).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gures/heatmap_influenza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Influenza importation matrix. Risk is highest for Southern</w:t>
      </w:r>
      <w:r>
        <w:t xml:space="preserve"> </w:t>
      </w:r>
      <w:r>
        <w:t xml:space="preserve">Hemisphere nations (Brazil, Argentina, Colombia) whose June peak</w:t>
      </w:r>
      <w:r>
        <w:t xml:space="preserve"> </w:t>
      </w:r>
      <w:r>
        <w:t xml:space="preserve">transmission coincides with the tournament window.</w:t>
      </w:r>
    </w:p>
    <w:bookmarkEnd w:id="80"/>
    <w:bookmarkEnd w:id="81"/>
    <w:bookmarkStart w:id="83" w:name="X0c2f6cb387cdf94d1ed56910468e4082418c5ec"/>
    <w:p>
      <w:pPr>
        <w:pStyle w:val="Heading1"/>
      </w:pPr>
      <w:r>
        <w:t xml:space="preserve">Appendix C: Data Limitations and Improvement Opportunities</w:t>
      </w:r>
    </w:p>
    <w:bookmarkStart w:id="82" w:name="X8e2f0dc4d95e78eb347837aed50a77c795fb39c"/>
    <w:p>
      <w:pPr>
        <w:pStyle w:val="Heading2"/>
      </w:pPr>
      <w:r>
        <w:t xml:space="preserve">The role of non-public data in improving importation risk estimates</w:t>
      </w:r>
    </w:p>
    <w:p>
      <w:pPr>
        <w:pStyle w:val="FirstParagraph"/>
      </w:pPr>
      <w:r>
        <w:t xml:space="preserve">The framework presented here relies entirely on publicly available</w:t>
      </w:r>
      <w:r>
        <w:t xml:space="preserve"> </w:t>
      </w:r>
      <w:r>
        <w:t xml:space="preserve">data sources — a deliberate choice that ensures reproducibility and</w:t>
      </w:r>
      <w:r>
        <w:t xml:space="preserve"> </w:t>
      </w:r>
      <w:r>
        <w:t xml:space="preserve">allows the model to be updated by any public health team with internet</w:t>
      </w:r>
      <w:r>
        <w:t xml:space="preserve"> </w:t>
      </w:r>
      <w:r>
        <w:t xml:space="preserve">access. However, several categories of proprietary and restricted-access</w:t>
      </w:r>
      <w:r>
        <w:t xml:space="preserve"> </w:t>
      </w:r>
      <w:r>
        <w:t xml:space="preserve">data exist that would substantially improve the precision, timeliness,</w:t>
      </w:r>
      <w:r>
        <w:t xml:space="preserve"> </w:t>
      </w:r>
      <w:r>
        <w:t xml:space="preserve">and scope of the estimates, and their absence represents the primary</w:t>
      </w:r>
      <w:r>
        <w:t xml:space="preserve"> </w:t>
      </w:r>
      <w:r>
        <w:t xml:space="preserve">structural limitation of the current analysis.</w:t>
      </w:r>
    </w:p>
    <w:p>
      <w:pPr>
        <w:pStyle w:val="BodyText"/>
      </w:pPr>
      <w:r>
        <w:t xml:space="preserve">The most valuable single dataset for this purpose would be</w:t>
      </w:r>
      <w:r>
        <w:t xml:space="preserve"> </w:t>
      </w:r>
      <w:r>
        <w:rPr>
          <w:b/>
          <w:bCs/>
        </w:rPr>
        <w:t xml:space="preserve">airline booking and ticketing data</w:t>
      </w:r>
      <w:r>
        <w:t xml:space="preserve">. Companies such as OAG</w:t>
      </w:r>
      <w:r>
        <w:t xml:space="preserve"> </w:t>
      </w:r>
      <w:r>
        <w:t xml:space="preserve">(Official Aviation Guide), Amadeus Travel Intelligence, and IATA’s</w:t>
      </w:r>
      <w:r>
        <w:t xml:space="preserve"> </w:t>
      </w:r>
      <w:r>
        <w:t xml:space="preserve">PaxIS programme maintain origin-to-destination itinerary-level passenger</w:t>
      </w:r>
      <w:r>
        <w:t xml:space="preserve"> </w:t>
      </w:r>
      <w:r>
        <w:t xml:space="preserve">records that cover not only the nonstop international segment (as T-100</w:t>
      </w:r>
      <w:r>
        <w:t xml:space="preserve"> </w:t>
      </w:r>
      <w:r>
        <w:t xml:space="preserve">does) but the full trip, including domestic connecting legs to non-gateway</w:t>
      </w:r>
      <w:r>
        <w:t xml:space="preserve"> </w:t>
      </w:r>
      <w:r>
        <w:t xml:space="preserve">cities such as Kansas City and Seattle. These records are updated in</w:t>
      </w:r>
      <w:r>
        <w:t xml:space="preserve"> </w:t>
      </w:r>
      <w:r>
        <w:t xml:space="preserve">near-real time and can be filtered to the specific June–July 2026 travel</w:t>
      </w:r>
      <w:r>
        <w:t xml:space="preserve"> </w:t>
      </w:r>
      <w:r>
        <w:t xml:space="preserve">window rather than relying on historical routing fractions as a proxy for</w:t>
      </w:r>
      <w:r>
        <w:t xml:space="preserve"> </w:t>
      </w:r>
      <w:r>
        <w:t xml:space="preserve">future behavior. Similarly,</w:t>
      </w:r>
      <w:r>
        <w:t xml:space="preserve"> </w:t>
      </w:r>
      <w:r>
        <w:rPr>
          <w:b/>
          <w:bCs/>
        </w:rPr>
        <w:t xml:space="preserve">FIFA ticket sales records by country</w:t>
      </w:r>
      <w:r>
        <w:rPr>
          <w:b/>
          <w:bCs/>
        </w:rPr>
        <w:t xml:space="preserve"> </w:t>
      </w:r>
      <w:r>
        <w:rPr>
          <w:b/>
          <w:bCs/>
        </w:rPr>
        <w:t xml:space="preserve">of purchase</w:t>
      </w:r>
      <w:r>
        <w:t xml:space="preserve">, while not publicly released, would replace the entire</w:t>
      </w:r>
      <w:r>
        <w:t xml:space="preserve"> </w:t>
      </w:r>
      <w:r>
        <w:t xml:space="preserve">WC-fan travel decomposition framework with a direct, event-specific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Beyond travel data, the precision of disease burden estimates is</w:t>
      </w:r>
      <w:r>
        <w:t xml:space="preserve"> </w:t>
      </w:r>
      <w:r>
        <w:t xml:space="preserve">constrained by the reliance on</w:t>
      </w:r>
      <w:r>
        <w:t xml:space="preserve"> </w:t>
      </w:r>
      <w:r>
        <w:rPr>
          <w:b/>
          <w:bCs/>
        </w:rPr>
        <w:t xml:space="preserve">WHO surveillance data</w:t>
      </w:r>
      <w:r>
        <w:t xml:space="preserve">, which is</w:t>
      </w:r>
      <w:r>
        <w:t xml:space="preserve"> </w:t>
      </w:r>
      <w:r>
        <w:t xml:space="preserve">subject to reporting lags, inconsistent national case definitions, and</w:t>
      </w:r>
      <w:r>
        <w:t xml:space="preserve"> </w:t>
      </w:r>
      <w:r>
        <w:t xml:space="preserve">known under-ascertainment. National or regional health ministry</w:t>
      </w:r>
      <w:r>
        <w:t xml:space="preserve"> </w:t>
      </w:r>
      <w:r>
        <w:rPr>
          <w:b/>
          <w:bCs/>
        </w:rPr>
        <w:t xml:space="preserve">line-list or case-count data</w:t>
      </w:r>
      <w:r>
        <w:t xml:space="preserve"> </w:t>
      </w:r>
      <w:r>
        <w:t xml:space="preserve">shared through WHO regional offices,</w:t>
      </w:r>
      <w:r>
        <w:t xml:space="preserve"> </w:t>
      </w:r>
      <w:r>
        <w:t xml:space="preserve">the Pan American Health Organization (PAHO), or the European Centre for</w:t>
      </w:r>
      <w:r>
        <w:t xml:space="preserve"> </w:t>
      </w:r>
      <w:r>
        <w:t xml:space="preserve">Disease Prevention and Control (ECDC) often contain more current and</w:t>
      </w:r>
      <w:r>
        <w:t xml:space="preserve"> </w:t>
      </w:r>
      <w:r>
        <w:t xml:space="preserve">complete figures than what appears in the publicly indexed datasets used</w:t>
      </w:r>
      <w:r>
        <w:t xml:space="preserve"> </w:t>
      </w:r>
      <w:r>
        <w:t xml:space="preserve">here. For measles and pertussis,</w:t>
      </w:r>
      <w:r>
        <w:t xml:space="preserve"> </w:t>
      </w:r>
      <w:r>
        <w:rPr>
          <w:b/>
          <w:bCs/>
        </w:rPr>
        <w:t xml:space="preserve">age-stratified incidence and</w:t>
      </w:r>
      <w:r>
        <w:rPr>
          <w:b/>
          <w:bCs/>
        </w:rPr>
        <w:t xml:space="preserve"> </w:t>
      </w:r>
      <w:r>
        <w:rPr>
          <w:b/>
          <w:bCs/>
        </w:rPr>
        <w:t xml:space="preserve">national vaccination coverage data</w:t>
      </w:r>
      <w:r>
        <w:t xml:space="preserve"> </w:t>
      </w:r>
      <w:r>
        <w:t xml:space="preserve">at the subnational level would</w:t>
      </w:r>
      <w:r>
        <w:t xml:space="preserve"> </w:t>
      </w:r>
      <w:r>
        <w:t xml:space="preserve">substantially improve the per-traveler infection probability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sub>
        </m:sSub>
      </m:oMath>
      <w:r>
        <w:t xml:space="preserve"> </w:t>
      </w:r>
      <w:r>
        <w:t xml:space="preserve">by accounting for the fact that international travelers skew toward</w:t>
      </w:r>
      <w:r>
        <w:t xml:space="preserve"> </w:t>
      </w:r>
      <w:r>
        <w:t xml:space="preserve">working-age adults.</w:t>
      </w:r>
    </w:p>
    <w:p>
      <w:pPr>
        <w:pStyle w:val="BodyText"/>
      </w:pPr>
      <w:r>
        <w:t xml:space="preserve">Finally, the current model estimates importation risk but stops short</w:t>
      </w:r>
      <w:r>
        <w:t xml:space="preserve"> </w:t>
      </w:r>
      <w:r>
        <w:t xml:space="preserve">of estimating local transmission risk after importation. Extending the</w:t>
      </w:r>
      <w:r>
        <w:t xml:space="preserve"> </w:t>
      </w:r>
      <w:r>
        <w:t xml:space="preserve">framework in that direction would require</w:t>
      </w:r>
      <w:r>
        <w:t xml:space="preserve"> </w:t>
      </w:r>
      <w:r>
        <w:rPr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Aedes aegypti</w:t>
      </w:r>
      <w:r>
        <w:rPr>
          <w:b/>
          <w:bCs/>
        </w:rPr>
        <w:t xml:space="preserve"> </w:t>
      </w:r>
      <w:r>
        <w:rPr>
          <w:b/>
          <w:bCs/>
        </w:rPr>
        <w:t xml:space="preserve">vector surveillance data</w:t>
      </w:r>
      <w:r>
        <w:t xml:space="preserve"> </w:t>
      </w:r>
      <w:r>
        <w:t xml:space="preserve">from state and</w:t>
      </w:r>
      <w:r>
        <w:t xml:space="preserve"> </w:t>
      </w:r>
      <w:r>
        <w:t xml:space="preserve">county health departments,</w:t>
      </w:r>
      <w:r>
        <w:t xml:space="preserve"> </w:t>
      </w:r>
      <w:r>
        <w:rPr>
          <w:b/>
          <w:bCs/>
        </w:rPr>
        <w:t xml:space="preserve">hospital and public health capacity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by city and county, and</w:t>
      </w:r>
      <w:r>
        <w:t xml:space="preserve"> </w:t>
      </w:r>
      <w:r>
        <w:rPr>
          <w:b/>
          <w:bCs/>
        </w:rPr>
        <w:t xml:space="preserve">aggregated mobility data</w:t>
      </w:r>
      <w:r>
        <w:t xml:space="preserve"> </w:t>
      </w:r>
      <w:r>
        <w:t xml:space="preserve">from</w:t>
      </w:r>
      <w:r>
        <w:t xml:space="preserve"> </w:t>
      </w:r>
      <w:r>
        <w:t xml:space="preserve">mobile device providers to calibrate the spatial spread of fans within</w:t>
      </w:r>
      <w:r>
        <w:t xml:space="preserve"> </w:t>
      </w:r>
      <w:r>
        <w:t xml:space="preserve">and between cities. Establishing data-sharing agreements with the</w:t>
      </w:r>
      <w:r>
        <w:t xml:space="preserve"> </w:t>
      </w:r>
      <w:r>
        <w:t xml:space="preserve">relevant agencies and commercial providers before the tournament</w:t>
      </w:r>
      <w:r>
        <w:t xml:space="preserve"> </w:t>
      </w:r>
      <w:r>
        <w:t xml:space="preserve">begins would allow these estimates to be refined and operationalized</w:t>
      </w:r>
      <w:r>
        <w:t xml:space="preserve"> </w:t>
      </w:r>
      <w:r>
        <w:t xml:space="preserve">in real time during June–July 2026.</w:t>
      </w:r>
    </w:p>
    <w:bookmarkEnd w:id="82"/>
    <w:bookmarkEnd w:id="83"/>
    <w:bookmarkStart w:id="106" w:name="X836622b8e75618d47fd41d68847c3e429a47743"/>
    <w:p>
      <w:pPr>
        <w:pStyle w:val="Heading1"/>
      </w:pPr>
      <w:r>
        <w:t xml:space="preserve">Appendix D: Qualified Nations — 2026 FIFA World Cup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Confederation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Host 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Confederation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Host nation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Continued on next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Saudi Arabia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Uzbekistan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Jordan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Morocco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Tunisia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Ivory Coast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Curaçao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CONCACAF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CONMEBOL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CONMEBOL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Ecuador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CONMEBOL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Paraguay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CONMEBOL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Uruguay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CONMEBOL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CONMEBOL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Croatia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Bosnia and Herzegovina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 Republic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Zealand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</w:t>
      </w:r>
      <w:r>
        <w:t xml:space="preserve">: Confederation abbreviations — AFC: Asian Football</w:t>
      </w:r>
      <w:r>
        <w:t xml:space="preserve"> </w:t>
      </w:r>
      <w:r>
        <w:t xml:space="preserve">Confederation; CAF: Confederation of African Football; CONCACAF:</w:t>
      </w:r>
      <w:r>
        <w:t xml:space="preserve"> </w:t>
      </w:r>
      <w:r>
        <w:t xml:space="preserve">Confederation of North, Central America and Caribbean Association</w:t>
      </w:r>
      <w:r>
        <w:t xml:space="preserve"> </w:t>
      </w:r>
      <w:r>
        <w:t xml:space="preserve">Football; CONMEBOL: South American Football Confederation; UEFA:</w:t>
      </w:r>
      <w:r>
        <w:t xml:space="preserve"> </w:t>
      </w:r>
      <w:r>
        <w:t xml:space="preserve">Union of European Football Associations; OFC: Oceania Football</w:t>
      </w:r>
      <w:r>
        <w:t xml:space="preserve"> </w:t>
      </w:r>
      <w:r>
        <w:t xml:space="preserve">Confederation.</w:t>
      </w:r>
    </w:p>
    <w:bookmarkStart w:id="105" w:name="refs"/>
    <w:bookmarkStart w:id="85" w:name="ref-bhatt2013"/>
    <w:p>
      <w:pPr>
        <w:pStyle w:val="Bibliography"/>
      </w:pPr>
      <w:r>
        <w:t xml:space="preserve">Bhatt, Samir, Peter W Gething, Oliver J Brady, et al.</w:t>
      </w:r>
      <w:r>
        <w:t xml:space="preserve"> 2013.</w:t>
      </w:r>
      <w:r>
        <w:t xml:space="preserve"> </w:t>
      </w:r>
      <w:r>
        <w:t xml:space="preserve">“The Global Distribution and Burden of Dengue.”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496: 504–7.</w:t>
      </w:r>
      <w:r>
        <w:t xml:space="preserve"> </w:t>
      </w:r>
      <w:hyperlink r:id="rId84">
        <w:r>
          <w:rPr>
            <w:rStyle w:val="Hyperlink"/>
          </w:rPr>
          <w:t xml:space="preserve">https://doi.org/10.1038/nature12060</w:t>
        </w:r>
      </w:hyperlink>
      <w:r>
        <w:t xml:space="preserve">.</w:t>
      </w:r>
    </w:p>
    <w:bookmarkEnd w:id="85"/>
    <w:bookmarkStart w:id="87" w:name="ref-BTS_T100"/>
    <w:p>
      <w:pPr>
        <w:pStyle w:val="Bibliography"/>
      </w:pPr>
      <w:r>
        <w:t xml:space="preserve">Bureau of Transportation Statistics. 2026.</w:t>
      </w:r>
      <w:r>
        <w:t xml:space="preserve"> </w:t>
      </w:r>
      <w:r>
        <w:rPr>
          <w:i/>
          <w:iCs/>
        </w:rPr>
        <w:t xml:space="preserve">T-100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Segment (All Carriers) — Form 41 Traffic Data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Https://www.transtats.bts.gov/DL_SelectFields.aspx?gnoyr_VQ=FJE</w:t>
        </w:r>
      </w:hyperlink>
      <w:r>
        <w:t xml:space="preserve">.</w:t>
      </w:r>
    </w:p>
    <w:bookmarkEnd w:id="87"/>
    <w:bookmarkStart w:id="88" w:name="ref-Herrera2024"/>
    <w:p>
      <w:pPr>
        <w:pStyle w:val="Bibliography"/>
      </w:pPr>
      <w:r>
        <w:t xml:space="preserve">Herrera-Diestra, Jose Luis et al.</w:t>
      </w:r>
      <w:r>
        <w:t xml:space="preserve"> 2026.</w:t>
      </w:r>
      <w:r>
        <w:t xml:space="preserve"> </w:t>
      </w:r>
      <w:r>
        <w:t xml:space="preserve">“Importation Risk of Infectious Diseases During the</w:t>
      </w:r>
      <w:r>
        <w:t xml:space="preserve"> </w:t>
      </w:r>
      <w:r>
        <w:t xml:space="preserve">FIFA</w:t>
      </w:r>
      <w:r>
        <w:t xml:space="preserve"> </w:t>
      </w:r>
      <w:r>
        <w:t xml:space="preserve">World Cup</w:t>
      </w:r>
      <w:r>
        <w:t xml:space="preserve"> </w:t>
      </w:r>
      <w:r>
        <w:t xml:space="preserve">2026.”</w:t>
      </w:r>
      <w:r>
        <w:t xml:space="preserve"> </w:t>
      </w:r>
      <w:r>
        <w:rPr>
          <w:i/>
          <w:iCs/>
        </w:rPr>
        <w:t xml:space="preserve">[Journal TBD]</w:t>
      </w:r>
      <w:r>
        <w:t xml:space="preserve">.</w:t>
      </w:r>
    </w:p>
    <w:bookmarkEnd w:id="88"/>
    <w:bookmarkStart w:id="90" w:name="ref-mclaughlin2016"/>
    <w:p>
      <w:pPr>
        <w:pStyle w:val="Bibliography"/>
      </w:pPr>
      <w:r>
        <w:t xml:space="preserve">McLaughlin, John M, David L Swerdlow, Sarah Isdale, et al.</w:t>
      </w:r>
      <w:r>
        <w:t xml:space="preserve"> 2016.</w:t>
      </w:r>
      <w:r>
        <w:t xml:space="preserve"> </w:t>
      </w:r>
      <w:r>
        <w:t xml:space="preserve">“Estimated Incidence of Pertussis in People Aged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50 Years in the</w:t>
      </w:r>
      <w:r>
        <w:t xml:space="preserve"> </w:t>
      </w:r>
      <w:r>
        <w:t xml:space="preserve">United States</w:t>
      </w:r>
      <w:r>
        <w:t xml:space="preserve">.”</w:t>
      </w:r>
      <w:r>
        <w:t xml:space="preserve"> </w:t>
      </w:r>
      <w:r>
        <w:rPr>
          <w:i/>
          <w:iCs/>
        </w:rPr>
        <w:t xml:space="preserve">Epidemiology &amp; Infection</w:t>
      </w:r>
      <w:r>
        <w:t xml:space="preserve"> </w:t>
      </w:r>
      <w:r>
        <w:t xml:space="preserve">144 (13): 2676–84.</w:t>
      </w:r>
      <w:r>
        <w:t xml:space="preserve"> </w:t>
      </w:r>
      <w:hyperlink r:id="rId89">
        <w:r>
          <w:rPr>
            <w:rStyle w:val="Hyperlink"/>
          </w:rPr>
          <w:t xml:space="preserve">https://doi.org/10.1017/S0950268816001126</w:t>
        </w:r>
      </w:hyperlink>
      <w:r>
        <w:t xml:space="preserve">.</w:t>
      </w:r>
    </w:p>
    <w:bookmarkEnd w:id="90"/>
    <w:bookmarkStart w:id="92" w:name="ref-NTTO2025"/>
    <w:p>
      <w:pPr>
        <w:pStyle w:val="Bibliography"/>
      </w:pPr>
      <w:r>
        <w:t xml:space="preserve">National Travel and Tourism Office. 2025.</w:t>
      </w:r>
      <w:r>
        <w:t xml:space="preserve"> </w:t>
      </w:r>
      <w:r>
        <w:rPr>
          <w:i/>
          <w:iCs/>
        </w:rPr>
        <w:t xml:space="preserve">International Visitor Forecast: 2025–2029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Https://www.trade.gov/travel-and-tourism-forecasts</w:t>
        </w:r>
      </w:hyperlink>
      <w:r>
        <w:t xml:space="preserve">.</w:t>
      </w:r>
    </w:p>
    <w:bookmarkEnd w:id="92"/>
    <w:bookmarkStart w:id="94" w:name="ref-simons2012"/>
    <w:p>
      <w:pPr>
        <w:pStyle w:val="Bibliography"/>
      </w:pPr>
      <w:r>
        <w:t xml:space="preserve">Simons, Emily, Matthew Ferrari, John Fricks, et al.</w:t>
      </w:r>
      <w:r>
        <w:t xml:space="preserve"> 2012.</w:t>
      </w:r>
      <w:r>
        <w:t xml:space="preserve"> </w:t>
      </w:r>
      <w:r>
        <w:t xml:space="preserve">“Assessment of the 2010 Global Measles Mortality Reduction Goal: Results from a Model of Surveillance Data.”</w:t>
      </w:r>
      <w:r>
        <w:t xml:space="preserve"> </w:t>
      </w:r>
      <w:r>
        <w:rPr>
          <w:i/>
          <w:iCs/>
        </w:rPr>
        <w:t xml:space="preserve">The Lancet</w:t>
      </w:r>
      <w:r>
        <w:t xml:space="preserve"> </w:t>
      </w:r>
      <w:r>
        <w:t xml:space="preserve">379 (9832): 2173–78.</w:t>
      </w:r>
      <w:r>
        <w:t xml:space="preserve"> </w:t>
      </w:r>
      <w:hyperlink r:id="rId93">
        <w:r>
          <w:rPr>
            <w:rStyle w:val="Hyperlink"/>
          </w:rPr>
          <w:t xml:space="preserve">https://doi.org/10.1016/S0140-6736(12)60522-4</w:t>
        </w:r>
      </w:hyperlink>
      <w:r>
        <w:t xml:space="preserve">.</w:t>
      </w:r>
    </w:p>
    <w:bookmarkEnd w:id="94"/>
    <w:bookmarkStart w:id="96" w:name="ref-undurraga2013"/>
    <w:p>
      <w:pPr>
        <w:pStyle w:val="Bibliography"/>
      </w:pPr>
      <w:r>
        <w:t xml:space="preserve">Undurraga, Eduardo A, Yara A Halasa, and Donald S Shepard. 2013.</w:t>
      </w:r>
      <w:r>
        <w:t xml:space="preserve"> </w:t>
      </w:r>
      <w:r>
        <w:t xml:space="preserve">“Use of Expansion Factors to Estimate the Burden of Dengue in</w:t>
      </w:r>
      <w:r>
        <w:t xml:space="preserve"> </w:t>
      </w:r>
      <w:r>
        <w:t xml:space="preserve">Southeast Asia</w:t>
      </w:r>
      <w:r>
        <w:t xml:space="preserve">: A Systematic Analysis.”</w:t>
      </w:r>
      <w:r>
        <w:t xml:space="preserve"> </w:t>
      </w:r>
      <w:r>
        <w:rPr>
          <w:i/>
          <w:iCs/>
        </w:rPr>
        <w:t xml:space="preserve">PLOS Neglected Tropical Diseases</w:t>
      </w:r>
      <w:r>
        <w:t xml:space="preserve"> </w:t>
      </w:r>
      <w:r>
        <w:t xml:space="preserve">7 (2): e2056.</w:t>
      </w:r>
      <w:r>
        <w:t xml:space="preserve"> </w:t>
      </w:r>
      <w:hyperlink r:id="rId95">
        <w:r>
          <w:rPr>
            <w:rStyle w:val="Hyperlink"/>
          </w:rPr>
          <w:t xml:space="preserve">https://doi.org/10.1371/journal.pntd.0002056</w:t>
        </w:r>
      </w:hyperlink>
      <w:r>
        <w:t xml:space="preserve">.</w:t>
      </w:r>
    </w:p>
    <w:bookmarkEnd w:id="96"/>
    <w:bookmarkStart w:id="98" w:name="ref-CBP_I94"/>
    <w:p>
      <w:pPr>
        <w:pStyle w:val="Bibliography"/>
      </w:pPr>
      <w:r>
        <w:t xml:space="preserve">US Customs and Border Protection. 2026.</w:t>
      </w:r>
      <w:r>
        <w:t xml:space="preserve"> </w:t>
      </w:r>
      <w:r>
        <w:rPr>
          <w:i/>
          <w:iCs/>
        </w:rPr>
        <w:t xml:space="preserve">Monthly Arrivals by Country of Residence (</w:t>
      </w:r>
      <w:r>
        <w:rPr>
          <w:i/>
          <w:iCs/>
        </w:rPr>
        <w:t xml:space="preserve">I-94</w:t>
      </w:r>
      <w:r>
        <w:rPr>
          <w:i/>
          <w:iCs/>
        </w:rPr>
        <w:t xml:space="preserve"> </w:t>
      </w:r>
      <w:r>
        <w:rPr>
          <w:i/>
          <w:iCs/>
        </w:rPr>
        <w:t xml:space="preserve">Data)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Https://travel.trade.gov</w:t>
        </w:r>
      </w:hyperlink>
      <w:r>
        <w:t xml:space="preserve">.</w:t>
      </w:r>
    </w:p>
    <w:bookmarkEnd w:id="98"/>
    <w:bookmarkStart w:id="100" w:name="ref-whoWMR2024"/>
    <w:p>
      <w:pPr>
        <w:pStyle w:val="Bibliography"/>
      </w:pPr>
      <w:r>
        <w:t xml:space="preserve">World Health Organization. 2024.</w:t>
      </w:r>
      <w:r>
        <w:t xml:space="preserve"> </w:t>
      </w:r>
      <w:r>
        <w:rPr>
          <w:i/>
          <w:iCs/>
        </w:rPr>
        <w:t xml:space="preserve">World Malaria Report 2024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Https://www.who.int/teams/global-malaria-programme/reports/world-malaria-report-2024</w:t>
        </w:r>
      </w:hyperlink>
      <w:r>
        <w:t xml:space="preserve">.</w:t>
      </w:r>
    </w:p>
    <w:bookmarkEnd w:id="100"/>
    <w:bookmarkStart w:id="102" w:name="ref-WHO_dengue"/>
    <w:p>
      <w:pPr>
        <w:pStyle w:val="Bibliography"/>
      </w:pPr>
      <w:r>
        <w:t xml:space="preserve">World Health Organization. 2025a.</w:t>
      </w:r>
      <w:r>
        <w:t xml:space="preserve"> </w:t>
      </w:r>
      <w:r>
        <w:rPr>
          <w:i/>
          <w:iCs/>
        </w:rPr>
        <w:t xml:space="preserve">Global Dengue Surveillance Dataset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Https://www.who.int/data/gho</w:t>
        </w:r>
      </w:hyperlink>
      <w:r>
        <w:t xml:space="preserve">.</w:t>
      </w:r>
    </w:p>
    <w:bookmarkEnd w:id="102"/>
    <w:bookmarkStart w:id="104" w:name="ref-WHO_immunization"/>
    <w:p>
      <w:pPr>
        <w:pStyle w:val="Bibliography"/>
      </w:pPr>
      <w:r>
        <w:t xml:space="preserve">World Health Organization. 2025b.</w:t>
      </w:r>
      <w:r>
        <w:t xml:space="preserve"> </w:t>
      </w:r>
      <w:r>
        <w:rPr>
          <w:i/>
          <w:iCs/>
        </w:rPr>
        <w:t xml:space="preserve">Immunization Data: Reported Cases and Incidence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Https://immunizationdata.who.int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9" Target="media/rId9.png" /><Relationship Type="http://schemas.openxmlformats.org/officeDocument/2006/relationships/hyperlink" Id="rId93" Target="https://doi.org/10.1016/S0140-6736(12)60522-4" TargetMode="External" /><Relationship Type="http://schemas.openxmlformats.org/officeDocument/2006/relationships/hyperlink" Id="rId89" Target="https://doi.org/10.1017/S0950268816001126" TargetMode="External" /><Relationship Type="http://schemas.openxmlformats.org/officeDocument/2006/relationships/hyperlink" Id="rId84" Target="https://doi.org/10.1038/nature12060" TargetMode="External" /><Relationship Type="http://schemas.openxmlformats.org/officeDocument/2006/relationships/hyperlink" Id="rId95" Target="https://doi.org/10.1371/journal.pntd.0002056" TargetMode="External" /><Relationship Type="http://schemas.openxmlformats.org/officeDocument/2006/relationships/hyperlink" Id="rId39" Target="https://github.com/jdiestra1977/FIFA_worldCup_2026_risk" TargetMode="External" /><Relationship Type="http://schemas.openxmlformats.org/officeDocument/2006/relationships/hyperlink" Id="rId103" Target="https://immunizationdata.who.int" TargetMode="External" /><Relationship Type="http://schemas.openxmlformats.org/officeDocument/2006/relationships/hyperlink" Id="rId97" Target="https://travel.trade.gov" TargetMode="External" /><Relationship Type="http://schemas.openxmlformats.org/officeDocument/2006/relationships/hyperlink" Id="rId91" Target="https://www.trade.gov/travel-and-tourism-forecasts" TargetMode="External" /><Relationship Type="http://schemas.openxmlformats.org/officeDocument/2006/relationships/hyperlink" Id="rId86" Target="https://www.transtats.bts.gov/DL_SelectFields.aspx?gnoyr_VQ=FJE" TargetMode="External" /><Relationship Type="http://schemas.openxmlformats.org/officeDocument/2006/relationships/hyperlink" Id="rId101" Target="https://www.who.int/data/gho" TargetMode="External" /><Relationship Type="http://schemas.openxmlformats.org/officeDocument/2006/relationships/hyperlink" Id="rId99" Target="https://www.who.int/teams/global-malaria-programme/reports/world-malaria-report-20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doi.org/10.1016/S0140-6736(12)60522-4" TargetMode="External" /><Relationship Type="http://schemas.openxmlformats.org/officeDocument/2006/relationships/hyperlink" Id="rId89" Target="https://doi.org/10.1017/S0950268816001126" TargetMode="External" /><Relationship Type="http://schemas.openxmlformats.org/officeDocument/2006/relationships/hyperlink" Id="rId84" Target="https://doi.org/10.1038/nature12060" TargetMode="External" /><Relationship Type="http://schemas.openxmlformats.org/officeDocument/2006/relationships/hyperlink" Id="rId95" Target="https://doi.org/10.1371/journal.pntd.0002056" TargetMode="External" /><Relationship Type="http://schemas.openxmlformats.org/officeDocument/2006/relationships/hyperlink" Id="rId39" Target="https://github.com/jdiestra1977/FIFA_worldCup_2026_risk" TargetMode="External" /><Relationship Type="http://schemas.openxmlformats.org/officeDocument/2006/relationships/hyperlink" Id="rId103" Target="https://immunizationdata.who.int" TargetMode="External" /><Relationship Type="http://schemas.openxmlformats.org/officeDocument/2006/relationships/hyperlink" Id="rId97" Target="https://travel.trade.gov" TargetMode="External" /><Relationship Type="http://schemas.openxmlformats.org/officeDocument/2006/relationships/hyperlink" Id="rId91" Target="https://www.trade.gov/travel-and-tourism-forecasts" TargetMode="External" /><Relationship Type="http://schemas.openxmlformats.org/officeDocument/2006/relationships/hyperlink" Id="rId86" Target="https://www.transtats.bts.gov/DL_SelectFields.aspx?gnoyr_VQ=FJE" TargetMode="External" /><Relationship Type="http://schemas.openxmlformats.org/officeDocument/2006/relationships/hyperlink" Id="rId101" Target="https://www.who.int/data/gho" TargetMode="External" /><Relationship Type="http://schemas.openxmlformats.org/officeDocument/2006/relationships/hyperlink" Id="rId99" Target="https://www.who.int/teams/global-malaria-programme/reports/world-malaria-report-20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Estimating Infectious Disease Importation Risk during the 2026 FIFA World Cup</dc:title>
  <dc:creator>Jose L. Herrera-Diestra; Kaiming Bi; Zeynep Ertem; Amera Al-Amery; Mallory Harris</dc:creator>
  <cp:keywords/>
  <dcterms:created xsi:type="dcterms:W3CDTF">2026-06-10T12:40:33Z</dcterms:created>
  <dcterms:modified xsi:type="dcterms:W3CDTF">2026-06-10T12:40:33Z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/>
  </property>
</Properties>
</file>