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52"/>
        </w:rPr>
        <w:t>Rosetta — Video Shooting Script</w:t>
      </w:r>
    </w:p>
    <w:p>
      <w:pPr>
        <w:jc w:val="center"/>
      </w:pPr>
      <w:r>
        <w:rPr>
          <w:i/>
          <w:color w:val="555F70"/>
          <w:sz w:val="22"/>
        </w:rPr>
        <w:t>Read the left column out loud. Do the right column on screen. Target run time ≈ 2:30.</w:t>
      </w:r>
    </w:p>
    <w:p>
      <w:pPr>
        <w:spacing w:before="200" w:after="120"/>
      </w:pPr>
      <w:r>
        <w:rPr>
          <w:b/>
          <w:color w:val="6366F1"/>
          <w:sz w:val="30"/>
        </w:rPr>
        <w:t>Before you hit record</w:t>
      </w:r>
    </w:p>
    <w:p>
      <w:pPr>
        <w:pStyle w:val="ListBullet"/>
        <w:spacing w:after="40"/>
      </w:pPr>
      <w:r>
        <w:t>Warm up the demo: open https://rosetta-datahub.onrender.com once so it is awake.</w:t>
      </w:r>
    </w:p>
    <w:p>
      <w:pPr>
        <w:pStyle w:val="ListBullet"/>
        <w:spacing w:after="40"/>
      </w:pPr>
      <w:r>
        <w:t>Full-screen your browser at 1080p. Close other tabs and notifications.</w:t>
      </w:r>
    </w:p>
    <w:p>
      <w:pPr>
        <w:pStyle w:val="ListBullet"/>
        <w:spacing w:after="40"/>
      </w:pPr>
      <w:r>
        <w:t>Start recording with Windows + G (Game Bar) → mic ON. Record the browser window.</w:t>
      </w:r>
    </w:p>
    <w:p>
      <w:pPr>
        <w:pStyle w:val="ListBullet"/>
        <w:spacing w:after="40"/>
      </w:pPr>
      <w:r>
        <w:t>Speak slowly and a little louder than feels natural. Pause 1 second between sections.</w:t>
      </w:r>
    </w:p>
    <w:p>
      <w:pPr>
        <w:pStyle w:val="ListBullet"/>
        <w:spacing w:after="40"/>
      </w:pPr>
      <w:r>
        <w:t>You do NOT have to be perfect — you can trim mistakes later in Clipchamp.</w:t>
      </w:r>
    </w:p>
    <w:p>
      <w:pPr>
        <w:spacing w:before="200" w:after="120"/>
      </w:pPr>
      <w:r>
        <w:rPr>
          <w:b/>
          <w:color w:val="6366F1"/>
          <w:sz w:val="30"/>
        </w:rPr>
        <w:t>The script</w:t>
      </w:r>
    </w:p>
    <w:tbl>
      <w:tblPr>
        <w:tblStyle w:val="TableGrid"/>
        <w:tblW w:type="auto" w:w="0"/>
        <w:jc w:val="center"/>
        <w:tblLook w:firstColumn="1" w:firstRow="1" w:lastColumn="0" w:lastRow="0" w:noHBand="0" w:noVBand="1" w:val="04A0"/>
      </w:tblPr>
      <w:tblGrid>
        <w:gridCol w:w="2880"/>
        <w:gridCol w:w="2880"/>
        <w:gridCol w:w="2880"/>
      </w:tblGrid>
      <w:tr>
        <w:tc>
          <w:tcPr>
            <w:tcW w:type="dxa" w:w="1512"/>
            <w:shd w:fill="6366F1"/>
          </w:tcPr>
          <w:p>
            <w:r/>
            <w:r>
              <w:rPr>
                <w:b/>
                <w:color w:val="FFFFFF"/>
                <w:sz w:val="21"/>
              </w:rPr>
              <w:t>TIME</w:t>
            </w:r>
          </w:p>
        </w:tc>
        <w:tc>
          <w:tcPr>
            <w:tcW w:type="dxa" w:w="4536"/>
            <w:shd w:fill="6366F1"/>
          </w:tcPr>
          <w:p>
            <w:r/>
            <w:r>
              <w:rPr>
                <w:b/>
                <w:color w:val="FFFFFF"/>
                <w:sz w:val="21"/>
              </w:rPr>
              <w:t>SAY THIS (read aloud)</w:t>
            </w:r>
          </w:p>
        </w:tc>
        <w:tc>
          <w:tcPr>
            <w:tcW w:type="dxa" w:w="3672"/>
            <w:shd w:fill="6366F1"/>
          </w:tcPr>
          <w:p>
            <w:r/>
            <w:r>
              <w:rPr>
                <w:b/>
                <w:color w:val="FFFFFF"/>
                <w:sz w:val="21"/>
              </w:rPr>
              <w:t>DO THIS (on screen)</w:t>
            </w:r>
          </w:p>
        </w:tc>
      </w:tr>
      <w:tr>
        <w:tc>
          <w:tcPr>
            <w:tcW w:type="dxa" w:w="1512"/>
          </w:tcPr>
          <w:p>
            <w:r/>
            <w:r>
              <w:rPr>
                <w:b/>
                <w:color w:val="6366F1"/>
                <w:sz w:val="19"/>
              </w:rPr>
              <w:t>0:00–0:15</w:t>
              <w:br/>
              <w:t>Hook</w:t>
            </w:r>
          </w:p>
        </w:tc>
        <w:tc>
          <w:tcPr>
            <w:tcW w:type="dxa" w:w="4536"/>
          </w:tcPr>
          <w:p>
            <w:r/>
            <w:r>
              <w:rPr>
                <w:sz w:val="20"/>
              </w:rPr>
              <w:t>Two dashboards, one company. Finance says two-point-one million active users. Marketing says three-point-four million. Both are “correct.” Both are governed. And nobody in the room can tell you which number is real.</w:t>
            </w:r>
          </w:p>
        </w:tc>
        <w:tc>
          <w:tcPr>
            <w:tcW w:type="dxa" w:w="3672"/>
          </w:tcPr>
          <w:p>
            <w:r/>
            <w:r>
              <w:rPr>
                <w:sz w:val="20"/>
              </w:rPr>
              <w:t>Have the Rosetta home page open full-screen, not yet scanned. Slowly move the cursor so the viewer sees the clean landing page.</w:t>
            </w:r>
          </w:p>
        </w:tc>
      </w:tr>
      <w:tr>
        <w:tc>
          <w:tcPr>
            <w:tcW w:type="dxa" w:w="1512"/>
          </w:tcPr>
          <w:p>
            <w:r/>
            <w:r>
              <w:rPr>
                <w:b/>
                <w:color w:val="6366F1"/>
                <w:sz w:val="19"/>
              </w:rPr>
              <w:t>0:15–0:35</w:t>
              <w:br/>
              <w:t>The real problem</w:t>
            </w:r>
          </w:p>
        </w:tc>
        <w:tc>
          <w:tcPr>
            <w:tcW w:type="dxa" w:w="4536"/>
          </w:tcPr>
          <w:p>
            <w:r/>
            <w:r>
              <w:rPr>
                <w:sz w:val="20"/>
              </w:rPr>
              <w:t>Nothing is broken. No pipeline failed, no test went red. Months ago two teams quietly defined “active user” differently, and every tool waved it through. That is not a data-quality bug. It is a meaning bug — and it is what turns a confident AI data agent into a confident liar.</w:t>
            </w:r>
          </w:p>
        </w:tc>
        <w:tc>
          <w:tcPr>
            <w:tcW w:type="dxa" w:w="3672"/>
          </w:tcPr>
          <w:p>
            <w:r/>
            <w:r>
              <w:rPr>
                <w:sz w:val="20"/>
              </w:rPr>
              <w:t>Slowly scroll down the landing page so the viewer reads the tagline / problem statement. Hover over the “Run scan” or demo button but don’t click yet.</w:t>
            </w:r>
          </w:p>
        </w:tc>
      </w:tr>
      <w:tr>
        <w:tc>
          <w:tcPr>
            <w:tcW w:type="dxa" w:w="1512"/>
          </w:tcPr>
          <w:p>
            <w:r/>
            <w:r>
              <w:rPr>
                <w:b/>
                <w:color w:val="6366F1"/>
                <w:sz w:val="19"/>
              </w:rPr>
              <w:t>0:35–0:45</w:t>
              <w:br/>
              <w:t>What Rosetta is</w:t>
            </w:r>
          </w:p>
        </w:tc>
        <w:tc>
          <w:tcPr>
            <w:tcW w:type="dxa" w:w="4536"/>
          </w:tcPr>
          <w:p>
            <w:r/>
            <w:r>
              <w:rPr>
                <w:sz w:val="20"/>
              </w:rPr>
              <w:t>This is Rosetta — a linter for meaning across your DataHub graph. One click runs five agents that read how every team actually defines its metrics.</w:t>
            </w:r>
          </w:p>
        </w:tc>
        <w:tc>
          <w:tcPr>
            <w:tcW w:type="dxa" w:w="3672"/>
          </w:tcPr>
          <w:p>
            <w:r/>
            <w:r>
              <w:rPr>
                <w:sz w:val="20"/>
              </w:rPr>
              <w:t>Point the cursor at the “Run scan” / demo button.</w:t>
            </w:r>
          </w:p>
        </w:tc>
      </w:tr>
      <w:tr>
        <w:tc>
          <w:tcPr>
            <w:tcW w:type="dxa" w:w="1512"/>
          </w:tcPr>
          <w:p>
            <w:r/>
            <w:r>
              <w:rPr>
                <w:b/>
                <w:color w:val="6366F1"/>
                <w:sz w:val="19"/>
              </w:rPr>
              <w:t>0:45–1:05</w:t>
              <w:br/>
              <w:t>Run it</w:t>
            </w:r>
          </w:p>
        </w:tc>
        <w:tc>
          <w:tcPr>
            <w:tcW w:type="dxa" w:w="4536"/>
          </w:tcPr>
          <w:p>
            <w:r/>
            <w:r>
              <w:rPr>
                <w:sz w:val="20"/>
              </w:rPr>
              <w:t>Watch. Harvester reads glossary terms, lineage and ownership from DataHub. Conflict Detector compares intent, not just text. Blast-Radius Analyzer walks lineage downstream. The Broker drafts a fix, and the Writer publishes it back.</w:t>
            </w:r>
          </w:p>
        </w:tc>
        <w:tc>
          <w:tcPr>
            <w:tcW w:type="dxa" w:w="3672"/>
          </w:tcPr>
          <w:p>
            <w:r/>
            <w:r>
              <w:rPr>
                <w:sz w:val="20"/>
              </w:rPr>
              <w:t>CLICK the scan button. Let the pipeline animate. Slowly move the cursor down the agent steps as they light up so the viewer follows each one.</w:t>
            </w:r>
          </w:p>
        </w:tc>
      </w:tr>
      <w:tr>
        <w:tc>
          <w:tcPr>
            <w:tcW w:type="dxa" w:w="1512"/>
          </w:tcPr>
          <w:p>
            <w:r/>
            <w:r>
              <w:rPr>
                <w:b/>
                <w:color w:val="6366F1"/>
                <w:sz w:val="19"/>
              </w:rPr>
              <w:t>1:05–1:25</w:t>
              <w:br/>
              <w:t>The results</w:t>
            </w:r>
          </w:p>
        </w:tc>
        <w:tc>
          <w:tcPr>
            <w:tcW w:type="dxa" w:w="4536"/>
          </w:tcPr>
          <w:p>
            <w:r/>
            <w:r>
              <w:rPr>
                <w:sz w:val="20"/>
              </w:rPr>
              <w:t>In one click it found three conflicts hiding across twenty-four downstream assets. Look at the top one: “active user,” high confidence, blast radius of twelve.</w:t>
            </w:r>
          </w:p>
        </w:tc>
        <w:tc>
          <w:tcPr>
            <w:tcW w:type="dxa" w:w="3672"/>
          </w:tcPr>
          <w:p>
            <w:r/>
            <w:r>
              <w:rPr>
                <w:sz w:val="20"/>
              </w:rPr>
              <w:t>The results panel is now showing. Hover over the three conflict rows. Then hover specifically over the “active_user” row to highlight it.</w:t>
            </w:r>
          </w:p>
        </w:tc>
      </w:tr>
      <w:tr>
        <w:tc>
          <w:tcPr>
            <w:tcW w:type="dxa" w:w="1512"/>
          </w:tcPr>
          <w:p>
            <w:r/>
            <w:r>
              <w:rPr>
                <w:b/>
                <w:color w:val="6366F1"/>
                <w:sz w:val="19"/>
              </w:rPr>
              <w:t>1:25–1:45</w:t>
              <w:br/>
              <w:t>The dollars</w:t>
            </w:r>
          </w:p>
        </w:tc>
        <w:tc>
          <w:tcPr>
            <w:tcW w:type="dxa" w:w="4536"/>
          </w:tcPr>
          <w:p>
            <w:r/>
            <w:r>
              <w:rPr>
                <w:sz w:val="20"/>
              </w:rPr>
              <w:t>And here is the part that gets budget approved. Rosetta prices the damage: about one thousand and eighty dollars and twelve analyst-hours of rework — avoided, from a single click.</w:t>
            </w:r>
          </w:p>
        </w:tc>
        <w:tc>
          <w:tcPr>
            <w:tcW w:type="dxa" w:w="3672"/>
          </w:tcPr>
          <w:p>
            <w:r/>
            <w:r>
              <w:rPr>
                <w:sz w:val="20"/>
              </w:rPr>
              <w:t>Hover over / point at the KPI numbers: 3 conflicts, 24 assets, $1,080, 12 hours.</w:t>
            </w:r>
          </w:p>
        </w:tc>
      </w:tr>
      <w:tr>
        <w:tc>
          <w:tcPr>
            <w:tcW w:type="dxa" w:w="1512"/>
          </w:tcPr>
          <w:p>
            <w:r/>
            <w:r>
              <w:rPr>
                <w:b/>
                <w:color w:val="6366F1"/>
                <w:sz w:val="19"/>
              </w:rPr>
              <w:t>1:45–2:05</w:t>
              <w:br/>
              <w:t>Blast radius</w:t>
            </w:r>
          </w:p>
        </w:tc>
        <w:tc>
          <w:tcPr>
            <w:tcW w:type="dxa" w:w="4536"/>
          </w:tcPr>
          <w:p>
            <w:r/>
            <w:r>
              <w:rPr>
                <w:sz w:val="20"/>
              </w:rPr>
              <w:t>It doesn’t just tell you — it shows you. This is the blast radius: the “active user” conflict silently flowing into twelve downstream assets, including seven dashboards and one machine-learning model.</w:t>
            </w:r>
          </w:p>
        </w:tc>
        <w:tc>
          <w:tcPr>
            <w:tcW w:type="dxa" w:w="3672"/>
          </w:tcPr>
          <w:p>
            <w:r/>
            <w:r>
              <w:rPr>
                <w:sz w:val="20"/>
              </w:rPr>
              <w:t>Open / scroll to the blast-radius graph. Slowly drag or hover a node so the network moves. Point at the highlighted ML model node.</w:t>
            </w:r>
          </w:p>
        </w:tc>
      </w:tr>
      <w:tr>
        <w:tc>
          <w:tcPr>
            <w:tcW w:type="dxa" w:w="1512"/>
          </w:tcPr>
          <w:p>
            <w:r/>
            <w:r>
              <w:rPr>
                <w:b/>
                <w:color w:val="6366F1"/>
                <w:sz w:val="19"/>
              </w:rPr>
              <w:t>2:05–2:20</w:t>
              <w:br/>
              <w:t>Reconcile — human stays in control</w:t>
            </w:r>
          </w:p>
        </w:tc>
        <w:tc>
          <w:tcPr>
            <w:tcW w:type="dxa" w:w="4536"/>
          </w:tcPr>
          <w:p>
            <w:r/>
            <w:r>
              <w:rPr>
                <w:sz w:val="20"/>
              </w:rPr>
              <w:t>Then the Broker drafts one canonical definition and shows a clean before-and-after diff. A human always approves. Nothing is ever silently overwritten.</w:t>
            </w:r>
          </w:p>
        </w:tc>
        <w:tc>
          <w:tcPr>
            <w:tcW w:type="dxa" w:w="3672"/>
          </w:tcPr>
          <w:p>
            <w:r/>
            <w:r>
              <w:rPr>
                <w:sz w:val="20"/>
              </w:rPr>
              <w:t>Open the reconciliation / diff view. Point at the before column, then the after column, then the Approve button.</w:t>
            </w:r>
          </w:p>
        </w:tc>
      </w:tr>
      <w:tr>
        <w:tc>
          <w:tcPr>
            <w:tcW w:type="dxa" w:w="1512"/>
          </w:tcPr>
          <w:p>
            <w:r/>
            <w:r>
              <w:rPr>
                <w:b/>
                <w:color w:val="6366F1"/>
                <w:sz w:val="19"/>
              </w:rPr>
              <w:t>2:20–2:30</w:t>
              <w:br/>
              <w:t>Write-back + close</w:t>
            </w:r>
          </w:p>
        </w:tc>
        <w:tc>
          <w:tcPr>
            <w:tcW w:type="dxa" w:w="4536"/>
          </w:tcPr>
          <w:p>
            <w:r/>
            <w:r>
              <w:rPr>
                <w:sz w:val="20"/>
              </w:rPr>
              <w:t>On approval, Rosetta writes the canonical definition back into DataHub and deprecates the losers — so the graph gets smarter every run. The numbers were never wrong. They were never comparable. Rosetta fixes that at the source.</w:t>
            </w:r>
          </w:p>
        </w:tc>
        <w:tc>
          <w:tcPr>
            <w:tcW w:type="dxa" w:w="3672"/>
          </w:tcPr>
          <w:p>
            <w:r/>
            <w:r>
              <w:rPr>
                <w:sz w:val="20"/>
              </w:rPr>
              <w:t>Click Approve (or show the “written back” confirmation). End on the success screen / canonical term card. Hold this frame for 2 seconds, then stop recording.</w:t>
            </w:r>
          </w:p>
        </w:tc>
      </w:tr>
    </w:tbl>
    <w:p>
      <w:pPr>
        <w:spacing w:before="200" w:after="120"/>
      </w:pPr>
      <w:r>
        <w:rPr>
          <w:b/>
          <w:color w:val="6366F1"/>
          <w:sz w:val="30"/>
        </w:rPr>
        <w:t>After you record</w:t>
      </w:r>
    </w:p>
    <w:p>
      <w:pPr>
        <w:pStyle w:val="ListBullet"/>
        <w:spacing w:after="40"/>
      </w:pPr>
      <w:r>
        <w:t>Trim the start/end and any fumbles in Clipchamp (free, built into Windows).</w:t>
      </w:r>
    </w:p>
    <w:p>
      <w:pPr>
        <w:pStyle w:val="ListBullet"/>
        <w:spacing w:after="40"/>
      </w:pPr>
      <w:r>
        <w:t>Keep it under 3 minutes — 2:30 is ideal.</w:t>
      </w:r>
    </w:p>
    <w:p>
      <w:pPr>
        <w:pStyle w:val="ListBullet"/>
        <w:spacing w:after="40"/>
      </w:pPr>
      <w:r>
        <w:t>Upload to YouTube. Set visibility to Public or Unlisted (both work for Devpost).</w:t>
      </w:r>
    </w:p>
    <w:p>
      <w:pPr>
        <w:pStyle w:val="ListBullet"/>
        <w:spacing w:after="40"/>
      </w:pPr>
      <w:r>
        <w:t>Copy the YouTube link and paste it into the Devpost “Video demo link” field.</w:t>
      </w:r>
    </w:p>
    <w:p>
      <w:pPr>
        <w:pStyle w:val="ListBullet"/>
        <w:spacing w:after="40"/>
      </w:pPr>
      <w:r>
        <w:t>Title suggestion: “Rosetta — the Semantic Consistency Agent for DataHub (demo)”.</w:t>
      </w:r>
    </w:p>
    <w:p>
      <w:pPr>
        <w:spacing w:before="200" w:after="120"/>
      </w:pPr>
      <w:r>
        <w:rPr>
          <w:b/>
          <w:color w:val="6366F1"/>
          <w:sz w:val="30"/>
        </w:rPr>
        <w:t>If you freeze up: the 20-second version</w:t>
      </w:r>
    </w:p>
    <w:p>
      <w:r>
        <w:rPr>
          <w:i/>
          <w:sz w:val="22"/>
        </w:rPr>
        <w:t>“Two teams define the same metric differently and no tool catches it. Rosetta reads your DataHub graph, finds those silent conflicts, shows you the dollars and downstream assets at risk, then reconciles one canonical definition and writes it back. Three conflicts, twenty-four assets, about a thousand dollars saved — in one click.”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