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Existential Therapy and Atheist Clients</w:t>
      </w:r>
    </w:p>
    <w:p>
      <w:pPr>
        <w:pStyle w:val="Normal"/>
        <w:jc w:val="center"/>
        <w:rPr>
          <w:rFonts w:ascii="Times New Roman" w:hAnsi="Times New Roman" w:cs="Times New Roman"/>
        </w:rPr>
      </w:pPr>
      <w:r>
        <w:rPr>
          <w:rFonts w:cs="Times New Roman" w:ascii="Times New Roman" w:hAnsi="Times New Roman"/>
        </w:rPr>
        <w:t>EDUC-G522: Counseling Theories</w:t>
      </w:r>
    </w:p>
    <w:p>
      <w:pPr>
        <w:pStyle w:val="Normal"/>
        <w:jc w:val="center"/>
        <w:rPr>
          <w:rFonts w:ascii="Times New Roman" w:hAnsi="Times New Roman" w:cs="Times New Roman"/>
        </w:rPr>
      </w:pPr>
      <w:r>
        <w:rPr>
          <w:rFonts w:cs="Times New Roman" w:ascii="Times New Roman" w:hAnsi="Times New Roman"/>
        </w:rPr>
        <w:t>Indiana University Bloomington</w:t>
      </w:r>
    </w:p>
    <w:p>
      <w:pPr>
        <w:pStyle w:val="Normal"/>
        <w:jc w:val="center"/>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bookmarkStart w:id="0" w:name="_GoBack"/>
      <w:bookmarkStart w:id="1" w:name="_GoBack"/>
      <w:bookmarkEnd w:id="1"/>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
        </w:rPr>
      </w:pPr>
      <w:r>
        <w:rPr>
          <w:rFonts w:cs="Times New Roman" w:ascii="Times New Roman" w:hAnsi="Times New Roman"/>
          <w:b/>
        </w:rPr>
        <w:t>Abstract</w:t>
      </w:r>
    </w:p>
    <w:p>
      <w:pPr>
        <w:pStyle w:val="Normal"/>
        <w:rPr>
          <w:rFonts w:ascii="Times New Roman" w:hAnsi="Times New Roman" w:cs="Times New Roman"/>
        </w:rPr>
      </w:pPr>
      <w:r>
        <w:rPr>
          <w:rFonts w:cs="Times New Roman" w:ascii="Times New Roman" w:hAnsi="Times New Roman"/>
        </w:rPr>
      </w:r>
    </w:p>
    <w:p>
      <w:pPr>
        <w:pStyle w:val="Normal"/>
        <w:spacing w:lineRule="auto" w:line="480"/>
        <w:ind w:firstLine="720"/>
        <w:rPr>
          <w:rFonts w:ascii="Times New Roman" w:hAnsi="Times New Roman" w:cs="Times New Roman"/>
        </w:rPr>
      </w:pPr>
      <w:r>
        <w:rPr>
          <w:rFonts w:cs="Times New Roman" w:ascii="Times New Roman" w:hAnsi="Times New Roman"/>
        </w:rPr>
        <w:t xml:space="preserve">Despite rapid growth in recent years, the atheist population remains a largely ignored population in the literature. Atheist clients present with a variety of dynamic concerns and needs, and clinicians may find that many atheist clients are well-suited for treatment largely guided by principles of existential therapy. Drawing on literature from both counseling and higher education administration/college student development, this article aims to frame some of the unique challenges that clients with an atheistic worldview might face, and to help clinicians frame their approach to supporting this marginalized population. </w:t>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r>
    </w:p>
    <w:p>
      <w:pPr>
        <w:pStyle w:val="Normal"/>
        <w:spacing w:lineRule="auto" w:line="480"/>
        <w:rPr>
          <w:rFonts w:ascii="Times New Roman" w:hAnsi="Times New Roman" w:cs="Times New Roman"/>
          <w:b/>
          <w:b/>
        </w:rPr>
      </w:pPr>
      <w:r>
        <w:rPr>
          <w:rFonts w:cs="Times New Roman" w:ascii="Times New Roman" w:hAnsi="Times New Roman"/>
          <w:b/>
        </w:rPr>
        <w:t>Introduction</w:t>
      </w:r>
    </w:p>
    <w:p>
      <w:pPr>
        <w:pStyle w:val="Normal"/>
        <w:spacing w:lineRule="auto" w:line="480"/>
        <w:ind w:firstLine="720"/>
        <w:rPr>
          <w:rFonts w:ascii="Times New Roman" w:hAnsi="Times New Roman" w:cs="Times New Roman"/>
        </w:rPr>
      </w:pPr>
      <w:r>
        <w:rPr>
          <w:rFonts w:cs="Times New Roman" w:ascii="Times New Roman" w:hAnsi="Times New Roman"/>
        </w:rPr>
        <w:t>The role of religion and spirituality in counseling has long been explored as an essential element meaning-making. Only recently has more attention been given to the rapidly growing atheist population, a demographic defined by lack of belief in a religious deity or the supernatural. While on the surface, an atheistic worldview may appear gloomy and pessimistic, such perspectives are ripe for existentialistic meaning-making and exploration. This paper seeks to provide an overview of this population, an overview of existential psychotherapy principles, and illustrates the application of these principles through a counseling vignette with a hypothetical client.</w:t>
      </w:r>
    </w:p>
    <w:p>
      <w:pPr>
        <w:pStyle w:val="Normal"/>
        <w:spacing w:lineRule="auto" w:line="480"/>
        <w:rPr>
          <w:rFonts w:ascii="Times New Roman" w:hAnsi="Times New Roman" w:cs="Times New Roman"/>
          <w:b/>
          <w:b/>
        </w:rPr>
      </w:pPr>
      <w:r>
        <w:rPr>
          <w:rFonts w:cs="Times New Roman" w:ascii="Times New Roman" w:hAnsi="Times New Roman"/>
          <w:b/>
        </w:rPr>
        <w:t>Overview of Existential Therapy</w:t>
      </w:r>
    </w:p>
    <w:p>
      <w:pPr>
        <w:pStyle w:val="Normal"/>
        <w:spacing w:lineRule="auto" w:line="480"/>
        <w:ind w:firstLine="720"/>
        <w:rPr>
          <w:rFonts w:ascii="Times New Roman" w:hAnsi="Times New Roman" w:cs="Times New Roman"/>
        </w:rPr>
      </w:pPr>
      <w:r>
        <w:rPr>
          <w:rFonts w:cs="Times New Roman" w:ascii="Times New Roman" w:hAnsi="Times New Roman"/>
        </w:rPr>
        <w:t>The roots of existential therapy can be traced back to existential philosophy, which emphasized the centrality of a worldview constructed from everyone’s own experiences (Cooper, 2003). One core belief undergirding the theory is that humans are free and responsible individuals who possess the potential for self-actualization (Craig, 2008).</w:t>
      </w:r>
    </w:p>
    <w:p>
      <w:pPr>
        <w:pStyle w:val="Normal"/>
        <w:spacing w:lineRule="auto" w:line="480"/>
        <w:ind w:firstLine="720"/>
        <w:rPr>
          <w:rFonts w:ascii="Times New Roman" w:hAnsi="Times New Roman" w:cs="Times New Roman"/>
        </w:rPr>
      </w:pPr>
      <w:r>
        <w:rPr>
          <w:rFonts w:cs="Times New Roman" w:ascii="Times New Roman" w:hAnsi="Times New Roman"/>
        </w:rPr>
        <w:t>Motivation is a driving force within the existential therapy framework, with Frankl (1984) asserting that the primary motivation is a quest for humans to make experiences out of their lives. This motivation could be considered the primary driver of the human experience, driving individuals to engage in reflection on their life’s path. Human’s all vary on their quest for meaning-making, driven by various levels of motivation.</w:t>
      </w:r>
    </w:p>
    <w:p>
      <w:pPr>
        <w:pStyle w:val="Normal"/>
        <w:spacing w:lineRule="auto" w:line="480"/>
        <w:ind w:firstLine="720"/>
        <w:rPr>
          <w:rFonts w:ascii="Times New Roman" w:hAnsi="Times New Roman" w:cs="Times New Roman"/>
        </w:rPr>
      </w:pPr>
      <w:r>
        <w:rPr>
          <w:rFonts w:cs="Times New Roman" w:ascii="Times New Roman" w:hAnsi="Times New Roman"/>
        </w:rPr>
        <w:t xml:space="preserve">Yalom (1980) and Yalom &amp; Josselson (2014) have defined four existential themes that shape human existence: death, freedom, meaning and isolation. Of these four themes, death and meaning perhaps are the most pertinent for the purposes of the atheist population that will soon be analyzed in greater detail. Death and meaning stand out in the sense of being inextricably tied to human conceptualizations of faith and spirituality (or lack thereof). </w:t>
      </w:r>
    </w:p>
    <w:p>
      <w:pPr>
        <w:pStyle w:val="Normal"/>
        <w:spacing w:lineRule="auto" w:line="480"/>
        <w:ind w:firstLine="720"/>
        <w:rPr>
          <w:rFonts w:ascii="Times New Roman" w:hAnsi="Times New Roman" w:cs="Times New Roman"/>
        </w:rPr>
      </w:pPr>
      <w:r>
        <w:rPr>
          <w:rFonts w:cs="Times New Roman" w:ascii="Times New Roman" w:hAnsi="Times New Roman"/>
        </w:rPr>
        <w:t xml:space="preserve">Existential therapy can be considered most effective when the client must surpass an emotional barrier to begin the healing process. Clients in this scenario may be able to visualize and imagine the general route of their healing but may not feel prepared or have the proper tools to navigate this challenge (Center for Substance Abuse Treatment, 1999). </w:t>
      </w:r>
    </w:p>
    <w:p>
      <w:pPr>
        <w:pStyle w:val="Normal"/>
        <w:spacing w:lineRule="auto" w:line="480"/>
        <w:ind w:firstLine="720"/>
        <w:rPr>
          <w:rFonts w:ascii="Times New Roman" w:hAnsi="Times New Roman" w:cs="Times New Roman"/>
        </w:rPr>
      </w:pPr>
      <w:r>
        <w:rPr>
          <w:rFonts w:cs="Times New Roman" w:ascii="Times New Roman" w:hAnsi="Times New Roman"/>
        </w:rPr>
        <w:t>Therapy from an existential modality has little dependence on techniques, which can become barriers to an effective therapeutic alliance (Vontress, 2013). Spinelli (2005) notes the benefits of this approach as removing the focus away from techniques in order to focus on “staying with” and “attuning oneself to the client’s currently lived worldview.” (p. 315). It is from this place of true accompaniment that the existential practitioner can best begin the therapeutic relationship. Ultimately, the ultimate goal is to engage the client in an intervention that helps them again awareness of the factors that mediate anxiety for each of the four ultimate concerns (Yalom, 1980). Despite the relative disinterest in formal techniques, existential practitioners have identified several therapeutic techniques that prove fruitful in achieving the goals of existential therapy: Socratic dialogues, attention to non-verbal cures, and paradoxical intention, to name a few (Textbook Ch. 6).</w:t>
      </w:r>
    </w:p>
    <w:p>
      <w:pPr>
        <w:pStyle w:val="Normal"/>
        <w:spacing w:lineRule="auto" w:line="480"/>
        <w:rPr>
          <w:rFonts w:ascii="Times New Roman" w:hAnsi="Times New Roman" w:cs="Times New Roman"/>
          <w:b/>
          <w:b/>
        </w:rPr>
      </w:pPr>
      <w:r>
        <w:rPr>
          <w:rFonts w:cs="Times New Roman" w:ascii="Times New Roman" w:hAnsi="Times New Roman"/>
          <w:b/>
        </w:rPr>
        <w:t>Overview of the Atheist Population</w:t>
      </w:r>
    </w:p>
    <w:p>
      <w:pPr>
        <w:pStyle w:val="Normal"/>
        <w:spacing w:lineRule="auto" w:line="480"/>
        <w:ind w:firstLine="720"/>
        <w:rPr>
          <w:rFonts w:ascii="Times New Roman" w:hAnsi="Times New Roman" w:cs="Times New Roman"/>
        </w:rPr>
      </w:pPr>
      <w:r>
        <w:rPr>
          <w:rFonts w:cs="Times New Roman" w:ascii="Times New Roman" w:hAnsi="Times New Roman"/>
        </w:rPr>
        <w:t xml:space="preserve">Smith (1979) succinctly defines atheism as a worldview “without a belief in god or gods” (p. 9). In this sense, atheism is a relatively simple concept to understand, with Converse (2003) extending the definition of the atheist worldview to include a denial of the supernatural. However, it is difficult to begin any discussion of the atheist/secular population without first differentiating the semantical labels used within the community. For example, agnosticism (a worldview often lumped together with atheism) refers to the “impossibility of knowledge with regard to a god” (Smith, 1979, p. 10). The terms </w:t>
      </w:r>
      <w:r>
        <w:rPr>
          <w:rFonts w:cs="Times New Roman" w:ascii="Times New Roman" w:hAnsi="Times New Roman"/>
          <w:i/>
        </w:rPr>
        <w:t xml:space="preserve">theism </w:t>
      </w:r>
      <w:r>
        <w:rPr>
          <w:rFonts w:cs="Times New Roman" w:ascii="Times New Roman" w:hAnsi="Times New Roman"/>
        </w:rPr>
        <w:t xml:space="preserve">and </w:t>
      </w:r>
      <w:r>
        <w:rPr>
          <w:rFonts w:cs="Times New Roman" w:ascii="Times New Roman" w:hAnsi="Times New Roman"/>
          <w:i/>
        </w:rPr>
        <w:t xml:space="preserve">atheism </w:t>
      </w:r>
      <w:r>
        <w:rPr>
          <w:rFonts w:cs="Times New Roman" w:ascii="Times New Roman" w:hAnsi="Times New Roman"/>
        </w:rPr>
        <w:t xml:space="preserve">both emphasize their concrete belief in the existence or lack thereof of a religious deity respectively. </w:t>
      </w:r>
    </w:p>
    <w:p>
      <w:pPr>
        <w:pStyle w:val="Normal"/>
        <w:spacing w:lineRule="auto" w:line="480"/>
        <w:ind w:firstLine="720"/>
        <w:rPr>
          <w:rFonts w:ascii="Times New Roman" w:hAnsi="Times New Roman" w:cs="Times New Roman"/>
        </w:rPr>
      </w:pPr>
      <w:r>
        <w:rPr>
          <w:rFonts w:cs="Times New Roman" w:ascii="Times New Roman" w:hAnsi="Times New Roman"/>
        </w:rPr>
        <w:t>Due to differences in semantics, it has naturally been difficult to measure the growth of the atheist population. Despite the difficulties associated with codifying atheism, various studies have highlighted an increase in skeptical and questioning individuals (Pew Research Center, 2010; Pew Research Center, 2012, Smith and Snell (2009)). Higher education scholars have specifically studied this phenomenon in the context of college students Astin, Astin, and Lindhold (2011).</w:t>
      </w:r>
    </w:p>
    <w:p>
      <w:pPr>
        <w:pStyle w:val="Normal"/>
        <w:spacing w:lineRule="auto" w:line="480"/>
        <w:ind w:firstLine="720"/>
        <w:rPr>
          <w:rFonts w:ascii="Times New Roman" w:hAnsi="Times New Roman" w:cs="Times New Roman"/>
        </w:rPr>
      </w:pPr>
      <w:r>
        <w:rPr>
          <w:rFonts w:cs="Times New Roman" w:ascii="Times New Roman" w:hAnsi="Times New Roman"/>
        </w:rPr>
        <w:t xml:space="preserve">Two factors underscore the need for further attention to this population in the counseling literature: historical marginalization of those who identify as atheist and supporting the grieving process of those with an atheist or otherwise secular worldview. One example of this marginalization is the way in which the literature on college students and religious/spiritual development focuses on theistic perspectives (Love and Talbot, 2000; Parks, 2000) that neglect the needs of this rapidly growing demographic. In counseling literature, the idea that religious belief moderates an individual’s ability to cope with death anxiety and loss (Feldman, Fischer, and Gressis, 2016) has dominated the discourse on grief work and working through loss. </w:t>
      </w:r>
    </w:p>
    <w:p>
      <w:pPr>
        <w:pStyle w:val="Normal"/>
        <w:spacing w:lineRule="auto" w:line="480"/>
        <w:ind w:firstLine="720"/>
        <w:rPr>
          <w:rFonts w:ascii="Times New Roman" w:hAnsi="Times New Roman" w:cs="Times New Roman"/>
        </w:rPr>
      </w:pPr>
      <w:r>
        <w:rPr>
          <w:rFonts w:cs="Times New Roman" w:ascii="Times New Roman" w:hAnsi="Times New Roman"/>
        </w:rPr>
        <w:t>Despite the limitations on how the counseling literature has come to understand the needs of atheist clients, several considerations can aid clinicians to provide the most intentional and validating care to members of this population. Clinicians should recognize that moral conflicts arise from the same triggers as for individuals with a theistic worldview – a lack of congruence between inner values and actions and behaviors. Clinicians should hone in on the value system of the client and assist them in taking responsibility for examine their belief systems and choosing new behaviors (D’Andrea &amp; Sprenger, 2007). In addition, atheist clients may benefit more from existential-humanistic or rational emotive behavior therapy techniques in working through their concerns (Brewster et al., 2014). With these considerations in mind, we turn to a existential therapy framework as one of the beneficial frameworks for engaging this population in psychotherapy.</w:t>
      </w:r>
    </w:p>
    <w:p>
      <w:pPr>
        <w:pStyle w:val="Normal"/>
        <w:spacing w:lineRule="auto" w:line="480"/>
        <w:rPr>
          <w:rFonts w:ascii="Times New Roman" w:hAnsi="Times New Roman" w:cs="Times New Roman"/>
          <w:b/>
          <w:b/>
        </w:rPr>
      </w:pPr>
      <w:r>
        <w:rPr>
          <w:rFonts w:cs="Times New Roman" w:ascii="Times New Roman" w:hAnsi="Times New Roman"/>
          <w:b/>
        </w:rPr>
        <w:t>Theory Application</w:t>
      </w:r>
    </w:p>
    <w:p>
      <w:pPr>
        <w:pStyle w:val="Normal"/>
        <w:spacing w:lineRule="auto" w:line="480"/>
        <w:ind w:firstLine="720"/>
        <w:rPr>
          <w:rFonts w:ascii="Times New Roman" w:hAnsi="Times New Roman" w:cs="Times New Roman"/>
        </w:rPr>
      </w:pPr>
      <w:r>
        <w:rPr>
          <w:rFonts w:cs="Times New Roman" w:ascii="Times New Roman" w:hAnsi="Times New Roman"/>
        </w:rPr>
        <w:t xml:space="preserve">Existential therapy can be a powerful therapeutic approach to meeting the needs of atheist clients, as the atheist worldview is perfectly congruent with Craig’s (2008) articulation of human freedom and self-actualization as central tenets of this paradigm. Speaking to the American cultural context, many individuals who identify as atheist have grown up socialized by religious values, namely those of belonging to the Judeo-Christian tradition. Exploration of an atheist or otherwise skeptical identity often requires the individual to introspectively explore these ideas of freedom and self-actualization that are central to ET philosophy. </w:t>
      </w:r>
    </w:p>
    <w:p>
      <w:pPr>
        <w:pStyle w:val="Normal"/>
        <w:spacing w:lineRule="auto" w:line="480"/>
        <w:ind w:firstLine="720"/>
        <w:rPr>
          <w:rFonts w:ascii="Times New Roman" w:hAnsi="Times New Roman" w:cs="Times New Roman"/>
        </w:rPr>
      </w:pPr>
      <w:r>
        <w:rPr>
          <w:rFonts w:cs="Times New Roman" w:ascii="Times New Roman" w:hAnsi="Times New Roman"/>
        </w:rPr>
        <w:t xml:space="preserve">In a study on atheist college students, Mueller (2012) noted that each of the study participants articulated what could best be constructed as a humanist approach, based in a philosophy of serving the greater good of humanity in the natural world. This is related to the application of existential therapy, as it directly connects clients to the three modes of being. In some ways, the foundational humanist philosophies articulated by many atheists suggest that clients of this demographic would be able to attain the goal of tending to all three modes of being at once. </w:t>
      </w:r>
    </w:p>
    <w:p>
      <w:pPr>
        <w:pStyle w:val="Normal"/>
        <w:spacing w:lineRule="auto" w:line="480"/>
        <w:ind w:firstLine="720"/>
        <w:rPr>
          <w:rFonts w:ascii="Times New Roman" w:hAnsi="Times New Roman" w:cs="Times New Roman"/>
        </w:rPr>
      </w:pPr>
      <w:r>
        <w:rPr>
          <w:rFonts w:cs="Times New Roman" w:ascii="Times New Roman" w:hAnsi="Times New Roman"/>
        </w:rPr>
        <w:t xml:space="preserve">The ultimate concerns of human existence can pose challenges to therapeutic practice, while also bringing liberatory potential for the client’s growth and development. Of the four themes, two are inextricably tied to the exploration of an atheist worldview: death and meaning. Individuals of religious backgrounds are socialized to believe that exploring death and meaning can be difficult and fraught with difficulties – but with the cushion that there is a loving and benevolent deity that will support them through these processes. Atheists and theists may experience the same anxiety as it pertains to these concerns, but clinicians should strive to understand the ways in which atheist perspectives on death and meaning inform the therapeutic relationship. </w:t>
      </w:r>
    </w:p>
    <w:p>
      <w:pPr>
        <w:pStyle w:val="Normal"/>
        <w:spacing w:lineRule="auto" w:line="480"/>
        <w:ind w:firstLine="720"/>
        <w:rPr>
          <w:rFonts w:ascii="Times New Roman" w:hAnsi="Times New Roman" w:cs="Times New Roman"/>
        </w:rPr>
      </w:pPr>
      <w:r>
        <w:rPr>
          <w:rFonts w:cs="Times New Roman" w:ascii="Times New Roman" w:hAnsi="Times New Roman"/>
        </w:rPr>
        <w:t>Atheists are naturally curious beings, with many atheists naturally committing a great deal of time to further exploring and questioning their worldview, no matter how confident that they might be in their worldview. Clinicians would do well to focus interactions with atheist clients on those techniques which lend themselves well to introspection and articulation of values on behalf of the client, such as the Socratic dialogue. Making use of this natural curiosity during the therapeutic relationship can be a natural way to engage clients in larger questions of life meaning while doing so on grounds that they are familiar with.</w:t>
      </w:r>
    </w:p>
    <w:p>
      <w:pPr>
        <w:pStyle w:val="Normal"/>
        <w:spacing w:lineRule="auto" w:line="480"/>
        <w:ind w:firstLine="720"/>
        <w:rPr>
          <w:rFonts w:ascii="Times New Roman" w:hAnsi="Times New Roman" w:cs="Times New Roman"/>
        </w:rPr>
      </w:pPr>
      <w:r>
        <w:rPr>
          <w:rFonts w:cs="Times New Roman" w:ascii="Times New Roman" w:hAnsi="Times New Roman"/>
        </w:rPr>
        <w:t xml:space="preserve">Clinicians should expect and understand that feelings of anxiety may be more omnipresent and central in the presentation of atheist clients. For many atheists, the anxiety associated with re-molding their worldview can be the trigger that prompts them to pursue therapy to aid in that meaning-making process. Making meaning out of a newly acquired secular worldview (or any other large life transition) is not necessarily a linear process, and clinicians should be prepared to validate the fear and uncertainly that atheist clients may present while empowering the client to believe that there can be a meaningful and fulfilling life beyond religious belief. </w:t>
      </w:r>
    </w:p>
    <w:p>
      <w:pPr>
        <w:pStyle w:val="Normal"/>
        <w:spacing w:lineRule="auto" w:line="480"/>
        <w:rPr>
          <w:rFonts w:ascii="Times New Roman" w:hAnsi="Times New Roman" w:cs="Times New Roman"/>
        </w:rPr>
      </w:pPr>
      <w:r>
        <w:rPr>
          <w:rFonts w:cs="Times New Roman" w:ascii="Times New Roman" w:hAnsi="Times New Roman"/>
        </w:rPr>
        <w:tab/>
        <w:t xml:space="preserve">Yalom (1980) identifies conflict and the realities of existence as a major source of psychological dysfunction. In this sense, clinicians can interpret the feelings of despair in atheist clients as a subconscious attempt to making meaning of the givens of human existence. Not only must atheist clients come to terms with the fact that death is a given, they must also construct meaning of death as a process that has no meaning other than serving as the endpoint of one’s existence. This dysfunction may be especially prominent in cultures where theistic beliefs dominate the cultural imagination, or virtually every major civilization in existence today. </w:t>
      </w:r>
    </w:p>
    <w:p>
      <w:pPr>
        <w:pStyle w:val="Normal"/>
        <w:spacing w:lineRule="auto" w:line="480"/>
        <w:rPr>
          <w:rFonts w:ascii="Times New Roman" w:hAnsi="Times New Roman" w:cs="Times New Roman"/>
        </w:rPr>
      </w:pPr>
      <w:r>
        <w:rPr>
          <w:rFonts w:cs="Times New Roman" w:ascii="Times New Roman" w:hAnsi="Times New Roman"/>
        </w:rPr>
        <w:tab/>
        <w:t>Some studies have found a negative association between analytical thinking and religious belief (Pennycook, Ross, Koehler, &amp; Fugelsand, 2016). Conversely, clinicians can assume that the average atheist will demonstrate a greater affinity and tendency for critical reflection. This is not to propose that religious individuals are unable to think critically and analytically, but to illuminate an opportunity for clinicians to anticipate and capitalize on during the therapeutic relationship. An atheist client – able to begin transitioning away from a religious identity that they likely grew up with – will also (hopefully) be able to critique the factors in their life that cause anxiety and stress, allowing for those areas to further be explored during therapy.</w:t>
      </w:r>
    </w:p>
    <w:p>
      <w:pPr>
        <w:pStyle w:val="Normal"/>
        <w:spacing w:lineRule="auto" w:line="480"/>
        <w:rPr>
          <w:rFonts w:ascii="Times New Roman" w:hAnsi="Times New Roman" w:cs="Times New Roman"/>
        </w:rPr>
      </w:pPr>
      <w:r>
        <w:rPr>
          <w:rFonts w:cs="Times New Roman" w:ascii="Times New Roman" w:hAnsi="Times New Roman"/>
        </w:rPr>
        <w:tab/>
        <w:t xml:space="preserve">Above all, clinicians employing an existential therapy should seek to better understand the de-conversation process that lead a client to adopt a secular worldview. In exploring the driving elements and thought processes that drove a client’s de-conversation experience, the therapist also works with the client, parsing through these significant influences together. In applying an existential framework to atheist clients, both client and clinician alike may find remarkable potential and space for self-reflection and growth on the part of the client. Now, we turn to a vignette that illustrates the application of existential psychotherapy with an atheist client. </w:t>
      </w:r>
    </w:p>
    <w:p>
      <w:pPr>
        <w:pStyle w:val="Normal"/>
        <w:rPr>
          <w:rFonts w:ascii="Times New Roman" w:hAnsi="Times New Roman" w:cs="Times New Roman"/>
          <w:b/>
          <w:b/>
        </w:rPr>
      </w:pPr>
      <w:r>
        <w:rPr>
          <w:rFonts w:cs="Times New Roman" w:ascii="Times New Roman" w:hAnsi="Times New Roman"/>
          <w:b/>
        </w:rPr>
        <w:t>Counseling Vignette</w:t>
      </w:r>
    </w:p>
    <w:p>
      <w:pPr>
        <w:pStyle w:val="Normal"/>
        <w:ind w:firstLine="720"/>
        <w:rPr>
          <w:rFonts w:ascii="Times New Roman" w:hAnsi="Times New Roman" w:cs="Times New Roman"/>
        </w:rPr>
      </w:pPr>
      <w:r>
        <w:rPr>
          <w:rFonts w:cs="Times New Roman" w:ascii="Times New Roman" w:hAnsi="Times New Roman"/>
        </w:rPr>
      </w:r>
    </w:p>
    <w:p>
      <w:pPr>
        <w:pStyle w:val="Normal"/>
        <w:ind w:firstLine="720"/>
        <w:rPr>
          <w:rFonts w:ascii="Times New Roman" w:hAnsi="Times New Roman" w:cs="Times New Roman"/>
        </w:rPr>
      </w:pPr>
      <w:r>
        <w:rPr>
          <w:rFonts w:cs="Times New Roman" w:ascii="Times New Roman" w:hAnsi="Times New Roman"/>
        </w:rPr>
        <w:t xml:space="preserve">Alex is an 18-year-old White man who has recently began his undergraduate studies at Midwestern State University (MSU) in the United States where he studies philosophy and history. Alex presents for counseling due to his recent “de-conversation” from the Roman Catholic faith Alex had been raised with. Alex had always secretly been skeptical of his Catholic upbringing but did not feel that he was able to address such controversial matters with immediate family. </w:t>
      </w:r>
    </w:p>
    <w:p>
      <w:pPr>
        <w:pStyle w:val="Normal"/>
        <w:ind w:firstLine="720"/>
        <w:rPr>
          <w:rFonts w:ascii="Times New Roman" w:hAnsi="Times New Roman" w:cs="Times New Roman"/>
        </w:rPr>
      </w:pPr>
      <w:r>
        <w:rPr>
          <w:rFonts w:cs="Times New Roman" w:ascii="Times New Roman" w:hAnsi="Times New Roman"/>
        </w:rPr>
        <w:t>Like many first-year students at MSU, Alex is exploring his new sense of freedom by connecting with a few campus groups. Notably, the Atheists, Agnostics, and Skeptics group caught Alex’s attention during an involvement fair, which Alex decided to engage with further. After a few months engaged with the group, Alex felt a great deal of stress and anxiety with abandoning his Catholic faith – a decision that he knew would ultimately be best for his well-being. During Alex’s intake session, he struggles to make meaning of what it means to hold an atheistic worldview. Ben, Alex’s counselor makes note that the search for meaning and feelings of isolation (two of Yalom’s existential givens) are the predominant themes in how Alex presents in therapy. Ben believes that Alex’s newly discovered secular worldview and demonstrated self-reflection make Alex a good candidate for existential therapy.</w:t>
      </w:r>
    </w:p>
    <w:p>
      <w:pPr>
        <w:pStyle w:val="Normal"/>
        <w:ind w:firstLine="720"/>
        <w:rPr>
          <w:rFonts w:ascii="Times New Roman" w:hAnsi="Times New Roman" w:cs="Times New Roman"/>
        </w:rPr>
      </w:pPr>
      <w:r>
        <w:rPr>
          <w:rFonts w:cs="Times New Roman" w:ascii="Times New Roman" w:hAnsi="Times New Roman"/>
        </w:rPr>
        <w:t>Ben recognizes that Alex is simultaneously trying to reconcile multiple existential givens at once, overwhelming himself in the process. Alex feels as though his entire world has been turned upside down through his de-conversion and is trying to make sense of every aspect of his life at once. Ben believes that through psychotherapy, Alex can come to articulate a core fear that undergirds each of the existential givens that he is trying to process through. Articulating this core fear will empower Alex to feel more confident in his ability to recognize the root cause of his anxiety, while tapping into the analytical thinking that Ben knows Alex is well-suited for. Ben recognizes that Alex must overcome their vehement emotional response to this major transition to begin processing what adopting an atheistic worldview ultimately means.</w:t>
      </w:r>
    </w:p>
    <w:p>
      <w:pPr>
        <w:pStyle w:val="Normal"/>
        <w:ind w:firstLine="720"/>
        <w:rPr>
          <w:rFonts w:ascii="Times New Roman" w:hAnsi="Times New Roman" w:cs="Times New Roman"/>
        </w:rPr>
      </w:pPr>
      <w:r>
        <w:rPr>
          <w:rFonts w:cs="Times New Roman" w:ascii="Times New Roman" w:hAnsi="Times New Roman"/>
        </w:rPr>
        <w:t xml:space="preserve">Ben hypothesizes that Alex’s need for authenticity is the key that will allow Alex to begin making meaningful progress through therapy. To ensure a positive outcome from therapy, Ben will have to support Alex in reclaiming a sense of authenticity. Ben anticipates that this might prove somewhat difficult, especially since Alex is still quite connected to his overwhelmingly Catholic family. </w:t>
      </w:r>
    </w:p>
    <w:p>
      <w:pPr>
        <w:pStyle w:val="Normal"/>
        <w:ind w:firstLine="720"/>
        <w:rPr>
          <w:rFonts w:ascii="Times New Roman" w:hAnsi="Times New Roman" w:cs="Times New Roman"/>
        </w:rPr>
      </w:pPr>
      <w:r>
        <w:rPr>
          <w:rFonts w:cs="Times New Roman" w:ascii="Times New Roman" w:hAnsi="Times New Roman"/>
        </w:rPr>
        <w:t>After a few sessions, Ben recognizes the need for Alex to further probe the negative aspects of his anxiety. Alex has made progress over the course of the last month, but still is having trouble with some aspects of his new reality. While this probing might further traumatize Alex’s condition in the short-term, Ben is confident that this will be a powerful tool to aid Alex in constructing his new sense of purpose and self-identity.</w:t>
      </w:r>
    </w:p>
    <w:p>
      <w:pPr>
        <w:pStyle w:val="Normal"/>
        <w:ind w:firstLine="720"/>
        <w:rPr>
          <w:rFonts w:ascii="Times New Roman" w:hAnsi="Times New Roman" w:cs="Times New Roman"/>
        </w:rPr>
      </w:pPr>
      <w:r>
        <w:rPr>
          <w:rFonts w:cs="Times New Roman" w:ascii="Times New Roman" w:hAnsi="Times New Roman"/>
        </w:rPr>
        <w:t>Ben asks Alex to discuss what is important to him. Employing Socratic dialogue to engage in this discussion, Alex concludes that he fears not being accepted by friends and family since coming out as an atheist. He articulates a sadness and fear that he won’t be accepted for who he is. Ben points out that Alex the individual hasn’t fundamentally changed, rather he’s come to a new mechanism of meaning-making. More sessions progress, and Ben notes that Alex is gradually becoming more comfortable exploring feelings of anxiety that Alex initially perceived as paralyzing. Ben believes that Alex has made significant progress in therapy and is prepared to further wrestle with his self-defense mechanisms to avoid feeling of anxiety.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Conclusion</w:t>
      </w:r>
    </w:p>
    <w:p>
      <w:pPr>
        <w:pStyle w:val="Normal"/>
        <w:spacing w:lineRule="auto" w:line="480"/>
        <w:ind w:firstLine="720"/>
        <w:rPr>
          <w:rFonts w:ascii="Times New Roman" w:hAnsi="Times New Roman" w:cs="Times New Roman"/>
        </w:rPr>
      </w:pPr>
      <w:r>
        <w:rPr>
          <w:rFonts w:cs="Times New Roman" w:ascii="Times New Roman" w:hAnsi="Times New Roman"/>
        </w:rPr>
        <w:t>It is important to remember that supporting atheist clients empowers both clinical and client alike to engage in some of the freest and most liberatory self-exploration, particularly within the framework of existential therapy. As to be expected, Alex brought a great deal of internalized trauma to therapy and seemed unable to cope with the anxiety associated with losing his religious worldview. Starting from a place of authentic interest in Alex’s well-being, Ben’s ability to foster introspective reflection within Alex played a pivotal role in empowering Alex to further explore the feelings associated with his de-conversation.</w:t>
      </w:r>
    </w:p>
    <w:p>
      <w:pPr>
        <w:pStyle w:val="Normal"/>
        <w:spacing w:lineRule="auto" w:line="480"/>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rPr>
      </w:pPr>
      <w:r>
        <w:rPr>
          <w:rFonts w:cs="Times New Roman" w:ascii="Times New Roman" w:hAnsi="Times New Roman"/>
        </w:rPr>
      </w:r>
    </w:p>
    <w:p>
      <w:pPr>
        <w:pStyle w:val="Normal"/>
        <w:ind w:firstLine="720"/>
        <w:jc w:val="center"/>
        <w:rPr>
          <w:rFonts w:ascii="Times New Roman" w:hAnsi="Times New Roman" w:cs="Times New Roman"/>
          <w:b/>
          <w:b/>
        </w:rPr>
      </w:pPr>
      <w:r>
        <w:rPr>
          <w:rFonts w:cs="Times New Roman" w:ascii="Times New Roman" w:hAnsi="Times New Roman"/>
          <w:b/>
        </w:rPr>
        <w:t>References</w:t>
      </w:r>
    </w:p>
    <w:p>
      <w:pPr>
        <w:pStyle w:val="Normal"/>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Astin, A., Astin, H. S., &amp; Lindholm, J. A. (2011). Assessing student’s spiritual and religious qualities. </w:t>
      </w:r>
      <w:r>
        <w:rPr>
          <w:rFonts w:cs="Times New Roman" w:ascii="Times New Roman" w:hAnsi="Times New Roman"/>
          <w:i/>
        </w:rPr>
        <w:t>Journal of College Student Development</w:t>
      </w:r>
      <w:r>
        <w:rPr>
          <w:rFonts w:cs="Times New Roman" w:ascii="Times New Roman" w:hAnsi="Times New Roman"/>
        </w:rPr>
        <w:t xml:space="preserve">, </w:t>
      </w:r>
      <w:r>
        <w:rPr>
          <w:rFonts w:cs="Times New Roman" w:ascii="Times New Roman" w:hAnsi="Times New Roman"/>
          <w:i/>
        </w:rPr>
        <w:t>52</w:t>
      </w:r>
      <w:r>
        <w:rPr>
          <w:rFonts w:cs="Times New Roman" w:ascii="Times New Roman" w:hAnsi="Times New Roman"/>
        </w:rPr>
        <w:t>(1), 39-61.</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Brewster, M. E., Robinson, M. A., Sandil, R., Esposito, J., &amp; Geiger, E. (2014). Arrantly absent: Atheism in psychological science from 2001 to 2012. </w:t>
      </w:r>
      <w:r>
        <w:rPr>
          <w:rFonts w:cs="Times New Roman" w:ascii="Times New Roman" w:hAnsi="Times New Roman"/>
          <w:i/>
        </w:rPr>
        <w:t>The Counseling Psychologist</w:t>
      </w:r>
      <w:r>
        <w:rPr>
          <w:rFonts w:cs="Times New Roman" w:ascii="Times New Roman" w:hAnsi="Times New Roman"/>
        </w:rPr>
        <w:t xml:space="preserve">, </w:t>
      </w:r>
      <w:r>
        <w:rPr>
          <w:rFonts w:cs="Times New Roman" w:ascii="Times New Roman" w:hAnsi="Times New Roman"/>
          <w:i/>
        </w:rPr>
        <w:t>42</w:t>
      </w:r>
      <w:r>
        <w:rPr>
          <w:rFonts w:cs="Times New Roman" w:ascii="Times New Roman" w:hAnsi="Times New Roman"/>
        </w:rPr>
        <w:t>, 628-663. doi: 10.1177/0011000014528051</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color w:val="222222"/>
          <w:highlight w:val="white"/>
        </w:rPr>
      </w:pPr>
      <w:r>
        <w:rPr>
          <w:rFonts w:cs="Times New Roman" w:ascii="Times New Roman" w:hAnsi="Times New Roman"/>
          <w:color w:val="222222"/>
          <w:shd w:fill="FFFFFF" w:val="clear"/>
        </w:rPr>
        <w:t xml:space="preserve">Center for Substance Abuse Treatment (1999). Chapter 6 -- Brief humanistic and existential therapies, </w:t>
      </w:r>
      <w:r>
        <w:rPr>
          <w:rFonts w:cs="Times New Roman" w:ascii="Times New Roman" w:hAnsi="Times New Roman"/>
          <w:i/>
          <w:color w:val="222222"/>
          <w:shd w:fill="FFFFFF" w:val="clear"/>
        </w:rPr>
        <w:t>Brief interventions and brief therapies for substance abuse</w:t>
      </w:r>
      <w:r>
        <w:rPr>
          <w:rFonts w:cs="Times New Roman" w:ascii="Times New Roman" w:hAnsi="Times New Roman"/>
          <w:color w:val="222222"/>
          <w:shd w:fill="FFFFFF" w:val="clear"/>
        </w:rPr>
        <w:t xml:space="preserve">. </w:t>
      </w:r>
      <w:r>
        <w:rPr>
          <w:rStyle w:val="Bkciteavail"/>
          <w:rFonts w:cs="Times New Roman" w:ascii="Times New Roman" w:hAnsi="Times New Roman"/>
          <w:color w:val="222222"/>
          <w:shd w:fill="FFFFFF" w:val="clear"/>
        </w:rPr>
        <w:t>Available from: https://www.ncbi.nlm.nih.gov/books/NBK64939/</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Converse, R. W. (2003). </w:t>
      </w:r>
      <w:r>
        <w:rPr>
          <w:rFonts w:cs="Times New Roman" w:ascii="Times New Roman" w:hAnsi="Times New Roman"/>
          <w:i/>
        </w:rPr>
        <w:t>Atheism as a positive social force</w:t>
      </w:r>
      <w:r>
        <w:rPr>
          <w:rFonts w:cs="Times New Roman" w:ascii="Times New Roman" w:hAnsi="Times New Roman"/>
        </w:rPr>
        <w:t>. New York, NY: Algora</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Cooper, M. (2003). Between freedom and despair: Existential challenges and contributions to person-centered and experiential therapy. </w:t>
      </w:r>
      <w:r>
        <w:rPr>
          <w:rFonts w:cs="Times New Roman" w:ascii="Times New Roman" w:hAnsi="Times New Roman"/>
          <w:i/>
        </w:rPr>
        <w:t>Person-Centered and Experiential Psychotherapie</w:t>
      </w:r>
      <w:r>
        <w:rPr>
          <w:rFonts w:cs="Times New Roman" w:ascii="Times New Roman" w:hAnsi="Times New Roman"/>
        </w:rPr>
        <w:t xml:space="preserve">s, </w:t>
      </w:r>
      <w:r>
        <w:rPr>
          <w:rFonts w:cs="Times New Roman" w:ascii="Times New Roman" w:hAnsi="Times New Roman"/>
          <w:i/>
        </w:rPr>
        <w:t>2</w:t>
      </w:r>
      <w:r>
        <w:rPr>
          <w:rFonts w:cs="Times New Roman" w:ascii="Times New Roman" w:hAnsi="Times New Roman"/>
        </w:rPr>
        <w:t xml:space="preserve">(1). 43-56.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Craig, E. (2008). A brief overview of existential depth psychotherapy. </w:t>
      </w:r>
      <w:r>
        <w:rPr>
          <w:rFonts w:cs="Times New Roman" w:ascii="Times New Roman" w:hAnsi="Times New Roman"/>
          <w:i/>
        </w:rPr>
        <w:t>The Humanistic Psychologist</w:t>
      </w:r>
      <w:r>
        <w:rPr>
          <w:rFonts w:cs="Times New Roman" w:ascii="Times New Roman" w:hAnsi="Times New Roman"/>
        </w:rPr>
        <w:t xml:space="preserve">, </w:t>
      </w:r>
      <w:r>
        <w:rPr>
          <w:rFonts w:cs="Times New Roman" w:ascii="Times New Roman" w:hAnsi="Times New Roman"/>
          <w:i/>
        </w:rPr>
        <w:t>36</w:t>
      </w:r>
      <w:r>
        <w:rPr>
          <w:rFonts w:cs="Times New Roman" w:ascii="Times New Roman" w:hAnsi="Times New Roman"/>
        </w:rPr>
        <w:t>, 211-226. doi: 10.1080/08873260802349958</w:t>
      </w:r>
    </w:p>
    <w:p>
      <w:pPr>
        <w:pStyle w:val="Normal"/>
        <w:ind w:left="720" w:hanging="720"/>
        <w:rPr>
          <w:rFonts w:ascii="Times New Roman" w:hAnsi="Times New Roman" w:cs="Times New Roman"/>
        </w:rPr>
      </w:pPr>
      <w:r>
        <w:rPr>
          <w:rFonts w:cs="Times New Roman" w:ascii="Times New Roman" w:hAnsi="Times New Roman"/>
        </w:rPr>
        <w:t xml:space="preserve">D’Andrea, L. M. &amp; Sprenger, J. (2007). Atheism and nonspirituality as diversity issues in counseling. </w:t>
      </w:r>
      <w:r>
        <w:rPr>
          <w:rFonts w:cs="Times New Roman" w:ascii="Times New Roman" w:hAnsi="Times New Roman"/>
          <w:i/>
        </w:rPr>
        <w:t>Counseling and Values</w:t>
      </w:r>
      <w:r>
        <w:rPr>
          <w:rFonts w:cs="Times New Roman" w:ascii="Times New Roman" w:hAnsi="Times New Roman"/>
        </w:rPr>
        <w:t xml:space="preserve">, </w:t>
      </w:r>
      <w:r>
        <w:rPr>
          <w:rFonts w:cs="Times New Roman" w:ascii="Times New Roman" w:hAnsi="Times New Roman"/>
          <w:i/>
        </w:rPr>
        <w:t>51</w:t>
      </w:r>
      <w:r>
        <w:rPr>
          <w:rFonts w:cs="Times New Roman" w:ascii="Times New Roman" w:hAnsi="Times New Roman"/>
        </w:rPr>
        <w:t xml:space="preserve">(2). 149-158.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Feldman, D. B., Fischer, I. C, &amp; Gressis, R. A. (2016). Does religious belief matter for grief and death anxiety? Experimental philosophy meets psychology of religion. </w:t>
      </w:r>
      <w:r>
        <w:rPr>
          <w:rFonts w:cs="Times New Roman" w:ascii="Times New Roman" w:hAnsi="Times New Roman"/>
          <w:i/>
        </w:rPr>
        <w:t>Journal for the Scientific Study of Religion</w:t>
      </w:r>
      <w:r>
        <w:rPr>
          <w:rFonts w:cs="Times New Roman" w:ascii="Times New Roman" w:hAnsi="Times New Roman"/>
        </w:rPr>
        <w:t xml:space="preserve">. </w:t>
      </w:r>
      <w:r>
        <w:rPr>
          <w:rFonts w:cs="Times New Roman" w:ascii="Times New Roman" w:hAnsi="Times New Roman"/>
          <w:i/>
        </w:rPr>
        <w:t>55</w:t>
      </w:r>
      <w:r>
        <w:rPr>
          <w:rFonts w:cs="Times New Roman" w:ascii="Times New Roman" w:hAnsi="Times New Roman"/>
        </w:rPr>
        <w:t>(3). 531-539.</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Frankl, V. E. (1984). </w:t>
      </w:r>
      <w:r>
        <w:rPr>
          <w:rFonts w:cs="Times New Roman" w:ascii="Times New Roman" w:hAnsi="Times New Roman"/>
          <w:i/>
        </w:rPr>
        <w:t>Man’s search for meaning</w:t>
      </w:r>
      <w:r>
        <w:rPr>
          <w:rFonts w:cs="Times New Roman" w:ascii="Times New Roman" w:hAnsi="Times New Roman"/>
        </w:rPr>
        <w:t>. New York, NY: Pocket Books</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Love, P. &amp; Talbot, D. (2000). Defining spiritual development: A missing consideration for student affairs, </w:t>
      </w:r>
      <w:r>
        <w:rPr>
          <w:rFonts w:cs="Times New Roman" w:ascii="Times New Roman" w:hAnsi="Times New Roman"/>
          <w:i/>
        </w:rPr>
        <w:t>NASPA Journal</w:t>
      </w:r>
      <w:r>
        <w:rPr>
          <w:rFonts w:cs="Times New Roman" w:ascii="Times New Roman" w:hAnsi="Times New Roman"/>
        </w:rPr>
        <w:t xml:space="preserve">, </w:t>
      </w:r>
      <w:r>
        <w:rPr>
          <w:rFonts w:cs="Times New Roman" w:ascii="Times New Roman" w:hAnsi="Times New Roman"/>
          <w:i/>
        </w:rPr>
        <w:t>37</w:t>
      </w:r>
      <w:r>
        <w:rPr>
          <w:rFonts w:cs="Times New Roman" w:ascii="Times New Roman" w:hAnsi="Times New Roman"/>
        </w:rPr>
        <w:t>(1), 361-375, doi: 10.2202/1949-6605.1097</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highlight w:val="white"/>
        </w:rPr>
      </w:pPr>
      <w:r>
        <w:rPr>
          <w:rFonts w:cs="Times New Roman" w:ascii="Times New Roman" w:hAnsi="Times New Roman"/>
        </w:rPr>
        <w:t xml:space="preserve">Mueller, J. A. (2012). Understanding the atheist college student: A qualitative examination. </w:t>
      </w:r>
      <w:r>
        <w:rPr>
          <w:rFonts w:cs="Times New Roman" w:ascii="Times New Roman" w:hAnsi="Times New Roman"/>
          <w:i/>
        </w:rPr>
        <w:t>Journal of Student Affairs Research and Practice</w:t>
      </w:r>
      <w:r>
        <w:rPr>
          <w:rFonts w:cs="Times New Roman" w:ascii="Times New Roman" w:hAnsi="Times New Roman"/>
        </w:rPr>
        <w:t xml:space="preserve">. </w:t>
      </w:r>
      <w:r>
        <w:rPr>
          <w:rFonts w:cs="Times New Roman" w:ascii="Times New Roman" w:hAnsi="Times New Roman"/>
          <w:i/>
        </w:rPr>
        <w:t>49</w:t>
      </w:r>
      <w:r>
        <w:rPr>
          <w:rFonts w:cs="Times New Roman" w:ascii="Times New Roman" w:hAnsi="Times New Roman"/>
        </w:rPr>
        <w:t xml:space="preserve">(3). 249-266. doi: </w:t>
      </w:r>
      <w:r>
        <w:rPr>
          <w:rFonts w:cs="Times New Roman" w:ascii="Times New Roman" w:hAnsi="Times New Roman"/>
          <w:shd w:fill="FFFFFF" w:val="clear"/>
        </w:rPr>
        <w:t>10.1515/jsarp-2012-6439</w:t>
      </w:r>
    </w:p>
    <w:p>
      <w:pPr>
        <w:pStyle w:val="Normal"/>
        <w:ind w:left="720" w:hanging="720"/>
        <w:rPr>
          <w:rFonts w:ascii="Times New Roman" w:hAnsi="Times New Roman" w:cs="Times New Roman"/>
          <w:highlight w:val="white"/>
        </w:rPr>
      </w:pPr>
      <w:r>
        <w:rPr>
          <w:rFonts w:cs="Times New Roman" w:ascii="Times New Roman" w:hAnsi="Times New Roman"/>
          <w:shd w:fill="FFFFFF" w:val="clear"/>
        </w:rPr>
      </w:r>
    </w:p>
    <w:p>
      <w:pPr>
        <w:pStyle w:val="Normal"/>
        <w:ind w:left="720" w:hanging="720"/>
        <w:rPr>
          <w:rFonts w:ascii="Times New Roman" w:hAnsi="Times New Roman" w:cs="Times New Roman"/>
          <w:highlight w:val="white"/>
        </w:rPr>
      </w:pPr>
      <w:r>
        <w:rPr>
          <w:rFonts w:cs="Times New Roman" w:ascii="Times New Roman" w:hAnsi="Times New Roman"/>
          <w:shd w:fill="FFFFFF" w:val="clear"/>
        </w:rPr>
        <w:t xml:space="preserve">Murdock, N. L. (2017). </w:t>
      </w:r>
      <w:r>
        <w:rPr>
          <w:rFonts w:cs="Times New Roman" w:ascii="Times New Roman" w:hAnsi="Times New Roman"/>
          <w:i/>
          <w:shd w:fill="FFFFFF" w:val="clear"/>
        </w:rPr>
        <w:t>Theories of counseling and psychotherapy: A case approach</w:t>
      </w:r>
      <w:r>
        <w:rPr>
          <w:rFonts w:cs="Times New Roman" w:ascii="Times New Roman" w:hAnsi="Times New Roman"/>
          <w:shd w:fill="FFFFFF" w:val="clear"/>
        </w:rPr>
        <w:t xml:space="preserve"> (4</w:t>
      </w:r>
      <w:r>
        <w:rPr>
          <w:rFonts w:cs="Times New Roman" w:ascii="Times New Roman" w:hAnsi="Times New Roman"/>
          <w:shd w:fill="FFFFFF" w:val="clear"/>
          <w:vertAlign w:val="superscript"/>
        </w:rPr>
        <w:t>th</w:t>
      </w:r>
      <w:r>
        <w:rPr>
          <w:rFonts w:cs="Times New Roman" w:ascii="Times New Roman" w:hAnsi="Times New Roman"/>
          <w:shd w:fill="FFFFFF" w:val="clear"/>
        </w:rPr>
        <w:t xml:space="preserve"> ed.). Boston, MA: Pearson</w:t>
      </w:r>
    </w:p>
    <w:p>
      <w:pPr>
        <w:pStyle w:val="Normal"/>
        <w:ind w:left="720" w:hanging="720"/>
        <w:rPr>
          <w:rFonts w:ascii="Times New Roman" w:hAnsi="Times New Roman" w:cs="Times New Roman"/>
          <w:highlight w:val="white"/>
        </w:rPr>
      </w:pPr>
      <w:r>
        <w:rPr>
          <w:rFonts w:cs="Times New Roman" w:ascii="Times New Roman" w:hAnsi="Times New Roman"/>
          <w:shd w:fill="FFFFFF" w:val="clear"/>
        </w:rPr>
      </w:r>
    </w:p>
    <w:p>
      <w:pPr>
        <w:pStyle w:val="Normal"/>
        <w:ind w:left="720" w:hanging="720"/>
        <w:rPr>
          <w:rFonts w:ascii="Times New Roman" w:hAnsi="Times New Roman" w:cs="Times New Roman"/>
        </w:rPr>
      </w:pPr>
      <w:r>
        <w:rPr>
          <w:rFonts w:cs="Times New Roman" w:ascii="Times New Roman" w:hAnsi="Times New Roman"/>
        </w:rPr>
        <w:t xml:space="preserve">Parks, S. (2000). </w:t>
      </w:r>
      <w:r>
        <w:rPr>
          <w:rFonts w:cs="Times New Roman" w:ascii="Times New Roman" w:hAnsi="Times New Roman"/>
          <w:i/>
        </w:rPr>
        <w:t>Big questions, worthy dreams: Mentoring young adults in their search for meaning, purpose, and faith</w:t>
      </w:r>
      <w:r>
        <w:rPr>
          <w:rFonts w:cs="Times New Roman" w:ascii="Times New Roman" w:hAnsi="Times New Roman"/>
        </w:rPr>
        <w:t xml:space="preserve">. San Francisco: Jossey-Bass.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Pennycook, G., Ross, R. M., Koehler, D. J, &amp; Fugelsand, J. A (2016). Atheists and agnostics are more reflective than religious believers: Four empirical studies and a meta-analysis. PLoS ONE </w:t>
      </w:r>
      <w:r>
        <w:rPr>
          <w:rFonts w:cs="Times New Roman" w:ascii="Times New Roman" w:hAnsi="Times New Roman"/>
          <w:i/>
        </w:rPr>
        <w:t>11</w:t>
      </w:r>
      <w:r>
        <w:rPr>
          <w:rFonts w:cs="Times New Roman" w:ascii="Times New Roman" w:hAnsi="Times New Roman"/>
        </w:rPr>
        <w:t>(4): e0153039. doi:10.1371/journal.pone.0153039.</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pPr>
      <w:r>
        <w:rPr>
          <w:rFonts w:cs="Times New Roman" w:ascii="Times New Roman" w:hAnsi="Times New Roman"/>
        </w:rPr>
        <w:t xml:space="preserve">Pew Research Center (2010, February). </w:t>
      </w:r>
      <w:r>
        <w:rPr>
          <w:rFonts w:cs="Times New Roman" w:ascii="Times New Roman" w:hAnsi="Times New Roman"/>
          <w:i/>
        </w:rPr>
        <w:t>Religion among the millennials</w:t>
      </w:r>
      <w:r>
        <w:rPr>
          <w:rFonts w:cs="Times New Roman" w:ascii="Times New Roman" w:hAnsi="Times New Roman"/>
        </w:rPr>
        <w:t xml:space="preserve">. Retrieved October 14, 2018 from </w:t>
      </w:r>
      <w:hyperlink r:id="rId2">
        <w:r>
          <w:rPr>
            <w:rStyle w:val="InternetLink"/>
            <w:rFonts w:cs="Times New Roman" w:ascii="Times New Roman" w:hAnsi="Times New Roman"/>
          </w:rPr>
          <w:t>http://www.pewforum.org/2010/02/17/religion-among-the-millennials/</w:t>
        </w:r>
      </w:hyperlink>
    </w:p>
    <w:p>
      <w:pPr>
        <w:pStyle w:val="Normal"/>
        <w:ind w:left="720" w:hanging="720"/>
        <w:rPr>
          <w:rFonts w:ascii="Times New Roman" w:hAnsi="Times New Roman" w:cs="Times New Roman"/>
        </w:rPr>
      </w:pPr>
      <w:r>
        <w:rPr>
          <w:rFonts w:cs="Times New Roman" w:ascii="Times New Roman" w:hAnsi="Times New Roman"/>
        </w:rPr>
      </w:r>
    </w:p>
    <w:p>
      <w:pPr>
        <w:pStyle w:val="Normal"/>
        <w:shd w:val="clear" w:color="auto" w:fill="FFFFFF"/>
        <w:ind w:left="720" w:hanging="720"/>
        <w:rPr>
          <w:rFonts w:ascii="Times New Roman" w:hAnsi="Times New Roman" w:eastAsia="Times New Roman" w:cs="Times New Roman"/>
          <w:sz w:val="26"/>
          <w:szCs w:val="26"/>
        </w:rPr>
      </w:pPr>
      <w:r>
        <w:rPr>
          <w:rFonts w:cs="Times New Roman" w:ascii="Times New Roman" w:hAnsi="Times New Roman"/>
        </w:rPr>
        <w:t xml:space="preserve">Pew Research Center (2012, June). </w:t>
      </w:r>
      <w:r>
        <w:rPr>
          <w:rFonts w:cs="Times New Roman" w:ascii="Times New Roman" w:hAnsi="Times New Roman"/>
          <w:i/>
        </w:rPr>
        <w:t>Trends in American values: 1987-2012</w:t>
      </w:r>
      <w:r>
        <w:rPr>
          <w:rFonts w:cs="Times New Roman" w:ascii="Times New Roman" w:hAnsi="Times New Roman"/>
        </w:rPr>
        <w:t xml:space="preserve">. Retrieved October 14, 2018 from </w:t>
      </w:r>
      <w:r>
        <w:rPr>
          <w:rFonts w:eastAsia="Times New Roman" w:cs="Times New Roman" w:ascii="Times New Roman" w:hAnsi="Times New Roman"/>
          <w:sz w:val="26"/>
          <w:szCs w:val="26"/>
        </w:rPr>
        <w:t xml:space="preserve">http://www.people-press.org/2012/06/04/partisan-polarization-surges-in-bush-obama-years/ </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Smith, G. H. (1979). </w:t>
      </w:r>
      <w:r>
        <w:rPr>
          <w:rFonts w:cs="Times New Roman" w:ascii="Times New Roman" w:hAnsi="Times New Roman"/>
          <w:i/>
        </w:rPr>
        <w:t>Atheism: The case against God</w:t>
      </w:r>
      <w:r>
        <w:rPr>
          <w:rFonts w:cs="Times New Roman" w:ascii="Times New Roman" w:hAnsi="Times New Roman"/>
        </w:rPr>
        <w:t>. Buffalo, NY: Prometheus Books.</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shd w:fill="FFFFFF" w:val="clear"/>
        </w:rPr>
        <w:t>Spinelli, E. (2005). The phenomenological method. In: E. Spinelli, ed., </w:t>
      </w:r>
      <w:r>
        <w:rPr>
          <w:rFonts w:cs="Times New Roman" w:ascii="Times New Roman" w:hAnsi="Times New Roman"/>
          <w:i/>
          <w:iCs/>
          <w:shd w:fill="FFFFFF" w:val="clear"/>
        </w:rPr>
        <w:t>The interpreted world: An introduction to phenomenological psychology</w:t>
      </w:r>
      <w:r>
        <w:rPr>
          <w:rFonts w:cs="Times New Roman" w:ascii="Times New Roman" w:hAnsi="Times New Roman"/>
          <w:shd w:fill="FFFFFF" w:val="clear"/>
        </w:rPr>
        <w:t>, 2nd ed. London: Sage, pp.19-34.</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Vontress, C. E. (2013). Existential therapy. In J. Frew &amp; M. D. Spiegler (Eds.), </w:t>
      </w:r>
      <w:r>
        <w:rPr>
          <w:rFonts w:cs="Times New Roman" w:ascii="Times New Roman" w:hAnsi="Times New Roman"/>
          <w:i/>
        </w:rPr>
        <w:t>Contemporary psychotherapies for a diverse world</w:t>
      </w:r>
      <w:r>
        <w:rPr>
          <w:rFonts w:cs="Times New Roman" w:ascii="Times New Roman" w:hAnsi="Times New Roman"/>
        </w:rPr>
        <w:t xml:space="preserve"> (pp. 131-164). New York, NY: Routledge.</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Yalom, I. D. (1980). </w:t>
      </w:r>
      <w:r>
        <w:rPr>
          <w:rFonts w:cs="Times New Roman" w:ascii="Times New Roman" w:hAnsi="Times New Roman"/>
          <w:i/>
        </w:rPr>
        <w:t>Existential psychotherapy</w:t>
      </w:r>
      <w:r>
        <w:rPr>
          <w:rFonts w:cs="Times New Roman" w:ascii="Times New Roman" w:hAnsi="Times New Roman"/>
        </w:rPr>
        <w:t>. New York, NY: Basic Books.</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t xml:space="preserve">Yalom, I. D. &amp; Josselson, R. (2014). Existential psychotherapy. In D. Wedding &amp; R. J. Corsini (Eds.), </w:t>
      </w:r>
      <w:r>
        <w:rPr>
          <w:rFonts w:cs="Times New Roman" w:ascii="Times New Roman" w:hAnsi="Times New Roman"/>
          <w:i/>
        </w:rPr>
        <w:t>Current psychotherapies</w:t>
      </w:r>
      <w:r>
        <w:rPr>
          <w:rFonts w:cs="Times New Roman" w:ascii="Times New Roman" w:hAnsi="Times New Roman"/>
        </w:rPr>
        <w:t>. (9</w:t>
      </w:r>
      <w:r>
        <w:rPr>
          <w:rFonts w:cs="Times New Roman" w:ascii="Times New Roman" w:hAnsi="Times New Roman"/>
          <w:vertAlign w:val="superscript"/>
        </w:rPr>
        <w:t>th</w:t>
      </w:r>
      <w:r>
        <w:rPr>
          <w:rFonts w:cs="Times New Roman" w:ascii="Times New Roman" w:hAnsi="Times New Roman"/>
        </w:rPr>
        <w:t xml:space="preserve"> ed., pp. 265-298). Belmont, CA: Brooks/Coles</w:t>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pPr>
      <w:r>
        <w:rPr/>
      </w:r>
      <w:bookmarkStart w:id="2" w:name="_Hlk527345098"/>
      <w:bookmarkStart w:id="3" w:name="_Hlk527345098"/>
      <w:bookmarkEnd w:id="3"/>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ind w:left="720" w:hanging="72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rPr>
        <w:t xml:space="preserve">Joseph Diodato </w:t>
      </w:r>
    </w:p>
    <w:sectPr>
      <w:headerReference w:type="default" r:id="rId3"/>
      <w:headerReference w:type="first" r:id="rId4"/>
      <w:footerReference w:type="default" r:id="rId5"/>
      <w:footerReference w:type="first" r:id="rId6"/>
      <w:type w:val="nextPage"/>
      <w:pgSz w:w="12240" w:h="15840"/>
      <w:pgMar w:left="1440" w:right="1440" w:header="720" w:top="1440" w:footer="720" w:bottom="1440"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033033409"/>
    </w:sdtPr>
    <w:sdtContent>
      <w:p>
        <w:pPr>
          <w:pStyle w:val="Footer"/>
          <w:jc w:val="right"/>
          <w:rPr/>
        </w:pPr>
        <w:r>
          <w:rPr/>
          <w:fldChar w:fldCharType="begin"/>
        </w:r>
        <w:r>
          <w:rPr/>
          <w:instrText> PAGE </w:instrText>
        </w:r>
        <w:r>
          <w:rPr/>
          <w:fldChar w:fldCharType="separate"/>
        </w:r>
        <w:r>
          <w:rPr/>
          <w:t>13</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left" w:pos="1792" w:leader="none"/>
      </w:tabs>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EXISTENTIAL THERAPY AND ATHEIST CLIENTS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Running Head: EXISTENTIAL THERAPY AND ATHEIST CLIENTS</w:t>
    </w:r>
  </w:p>
  <w:p>
    <w:pPr>
      <w:pStyle w:val="Header"/>
      <w:rPr/>
    </w:pPr>
    <w:r>
      <w:rPr/>
    </w:r>
  </w:p>
</w:hdr>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009c156c"/>
    <w:rPr>
      <w:color w:val="0563C1" w:themeColor="hyperlink"/>
      <w:u w:val="single"/>
    </w:rPr>
  </w:style>
  <w:style w:type="character" w:styleId="UnresolvedMention">
    <w:name w:val="Unresolved Mention"/>
    <w:basedOn w:val="DefaultParagraphFont"/>
    <w:uiPriority w:val="99"/>
    <w:qFormat/>
    <w:rsid w:val="009c156c"/>
    <w:rPr>
      <w:color w:val="605E5C"/>
      <w:shd w:fill="E1DFDD" w:val="clear"/>
    </w:rPr>
  </w:style>
  <w:style w:type="character" w:styleId="Bkciteavail" w:customStyle="1">
    <w:name w:val="bk_cite_avail"/>
    <w:basedOn w:val="DefaultParagraphFont"/>
    <w:qFormat/>
    <w:rsid w:val="00d455b3"/>
    <w:rPr/>
  </w:style>
  <w:style w:type="character" w:styleId="Emphasis">
    <w:name w:val="Emphasis"/>
    <w:basedOn w:val="DefaultParagraphFont"/>
    <w:uiPriority w:val="20"/>
    <w:qFormat/>
    <w:rsid w:val="00141400"/>
    <w:rPr>
      <w:i/>
      <w:iCs/>
    </w:rPr>
  </w:style>
  <w:style w:type="character" w:styleId="Author" w:customStyle="1">
    <w:name w:val="author"/>
    <w:basedOn w:val="DefaultParagraphFont"/>
    <w:qFormat/>
    <w:rsid w:val="00e75e95"/>
    <w:rPr/>
  </w:style>
  <w:style w:type="character" w:styleId="Pubyear" w:customStyle="1">
    <w:name w:val="pubyear"/>
    <w:basedOn w:val="DefaultParagraphFont"/>
    <w:qFormat/>
    <w:rsid w:val="00e75e95"/>
    <w:rPr/>
  </w:style>
  <w:style w:type="character" w:styleId="Articletitle" w:customStyle="1">
    <w:name w:val="articletitle"/>
    <w:basedOn w:val="DefaultParagraphFont"/>
    <w:qFormat/>
    <w:rsid w:val="00e75e95"/>
    <w:rPr/>
  </w:style>
  <w:style w:type="character" w:styleId="Journaltitle" w:customStyle="1">
    <w:name w:val="journaltitle"/>
    <w:basedOn w:val="DefaultParagraphFont"/>
    <w:qFormat/>
    <w:rsid w:val="00e75e95"/>
    <w:rPr/>
  </w:style>
  <w:style w:type="character" w:styleId="Vol" w:customStyle="1">
    <w:name w:val="vol"/>
    <w:basedOn w:val="DefaultParagraphFont"/>
    <w:qFormat/>
    <w:rsid w:val="00e75e95"/>
    <w:rPr/>
  </w:style>
  <w:style w:type="character" w:styleId="Pagefirst" w:customStyle="1">
    <w:name w:val="pagefirst"/>
    <w:basedOn w:val="DefaultParagraphFont"/>
    <w:qFormat/>
    <w:rsid w:val="00e75e95"/>
    <w:rPr/>
  </w:style>
  <w:style w:type="character" w:styleId="Pagelast" w:customStyle="1">
    <w:name w:val="pagelast"/>
    <w:basedOn w:val="DefaultParagraphFont"/>
    <w:qFormat/>
    <w:rsid w:val="00e75e95"/>
    <w:rPr/>
  </w:style>
  <w:style w:type="character" w:styleId="HeaderChar" w:customStyle="1">
    <w:name w:val="Header Char"/>
    <w:basedOn w:val="DefaultParagraphFont"/>
    <w:link w:val="Header"/>
    <w:uiPriority w:val="99"/>
    <w:qFormat/>
    <w:rsid w:val="005b5b48"/>
    <w:rPr/>
  </w:style>
  <w:style w:type="character" w:styleId="FooterChar" w:customStyle="1">
    <w:name w:val="Footer Char"/>
    <w:basedOn w:val="DefaultParagraphFont"/>
    <w:link w:val="Footer"/>
    <w:uiPriority w:val="99"/>
    <w:qFormat/>
    <w:rsid w:val="005b5b48"/>
    <w:rPr/>
  </w:style>
  <w:style w:type="character" w:styleId="ListLabel1">
    <w:name w:val="ListLabel 1"/>
    <w:qFormat/>
    <w:rPr>
      <w:rFonts w:eastAsia="Calibri" w:cs="Calibri"/>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ascii="Times New Roman" w:hAnsi="Times New Roman" w:cs="Times New Roman"/>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6e5202"/>
    <w:pPr>
      <w:spacing w:before="0" w:after="0"/>
      <w:ind w:left="720" w:hanging="0"/>
      <w:contextualSpacing/>
    </w:pPr>
    <w:rPr/>
  </w:style>
  <w:style w:type="paragraph" w:styleId="Citationindent" w:customStyle="1">
    <w:name w:val="citationindent"/>
    <w:basedOn w:val="Normal"/>
    <w:qFormat/>
    <w:rsid w:val="00141400"/>
    <w:pPr>
      <w:spacing w:beforeAutospacing="1" w:afterAutospacing="1"/>
    </w:pPr>
    <w:rPr>
      <w:rFonts w:ascii="Times New Roman" w:hAnsi="Times New Roman" w:eastAsia="Times New Roman" w:cs="Times New Roman"/>
    </w:rPr>
  </w:style>
  <w:style w:type="paragraph" w:styleId="Header">
    <w:name w:val="Header"/>
    <w:basedOn w:val="Normal"/>
    <w:link w:val="HeaderChar"/>
    <w:uiPriority w:val="99"/>
    <w:unhideWhenUsed/>
    <w:rsid w:val="005b5b48"/>
    <w:pPr>
      <w:tabs>
        <w:tab w:val="center" w:pos="4680" w:leader="none"/>
        <w:tab w:val="right" w:pos="9360" w:leader="none"/>
      </w:tabs>
    </w:pPr>
    <w:rPr/>
  </w:style>
  <w:style w:type="paragraph" w:styleId="Footer">
    <w:name w:val="Footer"/>
    <w:basedOn w:val="Normal"/>
    <w:link w:val="FooterChar"/>
    <w:uiPriority w:val="99"/>
    <w:unhideWhenUsed/>
    <w:rsid w:val="005b5b48"/>
    <w:pPr>
      <w:tabs>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ewforum.org/2010/02/17/religion-among-the-millennial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LibreOffice/6.0.7.3$Linux_X86_64 LibreOffice_project/00m0$Build-3</Application>
  <Pages>10</Pages>
  <Words>3002</Words>
  <Characters>17264</Characters>
  <CharactersWithSpaces>20230</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2018-10-15T13:45:00Z</dcterms:created>
  <dc:creator>Microsoft Office User</dc:creator>
  <dc:description/>
  <dc:language>en-US</dc:language>
  <cp:lastModifiedBy>Diodato, Joe</cp:lastModifiedBy>
  <dcterms:modified xsi:type="dcterms:W3CDTF">2018-10-15T13:45:00Z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