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charts/chart2.xml" ContentType="application/vnd.openxmlformats-officedocument.drawingml.chart+xml"/>
  <Override PartName="/word/charts/chart1.xml" ContentType="application/vnd.openxmlformats-officedocument.drawingml.chart+xml"/>
  <Override PartName="/word/header1.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rPr>
      </w:pPr>
      <w:r>
        <w:rPr>
          <w:b/>
        </w:rPr>
      </w:r>
    </w:p>
    <w:p>
      <w:pPr>
        <w:pStyle w:val="Normal"/>
        <w:rPr/>
      </w:pPr>
      <w:r>
        <w:rPr/>
        <w:drawing>
          <wp:inline distT="0" distB="0" distL="0" distR="0">
            <wp:extent cx="4114800" cy="2743200"/>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2"/>
              </a:graphicData>
            </a:graphic>
          </wp:inline>
        </w:drawing>
      </w:r>
      <w:r>
        <w:rPr/>
        <w:drawing>
          <wp:inline distT="0" distB="0" distL="0" distR="0">
            <wp:extent cx="4114800" cy="2743200"/>
            <wp:effectExtent l="0" t="0" r="0" b="0"/>
            <wp:docPr id="2"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Normal"/>
        <w:widowControl/>
        <w:bidi w:val="0"/>
        <w:spacing w:lineRule="auto" w:line="259" w:before="0" w:after="160"/>
        <w:jc w:val="left"/>
        <w:rPr/>
      </w:pPr>
      <w:r>
        <w:rPr>
          <w:sz w:val="21"/>
          <w:szCs w:val="21"/>
        </w:rPr>
        <w:t>From 1994 to 2014, the number of undergraduates enrolled in post-secondary education increased by about 4.1 million students. While the number of White students enrolled in public institutions declined by 15.77% and 10.25% at private non-profit institutions, students of color are accessing higher education in numbers greater than before.</w:t>
      </w:r>
      <w:r>
        <w:rPr>
          <w:rStyle w:val="FootnoteCharacters"/>
          <w:rStyle w:val="FootnoteAnchor"/>
          <w:sz w:val="21"/>
          <w:szCs w:val="21"/>
        </w:rPr>
        <w:footnoteReference w:id="2"/>
      </w:r>
      <w:r>
        <w:rPr>
          <w:sz w:val="21"/>
          <w:szCs w:val="21"/>
        </w:rPr>
        <w:t xml:space="preserve"> With regards to the three racial demographics illustrated in the data set, Hispanic students achieved the greatest growth in access to higher education, more than doubling access at public institutions to constitute 22.17% of students enrolled in public institutions. Hispanic experiences experienced a similar increase in enrollment by 7.07% at private non-profit institutions, but not quite doubling their 1994 headcount. Black students have enjoyed similar levels of access to private non-profit institutions, but did not quite double enrollment during the time period represented by the data. It is particularly interesting that despite the increasing racial diversity in our student populations, the percentage of White students enrolled in private institution between 1994-2014 only dropped from 15.56% to 13.85%, a difference of less than two percent. It could be inferred from this data that despite an increased focus on affirmative action programs in the last few decades, students of color still experience significant boundaries to accessing higher education, particularly at private institutions. Despite systemic barriers, the data suggests that public institutions are paving the way for diverse populations to achieve higher education. This is particularly evident in the 12.33% increase in Hispanic students accessing public higher education institutions between 1994 and 2014</w:t>
      </w:r>
      <w:bookmarkStart w:id="0" w:name="_GoBack"/>
      <w:bookmarkEnd w:id="0"/>
      <w:r>
        <w:rPr>
          <w:sz w:val="21"/>
          <w:szCs w:val="21"/>
        </w:rPr>
        <w:t>.</w:t>
      </w:r>
    </w:p>
    <w:sectPr>
      <w:headerReference w:type="default" r:id="rId4"/>
      <w:footnotePr>
        <w:numFmt w:val="decimal"/>
      </w:footnotePr>
      <w:type w:val="nextPage"/>
      <w:pgSz w:orient="landscape" w:w="15840" w:h="12240"/>
      <w:pgMar w:left="1440" w:right="1440" w:header="72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Footnote"/>
        <w:rPr/>
      </w:pPr>
      <w:r>
        <w:rPr>
          <w:rStyle w:val="FootnoteCharacters"/>
        </w:rPr>
        <w:footnoteRef/>
      </w:r>
      <w:r>
        <w:rPr>
          <w:rStyle w:val="FootnoteCharacters"/>
        </w:rPr>
        <w:tab/>
      </w:r>
      <w:r>
        <w:rPr/>
        <w:t xml:space="preserve"> </w:t>
      </w:r>
      <w:r>
        <w:rPr/>
        <w:t xml:space="preserve">The analysis is based on a data set which is limited to domestic students of known ethnicity, specifically focusing on White, Black, and Hispanic students.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pPr>
    <w:r>
      <w:rPr/>
      <w:t>Joseph A. Diodato</w:t>
    </w:r>
  </w:p>
  <w:p>
    <w:pPr>
      <w:pStyle w:val="Header"/>
      <w:jc w:val="right"/>
      <w:rPr/>
    </w:pPr>
    <w:r>
      <w:rPr/>
      <w:t>Data Visualization</w:t>
    </w:r>
  </w:p>
  <w:p>
    <w:pPr>
      <w:pStyle w:val="Header"/>
      <w:jc w:val="right"/>
      <w:rPr/>
    </w:pPr>
    <w:r>
      <w:rPr/>
      <w:t>EDUC-C661, Spring 2018</w:t>
    </w:r>
  </w:p>
</w:hdr>
</file>

<file path=word/settings.xml><?xml version="1.0" encoding="utf-8"?>
<w:settings xmlns:w="http://schemas.openxmlformats.org/wordprocessingml/2006/main">
  <w:zoom w:percent="100"/>
  <w:defaultTabStop w:val="72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FootnoteTextChar" w:customStyle="1">
    <w:name w:val="Footnote Text Char"/>
    <w:basedOn w:val="DefaultParagraphFont"/>
    <w:link w:val="FootnoteText"/>
    <w:uiPriority w:val="99"/>
    <w:semiHidden/>
    <w:qFormat/>
    <w:rsid w:val="00501be7"/>
    <w:rPr>
      <w:sz w:val="20"/>
      <w:szCs w:val="20"/>
    </w:rPr>
  </w:style>
  <w:style w:type="character" w:styleId="FootnoteCharacters">
    <w:name w:val="Footnote Characters"/>
    <w:basedOn w:val="DefaultParagraphFont"/>
    <w:uiPriority w:val="99"/>
    <w:semiHidden/>
    <w:unhideWhenUsed/>
    <w:qFormat/>
    <w:rsid w:val="00501be7"/>
    <w:rPr>
      <w:vertAlign w:val="superscript"/>
    </w:rPr>
  </w:style>
  <w:style w:type="character" w:styleId="FootnoteAnchor">
    <w:name w:val="Footnote Anchor"/>
    <w:rPr>
      <w:vertAlign w:val="superscript"/>
    </w:rPr>
  </w:style>
  <w:style w:type="character" w:styleId="HeaderChar" w:customStyle="1">
    <w:name w:val="Header Char"/>
    <w:basedOn w:val="DefaultParagraphFont"/>
    <w:link w:val="Header"/>
    <w:uiPriority w:val="99"/>
    <w:qFormat/>
    <w:rsid w:val="00f56a63"/>
    <w:rPr/>
  </w:style>
  <w:style w:type="character" w:styleId="FooterChar" w:customStyle="1">
    <w:name w:val="Footer Char"/>
    <w:basedOn w:val="DefaultParagraphFont"/>
    <w:link w:val="Footer"/>
    <w:uiPriority w:val="99"/>
    <w:qFormat/>
    <w:rsid w:val="00f56a63"/>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ootnote">
    <w:name w:val="Footnote Text"/>
    <w:basedOn w:val="Normal"/>
    <w:link w:val="FootnoteTextChar"/>
    <w:uiPriority w:val="99"/>
    <w:semiHidden/>
    <w:unhideWhenUsed/>
    <w:rsid w:val="00501be7"/>
    <w:pPr>
      <w:spacing w:lineRule="auto" w:line="240" w:before="0" w:after="0"/>
    </w:pPr>
    <w:rPr>
      <w:sz w:val="20"/>
      <w:szCs w:val="20"/>
    </w:rPr>
  </w:style>
  <w:style w:type="paragraph" w:styleId="Header">
    <w:name w:val="Header"/>
    <w:basedOn w:val="Normal"/>
    <w:link w:val="HeaderChar"/>
    <w:uiPriority w:val="99"/>
    <w:unhideWhenUsed/>
    <w:rsid w:val="00f56a63"/>
    <w:pPr>
      <w:tabs>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f56a63"/>
    <w:pPr>
      <w:tabs>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hart" Target="charts/chart1.xml"/><Relationship Id="rId3" Type="http://schemas.openxmlformats.org/officeDocument/2006/relationships/chart" Target="charts/chart2.xml"/><Relationship Id="rId4" Type="http://schemas.openxmlformats.org/officeDocument/2006/relationships/header" Target="header1.xm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sz="1400" spc="-1" strike="noStrike">
                <a:solidFill>
                  <a:srgbClr val="595959"/>
                </a:solidFill>
                <a:latin typeface="Calibri"/>
              </a:defRPr>
            </a:pPr>
            <a:r>
              <a:rPr b="0" sz="1400" spc="-1" strike="noStrike">
                <a:solidFill>
                  <a:srgbClr val="595959"/>
                </a:solidFill>
                <a:latin typeface="Calibri"/>
              </a:rPr>
              <a:t>Enrollment at Public Institutions by Race, 1994-2014</a:t>
            </a:r>
          </a:p>
        </c:rich>
      </c:tx>
      <c:overlay val="0"/>
      <c:spPr>
        <a:noFill/>
        <a:ln>
          <a:noFill/>
        </a:ln>
      </c:spPr>
    </c:title>
    <c:autoTitleDeleted val="0"/>
    <c:plotArea>
      <c:barChart>
        <c:barDir val="col"/>
        <c:grouping val="clustered"/>
        <c:varyColors val="0"/>
        <c:ser>
          <c:idx val="0"/>
          <c:order val="0"/>
          <c:tx>
            <c:strRef>
              <c:f>label 0</c:f>
              <c:strCache>
                <c:ptCount val="1"/>
                <c:pt idx="0">
                  <c:v>1994</c:v>
                </c:pt>
              </c:strCache>
            </c:strRef>
          </c:tx>
          <c:spPr>
            <a:solidFill>
              <a:srgbClr val="5b9bd5"/>
            </a:solidFill>
            <a:ln>
              <a:noFill/>
            </a:ln>
          </c:spPr>
          <c:invertIfNegative val="0"/>
          <c:dPt>
            <c:idx val="0"/>
            <c:invertIfNegative val="0"/>
            <c:spPr>
              <a:solidFill>
                <a:srgbClr val="5b9bd5"/>
              </a:solidFill>
              <a:ln>
                <a:noFill/>
              </a:ln>
            </c:spPr>
          </c:dPt>
          <c:dPt>
            <c:idx val="1"/>
            <c:invertIfNegative val="0"/>
            <c:spPr>
              <a:solidFill>
                <a:srgbClr val="5b9bd5"/>
              </a:solidFill>
              <a:ln>
                <a:noFill/>
              </a:ln>
            </c:spPr>
          </c:dPt>
          <c:dPt>
            <c:idx val="2"/>
            <c:invertIfNegative val="0"/>
            <c:spPr>
              <a:solidFill>
                <a:srgbClr val="5b9bd5"/>
              </a:solidFill>
              <a:ln>
                <a:noFill/>
              </a:ln>
            </c:spPr>
          </c:dPt>
          <c:dLbls>
            <c:numFmt formatCode="0.00%" sourceLinked="1"/>
            <c:dLbl>
              <c:idx val="0"/>
              <c:dLblPos val="outEnd"/>
              <c:showLegendKey val="0"/>
              <c:showVal val="1"/>
              <c:showCatName val="0"/>
              <c:showSerName val="0"/>
              <c:showPercent val="0"/>
            </c:dLbl>
            <c:dLbl>
              <c:idx val="1"/>
              <c:dLblPos val="outEnd"/>
              <c:showLegendKey val="0"/>
              <c:showVal val="1"/>
              <c:showCatName val="0"/>
              <c:showSerName val="0"/>
              <c:showPercent val="0"/>
            </c:dLbl>
            <c:dLbl>
              <c:idx val="2"/>
              <c:dLblPos val="outEnd"/>
              <c:showLegendKey val="0"/>
              <c:showVal val="1"/>
              <c:showCatName val="0"/>
              <c:showSerName val="0"/>
              <c:showPercent val="0"/>
            </c:dLbl>
            <c:dLblPos val="outEnd"/>
            <c:showLegendKey val="0"/>
            <c:showVal val="1"/>
            <c:showCatName val="0"/>
            <c:showSerName val="0"/>
            <c:showPercent val="0"/>
            <c:showLeaderLines val="0"/>
          </c:dLbls>
          <c:cat>
            <c:strRef>
              <c:f>categories</c:f>
              <c:strCache>
                <c:ptCount val="3"/>
                <c:pt idx="0">
                  <c:v>Black</c:v>
                </c:pt>
                <c:pt idx="1">
                  <c:v>Hispanic</c:v>
                </c:pt>
                <c:pt idx="2">
                  <c:v>White</c:v>
                </c:pt>
              </c:strCache>
            </c:strRef>
          </c:cat>
          <c:val>
            <c:numRef>
              <c:f>0</c:f>
              <c:numCache>
                <c:formatCode>General</c:formatCode>
                <c:ptCount val="3"/>
                <c:pt idx="0">
                  <c:v>0.120792044002843</c:v>
                </c:pt>
                <c:pt idx="1">
                  <c:v>0.0984079359419135</c:v>
                </c:pt>
                <c:pt idx="2">
                  <c:v>0.780800020055244</c:v>
                </c:pt>
              </c:numCache>
            </c:numRef>
          </c:val>
        </c:ser>
        <c:ser>
          <c:idx val="1"/>
          <c:order val="1"/>
          <c:tx>
            <c:strRef>
              <c:f>label 1</c:f>
              <c:strCache>
                <c:ptCount val="1"/>
                <c:pt idx="0">
                  <c:v>2004</c:v>
                </c:pt>
              </c:strCache>
            </c:strRef>
          </c:tx>
          <c:spPr>
            <a:solidFill>
              <a:srgbClr val="ed7d31"/>
            </a:solidFill>
            <a:ln>
              <a:noFill/>
            </a:ln>
          </c:spPr>
          <c:invertIfNegative val="0"/>
          <c:dPt>
            <c:idx val="0"/>
            <c:invertIfNegative val="0"/>
            <c:spPr>
              <a:solidFill>
                <a:srgbClr val="ed7d31"/>
              </a:solidFill>
              <a:ln>
                <a:noFill/>
              </a:ln>
            </c:spPr>
          </c:dPt>
          <c:dPt>
            <c:idx val="1"/>
            <c:invertIfNegative val="0"/>
            <c:spPr>
              <a:solidFill>
                <a:srgbClr val="ed7d31"/>
              </a:solidFill>
              <a:ln>
                <a:noFill/>
              </a:ln>
            </c:spPr>
          </c:dPt>
          <c:dPt>
            <c:idx val="2"/>
            <c:invertIfNegative val="0"/>
            <c:spPr>
              <a:solidFill>
                <a:srgbClr val="ed7d31"/>
              </a:solidFill>
              <a:ln>
                <a:noFill/>
              </a:ln>
            </c:spPr>
          </c:dPt>
          <c:dLbls>
            <c:numFmt formatCode="0.00%" sourceLinked="1"/>
            <c:dLbl>
              <c:idx val="0"/>
              <c:dLblPos val="outEnd"/>
              <c:showLegendKey val="0"/>
              <c:showVal val="1"/>
              <c:showCatName val="0"/>
              <c:showSerName val="0"/>
              <c:showPercent val="0"/>
            </c:dLbl>
            <c:dLbl>
              <c:idx val="1"/>
              <c:dLblPos val="outEnd"/>
              <c:showLegendKey val="0"/>
              <c:showVal val="1"/>
              <c:showCatName val="0"/>
              <c:showSerName val="0"/>
              <c:showPercent val="0"/>
            </c:dLbl>
            <c:dLbl>
              <c:idx val="2"/>
              <c:dLblPos val="outEnd"/>
              <c:showLegendKey val="0"/>
              <c:showVal val="1"/>
              <c:showCatName val="0"/>
              <c:showSerName val="0"/>
              <c:showPercent val="0"/>
            </c:dLbl>
            <c:dLblPos val="outEnd"/>
            <c:showLegendKey val="0"/>
            <c:showVal val="1"/>
            <c:showCatName val="0"/>
            <c:showSerName val="0"/>
            <c:showPercent val="0"/>
            <c:showLeaderLines val="0"/>
          </c:dLbls>
          <c:cat>
            <c:strRef>
              <c:f>categories</c:f>
              <c:strCache>
                <c:ptCount val="3"/>
                <c:pt idx="0">
                  <c:v>Black</c:v>
                </c:pt>
                <c:pt idx="1">
                  <c:v>Hispanic</c:v>
                </c:pt>
                <c:pt idx="2">
                  <c:v>White</c:v>
                </c:pt>
              </c:strCache>
            </c:strRef>
          </c:cat>
          <c:val>
            <c:numRef>
              <c:f>1</c:f>
              <c:numCache>
                <c:formatCode>General</c:formatCode>
                <c:ptCount val="3"/>
                <c:pt idx="0">
                  <c:v>0.146420836276161</c:v>
                </c:pt>
                <c:pt idx="1">
                  <c:v>0.129193984527681</c:v>
                </c:pt>
                <c:pt idx="2">
                  <c:v>0.724385179196159</c:v>
                </c:pt>
              </c:numCache>
            </c:numRef>
          </c:val>
        </c:ser>
        <c:ser>
          <c:idx val="2"/>
          <c:order val="2"/>
          <c:tx>
            <c:strRef>
              <c:f>label 2</c:f>
              <c:strCache>
                <c:ptCount val="1"/>
                <c:pt idx="0">
                  <c:v>2014</c:v>
                </c:pt>
              </c:strCache>
            </c:strRef>
          </c:tx>
          <c:spPr>
            <a:solidFill>
              <a:srgbClr val="a5a5a5"/>
            </a:solidFill>
            <a:ln>
              <a:noFill/>
            </a:ln>
          </c:spPr>
          <c:invertIfNegative val="0"/>
          <c:dPt>
            <c:idx val="0"/>
            <c:invertIfNegative val="0"/>
            <c:spPr>
              <a:solidFill>
                <a:srgbClr val="a5a5a5"/>
              </a:solidFill>
              <a:ln>
                <a:noFill/>
              </a:ln>
            </c:spPr>
          </c:dPt>
          <c:dPt>
            <c:idx val="1"/>
            <c:invertIfNegative val="0"/>
            <c:spPr>
              <a:solidFill>
                <a:srgbClr val="a5a5a5"/>
              </a:solidFill>
              <a:ln>
                <a:noFill/>
              </a:ln>
            </c:spPr>
          </c:dPt>
          <c:dPt>
            <c:idx val="2"/>
            <c:invertIfNegative val="0"/>
            <c:spPr>
              <a:solidFill>
                <a:srgbClr val="a5a5a5"/>
              </a:solidFill>
              <a:ln>
                <a:noFill/>
              </a:ln>
            </c:spPr>
          </c:dPt>
          <c:dLbls>
            <c:numFmt formatCode="0.00%" sourceLinked="1"/>
            <c:dLbl>
              <c:idx val="0"/>
              <c:dLblPos val="outEnd"/>
              <c:showLegendKey val="0"/>
              <c:showVal val="1"/>
              <c:showCatName val="0"/>
              <c:showSerName val="0"/>
              <c:showPercent val="0"/>
            </c:dLbl>
            <c:dLbl>
              <c:idx val="1"/>
              <c:dLblPos val="outEnd"/>
              <c:showLegendKey val="0"/>
              <c:showVal val="1"/>
              <c:showCatName val="0"/>
              <c:showSerName val="0"/>
              <c:showPercent val="0"/>
            </c:dLbl>
            <c:dLbl>
              <c:idx val="2"/>
              <c:dLblPos val="outEnd"/>
              <c:showLegendKey val="0"/>
              <c:showVal val="1"/>
              <c:showCatName val="0"/>
              <c:showSerName val="0"/>
              <c:showPercent val="0"/>
            </c:dLbl>
            <c:dLblPos val="outEnd"/>
            <c:showLegendKey val="0"/>
            <c:showVal val="1"/>
            <c:showCatName val="0"/>
            <c:showSerName val="0"/>
            <c:showPercent val="0"/>
            <c:showLeaderLines val="0"/>
          </c:dLbls>
          <c:cat>
            <c:strRef>
              <c:f>categories</c:f>
              <c:strCache>
                <c:ptCount val="3"/>
                <c:pt idx="0">
                  <c:v>Black</c:v>
                </c:pt>
                <c:pt idx="1">
                  <c:v>Hispanic</c:v>
                </c:pt>
                <c:pt idx="2">
                  <c:v>White</c:v>
                </c:pt>
              </c:strCache>
            </c:strRef>
          </c:cat>
          <c:val>
            <c:numRef>
              <c:f>2</c:f>
              <c:numCache>
                <c:formatCode>General</c:formatCode>
                <c:ptCount val="3"/>
                <c:pt idx="0">
                  <c:v>0.155198055991087</c:v>
                </c:pt>
                <c:pt idx="1">
                  <c:v>0.221717947295982</c:v>
                </c:pt>
                <c:pt idx="2">
                  <c:v>0.623083996712931</c:v>
                </c:pt>
              </c:numCache>
            </c:numRef>
          </c:val>
        </c:ser>
        <c:gapWidth val="219"/>
        <c:overlap val="-27"/>
        <c:axId val="476088"/>
        <c:axId val="19983038"/>
      </c:barChart>
      <c:catAx>
        <c:axId val="476088"/>
        <c:scaling>
          <c:orientation val="minMax"/>
        </c:scaling>
        <c:delete val="0"/>
        <c:axPos val="b"/>
        <c:numFmt formatCode="MM/DD/YYYY" sourceLinked="1"/>
        <c:majorTickMark val="none"/>
        <c:minorTickMark val="none"/>
        <c:tickLblPos val="nextTo"/>
        <c:spPr>
          <a:ln w="9360">
            <a:solidFill>
              <a:srgbClr val="d9d9d9"/>
            </a:solidFill>
            <a:round/>
          </a:ln>
        </c:spPr>
        <c:txPr>
          <a:bodyPr/>
          <a:lstStyle/>
          <a:p>
            <a:pPr>
              <a:defRPr b="0" sz="900" spc="-1" strike="noStrike">
                <a:solidFill>
                  <a:srgbClr val="595959"/>
                </a:solidFill>
                <a:latin typeface="Calibri"/>
              </a:defRPr>
            </a:pPr>
          </a:p>
        </c:txPr>
        <c:crossAx val="19983038"/>
        <c:crosses val="autoZero"/>
        <c:auto val="1"/>
        <c:lblAlgn val="ctr"/>
        <c:lblOffset val="100"/>
      </c:catAx>
      <c:valAx>
        <c:axId val="19983038"/>
        <c:scaling>
          <c:orientation val="minMax"/>
        </c:scaling>
        <c:delete val="0"/>
        <c:axPos val="l"/>
        <c:majorGridlines>
          <c:spPr>
            <a:ln w="9360">
              <a:solidFill>
                <a:srgbClr val="d9d9d9"/>
              </a:solidFill>
              <a:round/>
            </a:ln>
          </c:spPr>
        </c:majorGridlines>
        <c:numFmt formatCode="0.00%" sourceLinked="0"/>
        <c:majorTickMark val="none"/>
        <c:minorTickMark val="none"/>
        <c:tickLblPos val="nextTo"/>
        <c:spPr>
          <a:ln w="6480">
            <a:noFill/>
          </a:ln>
        </c:spPr>
        <c:txPr>
          <a:bodyPr/>
          <a:lstStyle/>
          <a:p>
            <a:pPr>
              <a:defRPr b="0" sz="900" spc="-1" strike="noStrike">
                <a:solidFill>
                  <a:srgbClr val="595959"/>
                </a:solidFill>
                <a:latin typeface="Calibri"/>
              </a:defRPr>
            </a:pPr>
          </a:p>
        </c:txPr>
        <c:crossAx val="476088"/>
        <c:crosses val="autoZero"/>
        <c:majorUnit val="0.2"/>
      </c:valAx>
      <c:spPr>
        <a:noFill/>
        <a:ln>
          <a:noFill/>
        </a:ln>
      </c:spPr>
    </c:plotArea>
    <c:legend>
      <c:legendPos val="r"/>
      <c:overlay val="0"/>
      <c:spPr>
        <a:noFill/>
        <a:ln>
          <a:noFill/>
        </a:ln>
      </c:spPr>
      <c:txPr>
        <a:bodyPr/>
        <a:lstStyle/>
        <a:p>
          <a:pPr>
            <a:defRPr b="0" sz="900" spc="-1" strike="noStrike">
              <a:solidFill>
                <a:srgbClr val="595959"/>
              </a:solidFill>
              <a:latin typeface="Calibri"/>
            </a:defRPr>
          </a:pPr>
        </a:p>
      </c:txPr>
    </c:legend>
    <c:plotVisOnly val="1"/>
    <c:dispBlanksAs val="gap"/>
  </c:chart>
  <c:spPr>
    <a:solidFill>
      <a:srgbClr val="ffffff"/>
    </a:solidFill>
    <a:ln w="9360">
      <a:solidFill>
        <a:srgbClr val="d9d9d9"/>
      </a:solidFill>
      <a:round/>
    </a:ln>
  </c:spPr>
</c:chartSpace>
</file>

<file path=word/charts/chart2.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sz="1400" spc="-1" strike="noStrike">
                <a:solidFill>
                  <a:srgbClr val="595959"/>
                </a:solidFill>
                <a:latin typeface="Calibri"/>
              </a:defRPr>
            </a:pPr>
            <a:r>
              <a:rPr b="0" sz="1400" spc="-1" strike="noStrike">
                <a:solidFill>
                  <a:srgbClr val="595959"/>
                </a:solidFill>
                <a:latin typeface="Calibri"/>
              </a:rPr>
              <a:t>Enrollment at Private Non-Profit Institutions by Race, 1994-2014</a:t>
            </a:r>
          </a:p>
        </c:rich>
      </c:tx>
      <c:overlay val="0"/>
      <c:spPr>
        <a:noFill/>
        <a:ln>
          <a:noFill/>
        </a:ln>
      </c:spPr>
    </c:title>
    <c:autoTitleDeleted val="0"/>
    <c:plotArea>
      <c:barChart>
        <c:barDir val="col"/>
        <c:grouping val="clustered"/>
        <c:varyColors val="0"/>
        <c:ser>
          <c:idx val="0"/>
          <c:order val="0"/>
          <c:tx>
            <c:strRef>
              <c:f>label 0</c:f>
              <c:strCache>
                <c:ptCount val="1"/>
                <c:pt idx="0">
                  <c:v>1994</c:v>
                </c:pt>
              </c:strCache>
            </c:strRef>
          </c:tx>
          <c:spPr>
            <a:solidFill>
              <a:srgbClr val="5b9bd5"/>
            </a:solidFill>
            <a:ln>
              <a:noFill/>
            </a:ln>
          </c:spPr>
          <c:invertIfNegative val="0"/>
          <c:dPt>
            <c:idx val="2"/>
            <c:invertIfNegative val="0"/>
            <c:spPr>
              <a:solidFill>
                <a:srgbClr val="5b9bd5"/>
              </a:solidFill>
              <a:ln>
                <a:noFill/>
              </a:ln>
            </c:spPr>
          </c:dPt>
          <c:dLbls>
            <c:numFmt formatCode="0.00%" sourceLinked="1"/>
            <c:dLbl>
              <c:idx val="2"/>
              <c:dLblPos val="outEnd"/>
              <c:showLegendKey val="0"/>
              <c:showVal val="1"/>
              <c:showCatName val="0"/>
              <c:showSerName val="0"/>
              <c:showPercent val="0"/>
            </c:dLbl>
            <c:dLblPos val="outEnd"/>
            <c:showLegendKey val="0"/>
            <c:showVal val="1"/>
            <c:showCatName val="0"/>
            <c:showSerName val="0"/>
            <c:showPercent val="0"/>
            <c:showLeaderLines val="0"/>
          </c:dLbls>
          <c:cat>
            <c:strRef>
              <c:f>categories</c:f>
              <c:strCache>
                <c:ptCount val="3"/>
                <c:pt idx="0">
                  <c:v>Black</c:v>
                </c:pt>
                <c:pt idx="1">
                  <c:v>Hispanic</c:v>
                </c:pt>
                <c:pt idx="2">
                  <c:v>White</c:v>
                </c:pt>
              </c:strCache>
            </c:strRef>
          </c:cat>
          <c:val>
            <c:numRef>
              <c:f>0</c:f>
              <c:numCache>
                <c:formatCode>General</c:formatCode>
                <c:ptCount val="3"/>
                <c:pt idx="0">
                  <c:v>0.109908685047446</c:v>
                </c:pt>
                <c:pt idx="1">
                  <c:v>0.0907843648461134</c:v>
                </c:pt>
                <c:pt idx="2">
                  <c:v>0.799306950106441</c:v>
                </c:pt>
              </c:numCache>
            </c:numRef>
          </c:val>
        </c:ser>
        <c:ser>
          <c:idx val="1"/>
          <c:order val="1"/>
          <c:tx>
            <c:strRef>
              <c:f>label 1</c:f>
              <c:strCache>
                <c:ptCount val="1"/>
                <c:pt idx="0">
                  <c:v>2004</c:v>
                </c:pt>
              </c:strCache>
            </c:strRef>
          </c:tx>
          <c:spPr>
            <a:solidFill>
              <a:srgbClr val="ed7d31"/>
            </a:solidFill>
            <a:ln>
              <a:noFill/>
            </a:ln>
          </c:spPr>
          <c:invertIfNegative val="0"/>
          <c:dPt>
            <c:idx val="0"/>
            <c:invertIfNegative val="0"/>
            <c:spPr>
              <a:solidFill>
                <a:srgbClr val="ed7d31"/>
              </a:solidFill>
              <a:ln>
                <a:noFill/>
              </a:ln>
            </c:spPr>
          </c:dPt>
          <c:dPt>
            <c:idx val="1"/>
            <c:invertIfNegative val="0"/>
            <c:spPr>
              <a:solidFill>
                <a:srgbClr val="ed7d31"/>
              </a:solidFill>
              <a:ln>
                <a:noFill/>
              </a:ln>
            </c:spPr>
          </c:dPt>
          <c:dPt>
            <c:idx val="2"/>
            <c:invertIfNegative val="0"/>
            <c:spPr>
              <a:solidFill>
                <a:srgbClr val="ed7d31"/>
              </a:solidFill>
              <a:ln>
                <a:noFill/>
              </a:ln>
            </c:spPr>
          </c:dPt>
          <c:dLbls>
            <c:numFmt formatCode="0.00%" sourceLinked="1"/>
            <c:dLbl>
              <c:idx val="0"/>
              <c:dLblPos val="outEnd"/>
              <c:showLegendKey val="0"/>
              <c:showVal val="1"/>
              <c:showCatName val="0"/>
              <c:showSerName val="0"/>
              <c:showPercent val="0"/>
            </c:dLbl>
            <c:dLbl>
              <c:idx val="1"/>
              <c:dLblPos val="outEnd"/>
              <c:showLegendKey val="0"/>
              <c:showVal val="1"/>
              <c:showCatName val="0"/>
              <c:showSerName val="0"/>
              <c:showPercent val="0"/>
            </c:dLbl>
            <c:dLbl>
              <c:idx val="2"/>
              <c:dLblPos val="outEnd"/>
              <c:showLegendKey val="0"/>
              <c:showVal val="1"/>
              <c:showCatName val="0"/>
              <c:showSerName val="0"/>
              <c:showPercent val="0"/>
            </c:dLbl>
            <c:dLblPos val="outEnd"/>
            <c:showLegendKey val="0"/>
            <c:showVal val="1"/>
            <c:showCatName val="0"/>
            <c:showSerName val="0"/>
            <c:showPercent val="0"/>
            <c:showLeaderLines val="0"/>
          </c:dLbls>
          <c:cat>
            <c:strRef>
              <c:f>categories</c:f>
              <c:strCache>
                <c:ptCount val="3"/>
                <c:pt idx="0">
                  <c:v>Black</c:v>
                </c:pt>
                <c:pt idx="1">
                  <c:v>Hispanic</c:v>
                </c:pt>
                <c:pt idx="2">
                  <c:v>White</c:v>
                </c:pt>
              </c:strCache>
            </c:strRef>
          </c:cat>
          <c:val>
            <c:numRef>
              <c:f>1</c:f>
              <c:numCache>
                <c:formatCode>General</c:formatCode>
                <c:ptCount val="3"/>
                <c:pt idx="0">
                  <c:v>0.130136979583991</c:v>
                </c:pt>
                <c:pt idx="1">
                  <c:v>0.116933803171901</c:v>
                </c:pt>
                <c:pt idx="2">
                  <c:v>0.752929217244109</c:v>
                </c:pt>
              </c:numCache>
            </c:numRef>
          </c:val>
        </c:ser>
        <c:ser>
          <c:idx val="2"/>
          <c:order val="2"/>
          <c:tx>
            <c:strRef>
              <c:f>label 2</c:f>
              <c:strCache>
                <c:ptCount val="1"/>
                <c:pt idx="0">
                  <c:v>2014</c:v>
                </c:pt>
              </c:strCache>
            </c:strRef>
          </c:tx>
          <c:spPr>
            <a:solidFill>
              <a:srgbClr val="a5a5a5"/>
            </a:solidFill>
            <a:ln>
              <a:noFill/>
            </a:ln>
          </c:spPr>
          <c:invertIfNegative val="0"/>
          <c:dPt>
            <c:idx val="0"/>
            <c:invertIfNegative val="0"/>
            <c:spPr>
              <a:solidFill>
                <a:srgbClr val="a5a5a5"/>
              </a:solidFill>
              <a:ln>
                <a:noFill/>
              </a:ln>
            </c:spPr>
          </c:dPt>
          <c:dPt>
            <c:idx val="1"/>
            <c:invertIfNegative val="0"/>
            <c:spPr>
              <a:solidFill>
                <a:srgbClr val="a5a5a5"/>
              </a:solidFill>
              <a:ln>
                <a:noFill/>
              </a:ln>
            </c:spPr>
          </c:dPt>
          <c:dPt>
            <c:idx val="2"/>
            <c:invertIfNegative val="0"/>
            <c:spPr>
              <a:solidFill>
                <a:srgbClr val="a5a5a5"/>
              </a:solidFill>
              <a:ln>
                <a:noFill/>
              </a:ln>
            </c:spPr>
          </c:dPt>
          <c:dLbls>
            <c:numFmt formatCode="0.00%" sourceLinked="1"/>
            <c:dLbl>
              <c:idx val="0"/>
              <c:dLblPos val="outEnd"/>
              <c:showLegendKey val="0"/>
              <c:showVal val="1"/>
              <c:showCatName val="0"/>
              <c:showSerName val="0"/>
              <c:showPercent val="0"/>
            </c:dLbl>
            <c:dLbl>
              <c:idx val="1"/>
              <c:dLblPos val="outEnd"/>
              <c:showLegendKey val="0"/>
              <c:showVal val="1"/>
              <c:showCatName val="0"/>
              <c:showSerName val="0"/>
              <c:showPercent val="0"/>
            </c:dLbl>
            <c:dLbl>
              <c:idx val="2"/>
              <c:dLblPos val="outEnd"/>
              <c:showLegendKey val="0"/>
              <c:showVal val="1"/>
              <c:showCatName val="0"/>
              <c:showSerName val="0"/>
              <c:showPercent val="0"/>
            </c:dLbl>
            <c:dLblPos val="outEnd"/>
            <c:showLegendKey val="0"/>
            <c:showVal val="1"/>
            <c:showCatName val="0"/>
            <c:showSerName val="0"/>
            <c:showPercent val="0"/>
            <c:showLeaderLines val="0"/>
          </c:dLbls>
          <c:cat>
            <c:strRef>
              <c:f>categories</c:f>
              <c:strCache>
                <c:ptCount val="3"/>
                <c:pt idx="0">
                  <c:v>Black</c:v>
                </c:pt>
                <c:pt idx="1">
                  <c:v>Hispanic</c:v>
                </c:pt>
                <c:pt idx="2">
                  <c:v>White</c:v>
                </c:pt>
              </c:strCache>
            </c:strRef>
          </c:cat>
          <c:val>
            <c:numRef>
              <c:f>2</c:f>
              <c:numCache>
                <c:formatCode>General</c:formatCode>
                <c:ptCount val="3"/>
                <c:pt idx="0">
                  <c:v>0.141729069163933</c:v>
                </c:pt>
                <c:pt idx="1">
                  <c:v>0.161497049853065</c:v>
                </c:pt>
                <c:pt idx="2">
                  <c:v>0.696773880983003</c:v>
                </c:pt>
              </c:numCache>
            </c:numRef>
          </c:val>
        </c:ser>
        <c:gapWidth val="219"/>
        <c:overlap val="-27"/>
        <c:axId val="84769434"/>
        <c:axId val="28803460"/>
      </c:barChart>
      <c:catAx>
        <c:axId val="84769434"/>
        <c:scaling>
          <c:orientation val="minMax"/>
        </c:scaling>
        <c:delete val="0"/>
        <c:axPos val="b"/>
        <c:numFmt formatCode="MM/DD/YYYY" sourceLinked="1"/>
        <c:majorTickMark val="none"/>
        <c:minorTickMark val="none"/>
        <c:tickLblPos val="nextTo"/>
        <c:spPr>
          <a:ln w="9360">
            <a:solidFill>
              <a:srgbClr val="d9d9d9"/>
            </a:solidFill>
            <a:round/>
          </a:ln>
        </c:spPr>
        <c:txPr>
          <a:bodyPr/>
          <a:lstStyle/>
          <a:p>
            <a:pPr>
              <a:defRPr b="0" sz="900" spc="-1" strike="noStrike">
                <a:solidFill>
                  <a:srgbClr val="595959"/>
                </a:solidFill>
                <a:latin typeface="Calibri"/>
              </a:defRPr>
            </a:pPr>
          </a:p>
        </c:txPr>
        <c:crossAx val="28803460"/>
        <c:crosses val="autoZero"/>
        <c:auto val="1"/>
        <c:lblAlgn val="ctr"/>
        <c:lblOffset val="100"/>
      </c:catAx>
      <c:valAx>
        <c:axId val="28803460"/>
        <c:scaling>
          <c:orientation val="minMax"/>
        </c:scaling>
        <c:delete val="0"/>
        <c:axPos val="l"/>
        <c:majorGridlines>
          <c:spPr>
            <a:ln w="9360">
              <a:solidFill>
                <a:srgbClr val="d9d9d9"/>
              </a:solidFill>
              <a:round/>
            </a:ln>
          </c:spPr>
        </c:majorGridlines>
        <c:numFmt formatCode="0.00%" sourceLinked="0"/>
        <c:majorTickMark val="none"/>
        <c:minorTickMark val="none"/>
        <c:tickLblPos val="nextTo"/>
        <c:spPr>
          <a:ln w="6480">
            <a:noFill/>
          </a:ln>
        </c:spPr>
        <c:txPr>
          <a:bodyPr/>
          <a:lstStyle/>
          <a:p>
            <a:pPr>
              <a:defRPr b="0" sz="900" spc="-1" strike="noStrike">
                <a:solidFill>
                  <a:srgbClr val="595959"/>
                </a:solidFill>
                <a:latin typeface="Calibri"/>
              </a:defRPr>
            </a:pPr>
          </a:p>
        </c:txPr>
        <c:crossAx val="84769434"/>
        <c:crosses val="autoZero"/>
        <c:majorUnit val="0.2"/>
      </c:valAx>
      <c:spPr>
        <a:noFill/>
        <a:ln>
          <a:noFill/>
        </a:ln>
      </c:spPr>
    </c:plotArea>
    <c:legend>
      <c:legendPos val="r"/>
      <c:overlay val="0"/>
      <c:spPr>
        <a:noFill/>
        <a:ln>
          <a:noFill/>
        </a:ln>
      </c:spPr>
      <c:txPr>
        <a:bodyPr/>
        <a:lstStyle/>
        <a:p>
          <a:pPr>
            <a:defRPr b="0" sz="900" spc="-1" strike="noStrike">
              <a:solidFill>
                <a:srgbClr val="595959"/>
              </a:solidFill>
              <a:latin typeface="Calibri"/>
            </a:defRPr>
          </a:pPr>
        </a:p>
      </c:txPr>
    </c:legend>
    <c:plotVisOnly val="1"/>
    <c:dispBlanksAs val="gap"/>
  </c:chart>
  <c:spPr>
    <a:solidFill>
      <a:srgbClr val="ffffff"/>
    </a:solidFill>
    <a:ln w="9360">
      <a:solidFill>
        <a:srgbClr val="d9d9d9"/>
      </a:solidFill>
      <a:round/>
    </a:ln>
  </c:sp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LibreOffice/6.0.7.3$Linux_X86_64 LibreOffice_project/00m0$Build-3</Application>
  <Pages>1</Pages>
  <Words>283</Words>
  <Characters>1671</Characters>
  <CharactersWithSpaces>1950</CharactersWithSpaces>
  <Paragraphs>6</Paragraphs>
  <Company>Indiana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2018-05-05T03:25:00Z</dcterms:created>
  <dc:creator>Diodato, Joe</dc:creator>
  <dc:description/>
  <dc:language>en-US</dc:language>
  <cp:lastModifiedBy>Diodato, Joe</cp:lastModifiedBy>
  <dcterms:modified xsi:type="dcterms:W3CDTF">2018-05-05T03:25:00Z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Indiana University</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