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Control Policy</w:t>
      </w:r>
    </w:p>
    <w:p>
      <w:pPr>
        <w:pStyle w:val="Heading2"/>
      </w:pPr>
      <w:r>
        <w:t>1. Authentication</w:t>
      </w:r>
    </w:p>
    <w:p>
      <w:pPr/>
      <w:r>
        <w:t>All employees must enable multi-factor authentication on their corporate accounts before accessing internal systems.</w:t>
      </w:r>
    </w:p>
    <w:p>
      <w:pPr/>
      <w:r>
        <w:t>Passwords must be at least 12 characters long and rotated every 90 days.</w:t>
      </w:r>
    </w:p>
    <w:p>
      <w:pPr/>
      <w:r>
        <w:t>Contractors may access the guest network without multi-factor authentication for the duration of their engagement.</w:t>
      </w:r>
    </w:p>
    <w:p>
      <w:pPr>
        <w:pStyle w:val="Heading2"/>
      </w:pPr>
      <w:r>
        <w:t>2. Data Handling</w:t>
      </w:r>
    </w:p>
    <w:p>
      <w:pPr/>
      <w:r>
        <w:t>Customer data must be encrypted at rest using AES-256.</w:t>
      </w:r>
    </w:p>
    <w:p>
      <w:pPr/>
      <w:r>
        <w:t>Employees should not store customer data on personal devices.</w:t>
      </w:r>
    </w:p>
    <w:p>
      <w:pPr/>
      <w:r>
        <w:t>Backups of customer data must be retained for at least 7 years.</w:t>
      </w:r>
    </w:p>
    <w:p>
      <w:pPr>
        <w:pStyle w:val="Heading2"/>
      </w:pPr>
      <w:r>
        <w:t>3. Retention</w:t>
      </w:r>
    </w:p>
    <w:p>
      <w:pPr/>
      <w:r>
        <w:t>Customer data must be deleted within 30 days of account closure.</w:t>
      </w:r>
    </w:p>
    <w:p>
      <w:pPr/>
      <w:r>
        <w:t>All access logs must be reviewed weekly by the security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