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3444240</wp:posOffset>
            </wp:positionH>
            <wp:positionV relativeFrom="paragraph">
              <wp:posOffset>7620</wp:posOffset>
            </wp:positionV>
            <wp:extent cx="2279316" cy="5715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2105" l="10385" r="2179" t="17894"/>
                    <a:stretch>
                      <a:fillRect/>
                    </a:stretch>
                  </pic:blipFill>
                  <pic:spPr>
                    <a:xfrm>
                      <a:off x="0" y="0"/>
                      <a:ext cx="2279316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754380</wp:posOffset>
            </wp:positionH>
            <wp:positionV relativeFrom="paragraph">
              <wp:posOffset>-7616</wp:posOffset>
            </wp:positionV>
            <wp:extent cx="2430553" cy="629920"/>
            <wp:effectExtent b="0" l="0" r="0" t="0"/>
            <wp:wrapNone/>
            <wp:docPr descr="C:\Users\Anthonette\AppData\Local\Microsoft\Windows\INetCache\Content.Word\xusc_logo_flushleft_0.jpg.pagespeed.ic.rZcCY--U0m.jpg" id="4" name="image1.jpg"/>
            <a:graphic>
              <a:graphicData uri="http://schemas.openxmlformats.org/drawingml/2006/picture">
                <pic:pic>
                  <pic:nvPicPr>
                    <pic:cNvPr descr="C:\Users\Anthonette\AppData\Local\Microsoft\Windows\INetCache\Content.Word\xusc_logo_flushleft_0.jpg.pagespeed.ic.rZcCY--U0m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553" cy="629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puwibq9p2j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Thesis Proposal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CONSULTATION SHEET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3"/>
        <w:gridCol w:w="1692"/>
        <w:gridCol w:w="3235"/>
        <w:tblGridChange w:id="0">
          <w:tblGrid>
            <w:gridCol w:w="4423"/>
            <w:gridCol w:w="1692"/>
            <w:gridCol w:w="32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Title: </w:t>
            </w:r>
          </w:p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Addressing Typographic Hallucination in Generative AI Images: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 Open-Set Metric Learning Approach to Font Style Recognition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# 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Members: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Janritch D. Diputado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Matt Erron G. Cabarrubias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June 22, 2026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June 24, 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 Report (based on the adviser’s previous comments/suggestions) by Students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meeting (June 22):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Finalized the main topic and scope of the thesis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Decided how to get our dataset by generating synthetic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meeting (June 24):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Modified 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Gathered literature to support our 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Recommendations by Adviser</w:t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meeting (June 22):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Figure out how to deal with biases for ai generated fonts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Modify scope to percentage based classification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meeting (June 24):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Did not meet for second meeting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4533900</wp:posOffset>
            </wp:positionH>
            <wp:positionV relativeFrom="page">
              <wp:posOffset>6009103</wp:posOffset>
            </wp:positionV>
            <wp:extent cx="1847850" cy="4445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1552575</wp:posOffset>
            </wp:positionH>
            <wp:positionV relativeFrom="page">
              <wp:posOffset>6009103</wp:posOffset>
            </wp:positionV>
            <wp:extent cx="2100263" cy="508977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5089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Architects Daughter" w:cs="Architects Daughter" w:eastAsia="Architects Daughter" w:hAnsi="Architects Daugh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Janritch D. Diputado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Architects Daughter" w:cs="Architects Daughter" w:eastAsia="Architects Daughter" w:hAnsi="Architects Daugh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Matt Erron G. Cabarrubias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Noted by: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Architects Daughter" w:cs="Architects Daughter" w:eastAsia="Architects Daughter" w:hAnsi="Architects Daugh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CHRISTINE D. BANDALAN, MEng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Thesis Adviser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chitects Daughter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tectsDaughter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