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3444240</wp:posOffset>
            </wp:positionH>
            <wp:positionV relativeFrom="paragraph">
              <wp:posOffset>7620</wp:posOffset>
            </wp:positionV>
            <wp:extent cx="2279316" cy="5715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2105" l="10385" r="2179" t="17894"/>
                    <a:stretch>
                      <a:fillRect/>
                    </a:stretch>
                  </pic:blipFill>
                  <pic:spPr>
                    <a:xfrm>
                      <a:off x="0" y="0"/>
                      <a:ext cx="2279316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-7616</wp:posOffset>
            </wp:positionV>
            <wp:extent cx="2430553" cy="629920"/>
            <wp:effectExtent b="0" l="0" r="0" t="0"/>
            <wp:wrapNone/>
            <wp:docPr descr="C:\Users\Anthonette\AppData\Local\Microsoft\Windows\INetCache\Content.Word\xusc_logo_flushleft_0.jpg.pagespeed.ic.rZcCY--U0m.jpg" id="2" name="image3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553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gn83usbrq9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Thesis Proposal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CONSULTATION SHEET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1692"/>
        <w:gridCol w:w="3235"/>
        <w:tblGridChange w:id="0">
          <w:tblGrid>
            <w:gridCol w:w="4423"/>
            <w:gridCol w:w="1692"/>
            <w:gridCol w:w="3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Title: </w:t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Addressing Typographic Hallucination in Generative AI Images: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 Open-Set Metric Learning Approach to Font Style Recognition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# 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Members: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Janritch D. Diputado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Matt Erron G. Cabarrubias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8,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Report (based on the adviser’s previous comments/suggestions) by Students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after="16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the gaps of the existing system and either optimize or improve on 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Recommendations by Adviser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8):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Justify why 50-100 fonts.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 all fonts classified.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 as a 1-page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Include General and specific objectives.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that data is classified through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259.008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Justify commonly used fonts and narrow to just English.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1466850</wp:posOffset>
            </wp:positionH>
            <wp:positionV relativeFrom="page">
              <wp:posOffset>5154823</wp:posOffset>
            </wp:positionV>
            <wp:extent cx="2276475" cy="545889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45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4533900</wp:posOffset>
            </wp:positionH>
            <wp:positionV relativeFrom="page">
              <wp:posOffset>5478673</wp:posOffset>
            </wp:positionV>
            <wp:extent cx="1847850" cy="4445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4531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Janritch D. Diputado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.937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Noted by:</w:t>
            </w:r>
          </w:p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CHRISTINE D. BANDALAN, MEng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Thesis Adviser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chitects Daugh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