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7.png" ContentType="image/png"/>
  <Override PartName="/word/media/rId37.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apter-4-methodology"/>
    <w:p>
      <w:pPr>
        <w:pStyle w:val="Heading1"/>
      </w:pPr>
      <w:r>
        <w:t xml:space="preserve">Chapter 4: Methodology</w:t>
      </w:r>
    </w:p>
    <w:bookmarkStart w:id="11" w:name="research-environment-and-respondents"/>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bookmarkStart w:id="9" w:name="digital-source-and-trusted-environment"/>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This classifier is not merely a convenience baseline;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bookmarkEnd w:id="9"/>
    <w:bookmarkStart w:id="10" w:name="respondents-the-entities-being-studied"/>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1"/>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1"/>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Apart from this proxy panel, the study’s respondents are entirely typographic artifacts.</w:t>
      </w:r>
    </w:p>
    <w:bookmarkEnd w:id="10"/>
    <w:bookmarkEnd w:id="11"/>
    <w:bookmarkStart w:id="16" w:name="research-instrument-or-sources-of-data"/>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bookmarkStart w:id="12" w:name="X1a7c5dfb233b186c8bf79b24fb133cf61fa5f7b"/>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 elastic warp, Gaussian blur and noise, and kerning jitter —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 it is researcher-made — but its determinism makes it reproducible by any third party who runs the same code with the same seed.</w:t>
      </w:r>
    </w:p>
    <w:bookmarkEnd w:id="12"/>
    <w:bookmarkStart w:id="13" w:name="standardized-evaluation-metrics"/>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bookmarkEnd w:id="13"/>
    <w:bookmarkStart w:id="14" w:name="Xc30b3d7327305c54fb1c2fe2e82511f1c2aa2d8"/>
    <w:p>
      <w:pPr>
        <w:pStyle w:val="Heading3"/>
      </w:pPr>
      <w:r>
        <w:t xml:space="preserve">4.2.3 Human-Proxy Consensus Rubric (Researcher-Made)</w:t>
      </w:r>
    </w:p>
    <w:p>
      <w:pPr>
        <w:pStyle w:val="FirstParagraph"/>
      </w:pPr>
      <w:r>
        <w:t xml:space="preserve">Ground truth for real generative crops — which carry no font metadata — is fixed by a researcher-made rating instrument administered to a three-person expert panel.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bookmarkEnd w:id="14"/>
    <w:bookmarkStart w:id="15" w:name="Xf77e04f6843e49c7d57736ac8fd37723e82febc"/>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bookmarkEnd w:id="15"/>
    <w:bookmarkEnd w:id="16"/>
    <w:bookmarkStart w:id="19" w:name="research-procedure"/>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bookmarkStart w:id="17" w:name="gathering-of-data"/>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pPr>
      <w:r>
        <w:rPr>
          <w:b/>
          <w:bCs/>
        </w:rPr>
        <w:t xml:space="preserve">Table 1</w:t>
      </w:r>
    </w:p>
    <w:p>
      <w:pPr>
        <w:pStyle w:val="BodyT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spans not merely clean renders under noise but the probabilistic glyph deformation that defines the target regime.</w:t>
      </w:r>
    </w:p>
    <w:bookmarkEnd w:id="17"/>
    <w:bookmarkStart w:id="18" w:name="treatment-of-data"/>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labeled by the human-proxy panel (Section 4.2.3). It never enters training in any form, and it functions as the out-of-distribution generalization benchmark against which the synthetic-trained model is finally judged.</w:t>
      </w:r>
    </w:p>
    <w:bookmarkEnd w:id="18"/>
    <w:bookmarkEnd w:id="19"/>
    <w:bookmarkStart w:id="27" w:name="concept"/>
    <w:p>
      <w:pPr>
        <w:pStyle w:val="Heading2"/>
      </w:pPr>
      <w:r>
        <w:t xml:space="preserve">4.4 Concept</w:t>
      </w:r>
    </w:p>
    <w:bookmarkStart w:id="20" w:name="core-concept-and-vision"/>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bookmarkEnd w:id="20"/>
    <w:bookmarkStart w:id="24" w:name="conceptual-framework"/>
    <w:p>
      <w:pPr>
        <w:pStyle w:val="Heading3"/>
      </w:pPr>
      <w:r>
        <w:t xml:space="preserve">4.4.2 Conceptual Framework</w:t>
      </w:r>
    </w:p>
    <w:p>
      <w:pPr>
        <w:pStyle w:val="FirstParagraph"/>
      </w:pPr>
      <w:r>
        <w:t xml:space="preserve">The framework follows an input-process-output (IPO) structure, shown in Figure 8. The input is a graphic designer and the generative-AI image they supply. That image is a full scene, not a pre-cut crop: its text is probabilistically deformed, and it may hold several text regions, some set in fonts outside the palette. The process moves through four steps. A web-app frontend accepts the upload and displays results, a backend API routes the request, and an off-the-shelf text localizer isolates and crops each text region. Every crop is then passed independently to the ML inference engine, which performs the recognition that is the focus of this thesis. The localizer is a standard component and not a contribution of this work; the unit of analysis is the isolated crop, as stated in Section 4.1. Inside the engine, a crop is preprocessed, encoded by a frozen DINOv2 Vision Transformer, projected by the metric head</w:t>
      </w:r>
      <w:r>
        <w:t xml:space="preserve"> </w:t>
      </w:r>
      <m:oMath>
        <m:sSub>
          <m:e>
            <m:r>
              <m:t>f</m:t>
            </m:r>
          </m:e>
          <m:sub>
            <m:r>
              <m:t>θ</m:t>
            </m:r>
          </m:sub>
        </m:sSub>
      </m:oMath>
      <w:r>
        <w:t xml:space="preserve"> </w:t>
      </w:r>
      <w:r>
        <w:t xml:space="preserve">into a font-style embedding, and passed to the open-set decision that either rejects the crop as unknown or ranks the palette. Because the engine runs per crop, an image with several text regions produces one Top-K Google Fonts shortlist, or one unknown verdict, per region, and the results return to the designer for free template reuse. A separate offline subsystem, the researchers’ synthetic rendering, degradation, and triplet-training pipeline, produces the trained weights the engine loads, and appears as the lower band feeding the encoder and head.</w:t>
      </w:r>
    </w:p>
    <w:p>
      <w:pPr>
        <w:pStyle w:val="BodyText"/>
      </w:pPr>
      <w:r>
        <w:rPr>
          <w:b/>
          <w:bCs/>
        </w:rPr>
        <w:t xml:space="preserve">Figure 8</w:t>
      </w:r>
    </w:p>
    <w:p>
      <w:pPr>
        <w:pStyle w:val="BodyText"/>
      </w:pPr>
      <w:r>
        <w:rPr>
          <w:i/>
          <w:iCs/>
        </w:rPr>
        <w:t xml:space="preserve">Conceptual Framework of the Proposed Font-Identification System</w:t>
      </w:r>
    </w:p>
    <w:p>
      <w:pPr>
        <w:pStyle w:val="CaptionedFigure"/>
      </w:pPr>
      <w:r>
        <w:drawing>
          <wp:inline>
            <wp:extent cx="5334000" cy="4038359"/>
            <wp:effectExtent b="0" l="0" r="0" t="0"/>
            <wp:docPr descr="Input-process-output diagram showing a graphic designer and GenAI image feeding a web-app frontend, a backend API, an off-the-shelf text localizer that crops each text region, and the ML inference engine (preprocessing, frozen DINOv2 encoder, metric head, open-set decision) run per crop, producing a Top-K Google Fonts shortlist or unknown verdict per region, with an offline synthetic-training subsystem supplying the model weights" title="" id="22" name="Picture"/>
            <a:graphic>
              <a:graphicData uri="http://schemas.openxmlformats.org/drawingml/2006/picture">
                <pic:pic>
                  <pic:nvPicPr>
                    <pic:cNvPr descr="../../assets/figures/conceptual_framework.png" id="23" name="Picture"/>
                    <pic:cNvPicPr>
                      <a:picLocks noChangeArrowheads="1" noChangeAspect="1"/>
                    </pic:cNvPicPr>
                  </pic:nvPicPr>
                  <pic:blipFill>
                    <a:blip r:embed="rId21"/>
                    <a:stretch>
                      <a:fillRect/>
                    </a:stretch>
                  </pic:blipFill>
                  <pic:spPr bwMode="auto">
                    <a:xfrm>
                      <a:off x="0" y="0"/>
                      <a:ext cx="5334000" cy="4038359"/>
                    </a:xfrm>
                    <a:prstGeom prst="rect">
                      <a:avLst/>
                    </a:prstGeom>
                    <a:noFill/>
                    <a:ln w="9525">
                      <a:noFill/>
                      <a:headEnd/>
                      <a:tailEnd/>
                    </a:ln>
                  </pic:spPr>
                </pic:pic>
              </a:graphicData>
            </a:graphic>
          </wp:inline>
        </w:drawing>
      </w:r>
    </w:p>
    <w:p>
      <w:pPr>
        <w:pStyle w:val="ImageCaption"/>
      </w:pPr>
      <w:r>
        <w:t xml:space="preserve">Input-process-output diagram showing a graphic designer and GenAI image feeding a web-app frontend, a backend API, an off-the-shelf text localizer that crops each text region, and the ML inference engine (preprocessing, frozen DINOv2 encoder, metric head, open-set decision) run per crop, producing a Top-K Google Fonts shortlist or unknown verdict per region, with an offline synthetic-training subsystem supplying the model weights</w:t>
      </w:r>
    </w:p>
    <w:p>
      <w:pPr>
        <w:pStyle w:val="BodyText"/>
      </w:pPr>
      <w:r>
        <w:t xml:space="preserve">As shown in Figure 8, the runtime path (designer to frontend to backend to localizer to inference engine to shortlist) is cleanly separated from the offline training path (Google Fonts to synthetic render to degradation to triplet training). The two meet at a single point: the trained weights loaded by the frozen encoder and metric head. The localizer sits before the engine as a replaceable off-the-shelf stage, which keeps the thesis focused on the recognition that follows it. This separation is what lets the same model serve real-time web requests while remaining fully reproducible from the researcher-controlled data pipeline.</w:t>
      </w:r>
    </w:p>
    <w:bookmarkEnd w:id="24"/>
    <w:bookmarkStart w:id="25" w:name="value-proposition"/>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turning recognition into a usable reconstruction rather than a paywalled lookup.</w:t>
      </w:r>
    </w:p>
    <w:bookmarkEnd w:id="25"/>
    <w:bookmarkStart w:id="26" w:name="high-level-operational-logic"/>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bookmarkEnd w:id="26"/>
    <w:bookmarkEnd w:id="27"/>
    <w:bookmarkStart w:id="33" w:name="analysis-and-design"/>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bookmarkStart w:id="28" w:name="requirements-analysis"/>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2"/>
        </w:numPr>
      </w:pPr>
      <w:r>
        <w:t xml:space="preserve">Accept an uploaded generative-AI image in common raster formats (PNG, JPEG) through the browser.</w:t>
      </w:r>
    </w:p>
    <w:p>
      <w:pPr>
        <w:pStyle w:val="Compact"/>
        <w:numPr>
          <w:ilvl w:val="0"/>
          <w:numId w:val="1002"/>
        </w:numPr>
      </w:pPr>
      <w:r>
        <w:t xml:space="preserve">Localize and crop each text region in the image using an off-the-shelf text detector.</w:t>
      </w:r>
    </w:p>
    <w:p>
      <w:pPr>
        <w:pStyle w:val="Compact"/>
        <w:numPr>
          <w:ilvl w:val="0"/>
          <w:numId w:val="1002"/>
        </w:numPr>
      </w:pPr>
      <w:r>
        <w:t xml:space="preserve">Preprocess each crop and embed it with the frozen DINOv2 encoder and the trained metric head.</w:t>
      </w:r>
    </w:p>
    <w:p>
      <w:pPr>
        <w:pStyle w:val="Compact"/>
        <w:numPr>
          <w:ilvl w:val="0"/>
          <w:numId w:val="1002"/>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2"/>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2"/>
        </w:numPr>
      </w:pPr>
      <w:r>
        <w:t xml:space="preserve">Render a preview of each candidate font so the user can compare it against the source text.</w:t>
      </w:r>
    </w:p>
    <w:p>
      <w:pPr>
        <w:pStyle w:val="Compact"/>
        <w:numPr>
          <w:ilvl w:val="0"/>
          <w:numId w:val="1002"/>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2"/>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3"/>
        </w:numPr>
      </w:pPr>
      <w:r>
        <w:t xml:space="preserve">Be usable through a single upload-and-review interaction that hides the underlying model (usability).</w:t>
      </w:r>
    </w:p>
    <w:p>
      <w:pPr>
        <w:pStyle w:val="Compact"/>
        <w:numPr>
          <w:ilvl w:val="0"/>
          <w:numId w:val="1003"/>
        </w:numPr>
      </w:pPr>
      <w:r>
        <w:t xml:space="preserve">Return results at interactive latency on a single machine, targeting a response within a few seconds per image (responsiveness).</w:t>
      </w:r>
    </w:p>
    <w:p>
      <w:pPr>
        <w:pStyle w:val="Compact"/>
        <w:numPr>
          <w:ilvl w:val="0"/>
          <w:numId w:val="1003"/>
        </w:numPr>
      </w:pPr>
      <w:r>
        <w:t xml:space="preserve">Produce the same output for the same input, through deterministic preprocessing and pinned model weights and seeds (reproducibility).</w:t>
      </w:r>
    </w:p>
    <w:p>
      <w:pPr>
        <w:pStyle w:val="Compact"/>
        <w:numPr>
          <w:ilvl w:val="0"/>
          <w:numId w:val="1003"/>
        </w:numPr>
      </w:pPr>
      <w:r>
        <w:t xml:space="preserve">Run from a single Docker image on one host, with no external service dependencies at inference time beyond the bundled weights and font files (portability).</w:t>
      </w:r>
    </w:p>
    <w:p>
      <w:pPr>
        <w:pStyle w:val="Compact"/>
        <w:numPr>
          <w:ilvl w:val="0"/>
          <w:numId w:val="1003"/>
        </w:numPr>
      </w:pPr>
      <w:r>
        <w:t xml:space="preserve">Keep the localizer, encoder, metric head, and open-set decision as separable components, so any one can be replaced without rewriting the others (maintainability).</w:t>
      </w:r>
    </w:p>
    <w:p>
      <w:pPr>
        <w:pStyle w:val="Compact"/>
        <w:numPr>
          <w:ilvl w:val="0"/>
          <w:numId w:val="1003"/>
        </w:numPr>
      </w:pPr>
      <w:r>
        <w:t xml:space="preserve">Operate as a single-user local demo, with no authentication, accounts, or multi-user scaling in scope (a deliberate delimitation, consistent with Section 4.1).</w:t>
      </w:r>
    </w:p>
    <w:p>
      <w:pPr>
        <w:pStyle w:val="Compact"/>
        <w:numPr>
          <w:ilvl w:val="0"/>
          <w:numId w:val="1003"/>
        </w:numPr>
      </w:pPr>
      <w:r>
        <w:t xml:space="preserve">Report an honest</w:t>
      </w:r>
      <w:r>
        <w:t xml:space="preserve"> </w:t>
      </w:r>
      <w:r>
        <w:t xml:space="preserve">“unknown”</w:t>
      </w:r>
      <w:r>
        <w:t xml:space="preserve"> </w:t>
      </w:r>
      <w:r>
        <w:t xml:space="preserve">rather than a forced guess when the open-set score falls below threshold (transparency).</w:t>
      </w:r>
    </w:p>
    <w:bookmarkEnd w:id="28"/>
    <w:bookmarkStart w:id="32" w:name="system-architecture"/>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pPr>
      <w:r>
        <w:rPr>
          <w:b/>
          <w:bCs/>
        </w:rPr>
        <w:t xml:space="preserve">Figure 9</w:t>
      </w:r>
    </w:p>
    <w:p>
      <w:pPr>
        <w:pStyle w:val="BodyText"/>
      </w:pPr>
      <w:r>
        <w:rPr>
          <w:i/>
          <w:iCs/>
        </w:rPr>
        <w:t xml:space="preserve">System Architecture of the Font-Identification Web Application</w:t>
      </w:r>
    </w:p>
    <w:p>
      <w:pPr>
        <w:pStyle w:val="CaptionedFigure"/>
      </w:pPr>
      <w:r>
        <w:drawing>
          <wp:inline>
            <wp:extent cx="5334000" cy="4633597"/>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30" name="Picture"/>
            <a:graphic>
              <a:graphicData uri="http://schemas.openxmlformats.org/drawingml/2006/picture">
                <pic:pic>
                  <pic:nvPicPr>
                    <pic:cNvPr descr="../../assets/figures/system_architecture.png" id="31" name="Picture"/>
                    <pic:cNvPicPr>
                      <a:picLocks noChangeArrowheads="1" noChangeAspect="1"/>
                    </pic:cNvPicPr>
                  </pic:nvPicPr>
                  <pic:blipFill>
                    <a:blip r:embed="rId29"/>
                    <a:stretch>
                      <a:fillRect/>
                    </a:stretch>
                  </pic:blipFill>
                  <pic:spPr bwMode="auto">
                    <a:xfrm>
                      <a:off x="0" y="0"/>
                      <a:ext cx="5334000" cy="4633597"/>
                    </a:xfrm>
                    <a:prstGeom prst="rect">
                      <a:avLst/>
                    </a:prstGeom>
                    <a:noFill/>
                    <a:ln w="9525">
                      <a:noFill/>
                      <a:headEnd/>
                      <a:tailEnd/>
                    </a:ln>
                  </pic:spPr>
                </pic:pic>
              </a:graphicData>
            </a:graphic>
          </wp:inline>
        </w:drawing>
      </w:r>
    </w:p>
    <w:p>
      <w:pPr>
        <w:pStyle w:val="ImageCaption"/>
      </w:pPr>
      <w:r>
        <w:t xml:space="preserve">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w:t>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bookmarkEnd w:id="32"/>
    <w:bookmarkEnd w:id="33"/>
    <w:bookmarkStart w:id="41" w:name="development-model"/>
    <w:p>
      <w:pPr>
        <w:pStyle w:val="Heading2"/>
      </w:pPr>
      <w:r>
        <w:t xml:space="preserve">4.6 Development Model</w:t>
      </w:r>
    </w:p>
    <w:bookmarkStart w:id="34" w:name="identification-of-the-model"/>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bookmarkEnd w:id="34"/>
    <w:bookmarkStart w:id="35" w:name="justification"/>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bookmarkEnd w:id="35"/>
    <w:bookmarkStart w:id="36" w:name="phases-of-the-model"/>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4"/>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4"/>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4"/>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4"/>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bookmarkEnd w:id="36"/>
    <w:bookmarkStart w:id="40" w:name="sdlc-diagram"/>
    <w:p>
      <w:pPr>
        <w:pStyle w:val="Heading3"/>
      </w:pPr>
      <w:r>
        <w:t xml:space="preserve">4.6.4 SDLC Diagram</w:t>
      </w:r>
    </w:p>
    <w:p>
      <w:pPr>
        <w:pStyle w:val="FirstParagraph"/>
      </w:pPr>
      <w:r>
        <w:rPr>
          <w:b/>
          <w:bCs/>
        </w:rPr>
        <w:t xml:space="preserve">Figure 10</w:t>
      </w:r>
    </w:p>
    <w:p>
      <w:pPr>
        <w:pStyle w:val="BodyText"/>
      </w:pPr>
      <w:r>
        <w:rPr>
          <w:i/>
          <w:iCs/>
        </w:rPr>
        <w:t xml:space="preserve">Iterative-Incremental Development Model</w:t>
      </w:r>
    </w:p>
    <w:p>
      <w:pPr>
        <w:pStyle w:val="CaptionedFigure"/>
      </w:pPr>
      <w:r>
        <w:drawing>
          <wp:inline>
            <wp:extent cx="5334000" cy="3520155"/>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38" name="Picture"/>
            <a:graphic>
              <a:graphicData uri="http://schemas.openxmlformats.org/drawingml/2006/picture">
                <pic:pic>
                  <pic:nvPicPr>
                    <pic:cNvPr descr="../../assets/figures/sdlc_model.png" id="39" name="Picture"/>
                    <pic:cNvPicPr>
                      <a:picLocks noChangeArrowheads="1" noChangeAspect="1"/>
                    </pic:cNvPicPr>
                  </pic:nvPicPr>
                  <pic:blipFill>
                    <a:blip r:embed="rId37"/>
                    <a:stretch>
                      <a:fillRect/>
                    </a:stretch>
                  </pic:blipFill>
                  <pic:spPr bwMode="auto">
                    <a:xfrm>
                      <a:off x="0" y="0"/>
                      <a:ext cx="5334000" cy="3520155"/>
                    </a:xfrm>
                    <a:prstGeom prst="rect">
                      <a:avLst/>
                    </a:prstGeom>
                    <a:noFill/>
                    <a:ln w="9525">
                      <a:noFill/>
                      <a:headEnd/>
                      <a:tailEnd/>
                    </a:ln>
                  </pic:spPr>
                </pic:pic>
              </a:graphicData>
            </a:graphic>
          </wp:inline>
        </w:drawing>
      </w:r>
    </w:p>
    <w:p>
      <w:pPr>
        <w:pStyle w:val="ImageCaption"/>
      </w:pPr>
      <w:r>
        <w:t xml:space="preserve">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w:t>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bookmarkEnd w:id="40"/>
    <w:bookmarkEnd w:id="41"/>
    <w:bookmarkStart w:id="45" w:name="development-approach"/>
    <w:p>
      <w:pPr>
        <w:pStyle w:val="Heading2"/>
      </w:pPr>
      <w:r>
        <w:t xml:space="preserve">4.7 Development Approach</w:t>
      </w:r>
    </w:p>
    <w:bookmarkStart w:id="42" w:name="bottom-up-construction"/>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bookmarkEnd w:id="42"/>
    <w:bookmarkStart w:id="43" w:name="architectural-patterns"/>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bookmarkEnd w:id="43"/>
    <w:bookmarkStart w:id="44" w:name="coding-philosophy"/>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bookmarkEnd w:id="44"/>
    <w:bookmarkEnd w:id="45"/>
    <w:bookmarkStart w:id="46" w:name="software-development-and-tools"/>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 access link, and its role in the project.</w:t>
      </w:r>
    </w:p>
    <w:p>
      <w:pPr>
        <w:pStyle w:val="BodyText"/>
      </w:pPr>
      <w:r>
        <w:rPr>
          <w:b/>
          <w:bCs/>
        </w:rPr>
        <w:t xml:space="preserve">Table 2</w:t>
      </w:r>
    </w:p>
    <w:p>
      <w:pPr>
        <w:pStyle w:val="BodyT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1841"/>
        <w:gridCol w:w="1105"/>
        <w:gridCol w:w="1657"/>
        <w:gridCol w:w="2394"/>
        <w:gridCol w:w="920"/>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c>
          <w:tcPr/>
          <w:p>
            <w:pPr>
              <w:pStyle w:val="Compact"/>
            </w:pPr>
            <w:r>
              <w:t xml:space="preserve">Use</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c>
          <w:tcPr/>
          <w:p>
            <w:pPr>
              <w:pStyle w:val="Compact"/>
            </w:pPr>
            <w:r>
              <w:t xml:space="preserve">Primary language for the data pipeline, model, and backend</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c>
          <w:tcPr/>
          <w:p>
            <w:pPr>
              <w:pStyle w:val="Compact"/>
            </w:pPr>
            <w:r>
              <w:t xml:space="preserve">Deep-learning framework for the encoder, metric head, and training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c>
          <w:tcPr/>
          <w:p>
            <w:pPr>
              <w:pStyle w:val="Compact"/>
            </w:pPr>
            <w:r>
              <w:t xml:space="preserve">Loads the DINOv2 backbone and the baseline classifiers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c>
          <w:tcPr/>
          <w:p>
            <w:pPr>
              <w:pStyle w:val="Compact"/>
            </w:pPr>
            <w:r>
              <w:t xml:space="preserve">Pulls pre-trained weights and stores the trained metric head</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c>
          <w:tcPr/>
          <w:p>
            <w:pPr>
              <w:pStyle w:val="Compact"/>
            </w:pPr>
            <w:r>
              <w:t xml:space="preserve">Array and numerical operations</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c>
          <w:tcPr/>
          <w:p>
            <w:pPr>
              <w:pStyle w:val="Compact"/>
            </w:pPr>
            <w:r>
              <w:t xml:space="preserve">Evaluation metrics, stratified k-fold split, confusion matrix</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c>
          <w:tcPr/>
          <w:p>
            <w:pPr>
              <w:pStyle w:val="Compact"/>
            </w:pPr>
            <w:r>
              <w:t xml:space="preserve">Renders font specimens into word-crop images</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c>
          <w:tcPr/>
          <w:p>
            <w:pPr>
              <w:pStyle w:val="Compact"/>
            </w:pPr>
            <w:r>
              <w:t xml:space="preserve">Elastic warp and other degradation operations</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c>
          <w:tcPr/>
          <w:p>
            <w:pPr>
              <w:pStyle w:val="Compact"/>
            </w:pPr>
            <w:r>
              <w:t xml:space="preserve">Off-the-shelf text localization and cropping</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c>
          <w:tcPr/>
          <w:p>
            <w:pPr>
              <w:pStyle w:val="Compact"/>
            </w:pPr>
            <w:r>
              <w:t xml:space="preserve">REST inference API (</w:t>
            </w:r>
            <w:r>
              <w:rPr>
                <w:rStyle w:val="VerbatimChar"/>
              </w:rPr>
              <w:t xml:space="preserve">/predict</w:t>
            </w:r>
            <w:r>
              <w:t xml:space="preserve"> </w:t>
            </w:r>
            <w:r>
              <w:t xml:space="preserve">endpoint)</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c>
          <w:tcPr/>
          <w:p>
            <w:pPr>
              <w:pStyle w:val="Compact"/>
            </w:pPr>
            <w:r>
              <w:t xml:space="preserve">ASGI server that runs the FastAPI app</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c>
          <w:tcPr/>
          <w:p>
            <w:pPr>
              <w:pStyle w:val="Compact"/>
            </w:pPr>
            <w:r>
              <w:t xml:space="preserve">Request and response schema validation</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c>
          <w:tcPr/>
          <w:p>
            <w:pPr>
              <w:pStyle w:val="Compact"/>
            </w:pPr>
            <w:r>
              <w:t xml:space="preserve">Browser UI for image upload and the results gallery</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c>
          <w:tcPr/>
          <w:p>
            <w:pPr>
              <w:pStyle w:val="Compact"/>
            </w:pPr>
            <w:r>
              <w:t xml:space="preserve">Frontend build tool and development server</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c>
          <w:tcPr/>
          <w:p>
            <w:pPr>
              <w:pStyle w:val="Compact"/>
            </w:pPr>
            <w:r>
              <w:t xml:space="preserve">JavaScript runtime for the frontend toolchain</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c>
          <w:tcPr/>
          <w:p>
            <w:pPr>
              <w:pStyle w:val="Compact"/>
            </w:pPr>
            <w:r>
              <w:t xml:space="preserve">Containerizes the backend for reproducible deployment</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c>
          <w:tcPr/>
          <w:p>
            <w:pPr>
              <w:pStyle w:val="Compact"/>
            </w:pPr>
            <w:r>
              <w:t xml:space="preserve">Source-code version control</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c>
          <w:tcPr/>
          <w:p>
            <w:pPr>
              <w:pStyle w:val="Compact"/>
            </w:pPr>
            <w:r>
              <w:t xml:space="preserve">Repository hosting and collaboration</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c>
          <w:tcPr/>
          <w:p>
            <w:pPr>
              <w:pStyle w:val="Compact"/>
            </w:pPr>
            <w:r>
              <w:t xml:space="preserve">Generates the thesis figures</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c>
          <w:tcPr/>
          <w:p>
            <w:pPr>
              <w:pStyle w:val="Compact"/>
            </w:pPr>
            <w:r>
              <w:t xml:space="preserve">Exports the Markdown chapters to DOCX</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c>
          <w:tcPr/>
          <w:p>
            <w:pPr>
              <w:pStyle w:val="Compact"/>
            </w:pPr>
            <w:r>
              <w:t xml:space="preserve">Primary code editor</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bookmarkEnd w:id="46"/>
    <w:bookmarkStart w:id="53" w:name="project-management"/>
    <w:p>
      <w:pPr>
        <w:pStyle w:val="Heading2"/>
      </w:pPr>
      <w:r>
        <w:t xml:space="preserve">4.9 Project Management</w:t>
      </w:r>
    </w:p>
    <w:bookmarkStart w:id="50" w:name="schedule-and-timeline"/>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pPr>
      <w:r>
        <w:rPr>
          <w:b/>
          <w:bCs/>
        </w:rPr>
        <w:t xml:space="preserve">Figure 11</w:t>
      </w:r>
    </w:p>
    <w:p>
      <w:pPr>
        <w:pStyle w:val="BodyT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48" name="Picture"/>
            <a:graphic>
              <a:graphicData uri="http://schemas.openxmlformats.org/drawingml/2006/picture">
                <pic:pic>
                  <pic:nvPicPr>
                    <pic:cNvPr descr="../../assets/figures/gantt_timeline.png" id="49" name="Picture"/>
                    <pic:cNvPicPr>
                      <a:picLocks noChangeArrowheads="1" noChangeAspect="1"/>
                    </pic:cNvPicPr>
                  </pic:nvPicPr>
                  <pic:blipFill>
                    <a:blip r:embed="rId47"/>
                    <a:stretch>
                      <a:fillRect/>
                    </a:stretch>
                  </pic:blipFill>
                  <pic:spPr bwMode="auto">
                    <a:xfrm>
                      <a:off x="0" y="0"/>
                      <a:ext cx="5334000" cy="3097550"/>
                    </a:xfrm>
                    <a:prstGeom prst="rect">
                      <a:avLst/>
                    </a:prstGeom>
                    <a:noFill/>
                    <a:ln w="9525">
                      <a:noFill/>
                      <a:headEnd/>
                      <a:tailEnd/>
                    </a:ln>
                  </pic:spPr>
                </pic:pic>
              </a:graphicData>
            </a:graphic>
          </wp:inline>
        </w:drawing>
      </w:r>
    </w:p>
    <w:p>
      <w:pPr>
        <w:pStyle w:val="ImageCaption"/>
      </w:pPr>
      <w:r>
        <w:t xml:space="preserve">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w:t>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bookmarkEnd w:id="50"/>
    <w:bookmarkStart w:id="51" w:name="responsibilities"/>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pPr>
      <w:r>
        <w:rPr>
          <w:b/>
          <w:bCs/>
        </w:rPr>
        <w:t xml:space="preserve">Table 3</w:t>
      </w:r>
    </w:p>
    <w:p>
      <w:pPr>
        <w:pStyle w:val="BodyText"/>
      </w:pPr>
      <w:r>
        <w:rPr>
          <w:i/>
          <w:iCs/>
        </w:rPr>
        <w:t xml:space="preserve">Division of Responsibilities</w:t>
      </w:r>
    </w:p>
    <w:tbl>
      <w:tblPr>
        <w:tblStyle w:val="Table"/>
        <w:tblW w:type="pct" w:w="5000"/>
        <w:tblLayout w:type="fixed"/>
        <w:tblLook w:firstRow="1" w:lastRow="0" w:firstColumn="0" w:lastColumn="0" w:noHBand="0" w:noVBand="0" w:val="0020"/>
      </w:tblPr>
      <w:tblGrid>
        <w:gridCol w:w="1980"/>
        <w:gridCol w:w="1485"/>
        <w:gridCol w:w="4455"/>
      </w:tblGrid>
      <w:tr>
        <w:trPr>
          <w:tblHeader w:val="on"/>
        </w:trPr>
        <w:tc>
          <w:tcPr/>
          <w:p>
            <w:pPr>
              <w:pStyle w:val="Compact"/>
            </w:pPr>
            <w:r>
              <w:t xml:space="preserve">Member</w:t>
            </w:r>
          </w:p>
        </w:tc>
        <w:tc>
          <w:tcPr/>
          <w:p>
            <w:pPr>
              <w:pStyle w:val="Compact"/>
            </w:pPr>
            <w:r>
              <w:t xml:space="preserve">Role</w:t>
            </w:r>
          </w:p>
        </w:tc>
        <w:tc>
          <w:tcPr/>
          <w:p>
            <w:pPr>
              <w:pStyle w:val="Compact"/>
            </w:pPr>
            <w:r>
              <w:t xml:space="preserve">Responsibilities</w:t>
            </w:r>
          </w:p>
        </w:tc>
      </w:tr>
      <w:tr>
        <w:tc>
          <w:tcPr/>
          <w:p>
            <w:pPr>
              <w:pStyle w:val="Compact"/>
            </w:pPr>
            <w:r>
              <w:t xml:space="preserve">Janritch Diputado</w:t>
            </w:r>
          </w:p>
        </w:tc>
        <w:tc>
          <w:tcPr/>
          <w:p>
            <w:pPr>
              <w:pStyle w:val="Compact"/>
            </w:pPr>
            <w:r>
              <w:t xml:space="preserve">Researcher and developer</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Researcher and developer</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Researchers and developers</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bookmarkEnd w:id="51"/>
    <w:bookmarkStart w:id="52" w:name="budget-and-cost-management"/>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pPr>
      <w:r>
        <w:rPr>
          <w:b/>
          <w:bCs/>
        </w:rPr>
        <w:t xml:space="preserve">Table 4</w:t>
      </w:r>
    </w:p>
    <w:p>
      <w:pPr>
        <w:pStyle w:val="BodyText"/>
      </w:pPr>
      <w:r>
        <w:rPr>
          <w:i/>
          <w:iCs/>
        </w:rPr>
        <w:t xml:space="preserve">Estimated Replication Budget</w:t>
      </w:r>
    </w:p>
    <w:tbl>
      <w:tblPr>
        <w:tblStyle w:val="Table"/>
        <w:tblW w:type="pct" w:w="5000"/>
        <w:tblLayout w:type="fixed"/>
        <w:tblLook w:firstRow="1" w:lastRow="0" w:firstColumn="0" w:lastColumn="0" w:noHBand="0" w:noVBand="0" w:val="0020"/>
      </w:tblPr>
      <w:tblGrid>
        <w:gridCol w:w="1494"/>
        <w:gridCol w:w="896"/>
        <w:gridCol w:w="2988"/>
        <w:gridCol w:w="2540"/>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pPr>
            <w:r>
              <w:t xml:space="preserve">Est. cost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bookmarkEnd w:id="52"/>
    <w:bookmarkEnd w:id="53"/>
    <w:bookmarkStart w:id="57" w:name="verification-validation-and-testing"/>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bookmarkStart w:id="54" w:name="verification-building-the-system-right"/>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serves as the verification pass on the parts each did not write.</w:t>
      </w:r>
    </w:p>
    <w:bookmarkEnd w:id="54"/>
    <w:bookmarkStart w:id="55" w:name="validation-building-the-right-system"/>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bookmarkEnd w:id="55"/>
    <w:bookmarkStart w:id="56" w:name="testing-confirming-the-system-works"/>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7" Target="media/rId47.png" /><Relationship Type="http://schemas.openxmlformats.org/officeDocument/2006/relationships/image" Id="rId37" Target="media/rId37.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2026-07-10T15:04:32Z</dcterms:created>
  <dcterms:modified xsi:type="dcterms:W3CDTF">2026-07-10T15:04:32Z</dcterms:modified>
</cp:coreProperties>
</file>

<file path=docProps/custom.xml><?xml version="1.0" encoding="utf-8"?>
<Properties xmlns="http://schemas.openxmlformats.org/officeDocument/2006/custom-properties" xmlns:vt="http://schemas.openxmlformats.org/officeDocument/2006/docPropsVTypes"/>
</file>