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7.png" ContentType="image/png"/>
  <Override PartName="/word/media/rId37.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apter-4-methodology"/>
    <w:p>
      <w:pPr>
        <w:pStyle w:val="Heading1"/>
      </w:pPr>
      <w:r>
        <w:t xml:space="preserve">Chapter 4: Methodology</w:t>
      </w:r>
    </w:p>
    <w:bookmarkStart w:id="11" w:name="research-environment-and-respondents"/>
    <w:p>
      <w:pPr>
        <w:pStyle w:val="Heading2"/>
      </w:pPr>
      <w:r>
        <w:t xml:space="preserve">4.1 Research Environment and Respondents</w:t>
      </w:r>
    </w:p>
    <w:p>
      <w:pPr>
        <w:pStyle w:val="FirstParagraph"/>
      </w:pPr>
      <w:r>
        <w:t xml:space="preserve">This study is conducted in a fully computational research environment. It does not draw on a human population but instead studies typographic artifacts. The units of analysis are therefore not people but</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Because the study addresses typographic hallucination in generative AI images, no clean corpus of such crops exists at the scale a metric-learning model requires. The environment is consequently a</w:t>
      </w:r>
      <w:r>
        <w:t xml:space="preserve"> </w:t>
      </w:r>
      <w:r>
        <w:rPr>
          <w:i/>
          <w:iCs/>
        </w:rPr>
        <w:t xml:space="preserve">synthetic-data</w:t>
      </w:r>
      <w:r>
        <w:t xml:space="preserve"> </w:t>
      </w:r>
      <w:r>
        <w:t xml:space="preserve">one: the primary dataset is generated by the researchers from a curated, open-source font palette rather than downloaded ready-made. This follows the precedent of DeepFont, which likewise built a targeted synthetic dataset of rendered glyphs to train a deep visual font recognizer (Wang et al., 2015).</w:t>
      </w:r>
    </w:p>
    <w:bookmarkStart w:id="9" w:name="digital-source-and-trusted-environment"/>
    <w:p>
      <w:pPr>
        <w:pStyle w:val="Heading3"/>
      </w:pPr>
      <w:r>
        <w:t xml:space="preserve">Digital Source and Trusted Environment</w:t>
      </w:r>
    </w:p>
    <w:p>
      <w:pPr>
        <w:pStyle w:val="FirstParagraph"/>
      </w:pPr>
      <w:r>
        <w:t xml:space="preserve">The font palette is sourced from Google Fonts (https://fonts.google.com; source repository https://github.com/google/fonts), the open-source typeface library maintained by Google LLC. Google Fonts is a trusted environment for three reasons. First, its faces are released under permissive open licenses (predominantly the SIL Open Font License), so every typeface can be freely rendered, degraded, and redistributed without the licensing constraints that encumber commercial font catalogues. Second, the collection is curated and version-controlled, giving each typeface a stable identity and provenance that a reproducible dataset requires. Third, its faces are among the most widely deployed on the web, so a model trained on them maps hallucinated text back onto a realistic, free reconstruction palette. From this library the study selects the top 50 to 100 Google Fonts, drawn from the platform’s own popularity ordering and chosen to span the four structural family classes (serif, sans-serif, display, and monospace) established in Section 3.2.1.</w:t>
      </w:r>
    </w:p>
    <w:p>
      <w:pPr>
        <w:pStyle w:val="BodyText"/>
      </w:pPr>
      <w:r>
        <w:t xml:space="preserve">The decision to bound the palette this tightly is deliberate, and it follows from both the framework’s design and the evidence on large catalogues. Conceptually, the system is built for open-set recognition, in which the known set is intentionally finite and every out-of-palette input is routed to an</w:t>
      </w:r>
      <w:r>
        <w:t xml:space="preserve"> </w:t>
      </w:r>
      <w:r>
        <w:t xml:space="preserve">“unknown”</w:t>
      </w:r>
      <w:r>
        <w:t xml:space="preserve"> </w:t>
      </w:r>
      <w:r>
        <w:t xml:space="preserve">verdict; because the space of possible fonts is effectively unbounded and cannot be enumerated (Lu et al., 2025), a localized known set is the premise of the design rather than a limitation of it. Empirically, scaling the catalogue buys coverage, not robustness. The 3,474-font Storia-AI classifier is the field’s largest reference embedding, yet it still overfits pristine glyphs and degrades under generative deformation (Jiang et al., 2025), and Chen et al. (2026) show that pushing to 394 variants drops family-level accuracy to 40.2%, because the additional fonts are largely near-identical weight variants whose confusion dominates the error matrix. A curated palette that omits redundant near-duplicates avoids that failure mode directly. The trimmed set also excludes the typographic long tail of rare and display faces, which is both the hardest to recognize and the most severely hallucinated by diffusion models (Zhuang et al., 2025), and it keeps per-class image density high for the metric-learning objective, since a fixed rendering budget spread over fewer classes yields more examples per font. Finally, the study’s reconstruction goal only requires the faces designers actually reuse, which the popularity ordering already surfaces.</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The classifier was chosen because it is the field’s reference embedding for font identity, adopted as the fidelity backbone in recent typographic work (Jiang et al., 2025). Benchmarking against it lets the study demonstrate, on a recognized standard, how weights fitted to pristine glyphs degrade under generative-AI deformation.</w:t>
      </w:r>
    </w:p>
    <w:bookmarkEnd w:id="9"/>
    <w:bookmarkStart w:id="10" w:name="respondents-the-entities-being-studied"/>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1"/>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and is characterized by the measurable structural traits defined in Chapter 3 (x-height, terminal form, stroke contrast, and counter shape).</w:t>
      </w:r>
    </w:p>
    <w:p>
      <w:pPr>
        <w:numPr>
          <w:ilvl w:val="0"/>
          <w:numId w:val="1001"/>
        </w:numPr>
      </w:pPr>
      <w:r>
        <w:rPr>
          <w:b/>
          <w:bCs/>
        </w:rPr>
        <w:t xml:space="preserve">Rendered text-crop images.</w:t>
      </w:r>
      <w:r>
        <w:t xml:space="preserve"> </w:t>
      </w:r>
      <w:r>
        <w:t xml:space="preserve">From each font the pipeline renders pristine word crops and then applies the algorithmic degradation operator of Section 3.2.3 to produce hallucinated variants. These grayscale image crops (standardized to a fixed input resolution, detailed in Section 4.3.1) are the individual</w:t>
      </w:r>
      <w:r>
        <w:t xml:space="preserve"> </w:t>
      </w:r>
      <w:r>
        <w:t xml:space="preserve">“profiles”</w:t>
      </w:r>
      <w:r>
        <w:t xml:space="preserve"> </w:t>
      </w:r>
      <w:r>
        <w:t xml:space="preserve">the model actually consumes; each degraded crop is an instance whose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text regions in different fonts, so an upstream step must first locate and crop each region. That localization is handled by a standard off-the-shelf text detector and is treated as a delimitation rather than a contribution: this study does not train, tune, or evaluate the localizer, and it reports no detection metrics. Every crop the localizer emits is classified independently by the recognition engine, which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training population: a three-person consensus panel establishes a human-proxy ground truth over a held-out set of 100 actual generative-AI image text boxes. This panel provides the accuracy floor against which the automated system is compared (elaborated in Section 4.10); its composition and screening criteria are specified there. Because the raters are practicing typography and design professionals for whom a synchronous, face-to-face labeling session would be impractical to convene, the panel operates in a</w:t>
      </w:r>
      <w:r>
        <w:t xml:space="preserve"> </w:t>
      </w:r>
      <w:r>
        <w:rPr>
          <w:b/>
          <w:bCs/>
        </w:rPr>
        <w:t xml:space="preserve">remote, asynchronous online environment</w:t>
      </w:r>
      <w:r>
        <w:t xml:space="preserve">: each rater completes the rating exercise independently through a web-based form, at their own pace and without a shared session or contact between raters. The distributed setup also preserves rater independence by construction, since no rater can observe another’s judgments before submitting, and it keeps the environment reproducible because every rater receives the identical instrument over the identical crop set. The administration of that form is detailed in Section 4.2.3. Apart from this proxy panel, the study’s respondents are entirely typographic artifacts.</w:t>
      </w:r>
    </w:p>
    <w:bookmarkEnd w:id="10"/>
    <w:bookmarkEnd w:id="11"/>
    <w:bookmarkStart w:id="16" w:name="research-instrument-or-sources-of-data"/>
    <w:p>
      <w:pPr>
        <w:pStyle w:val="Heading2"/>
      </w:pPr>
      <w:r>
        <w:t xml:space="preserve">4.2 Research Instrument or Sources of Data</w:t>
      </w:r>
    </w:p>
    <w:p>
      <w:pPr>
        <w:pStyle w:val="FirstParagraph"/>
      </w:pPr>
      <w:r>
        <w:t xml:space="preserve">Because this study works on typographic artifacts rather than human respondents, its</w:t>
      </w:r>
      <w:r>
        <w:t xml:space="preserve"> </w:t>
      </w:r>
      <w:r>
        <w:t xml:space="preserve">“instruments”</w:t>
      </w:r>
      <w:r>
        <w:t xml:space="preserve"> </w:t>
      </w:r>
      <w:r>
        <w:t xml:space="preserve">are the software apparatus that manufactures, measures, and adjudicates the data rather than a questionnaire or survey. Four instruments are used: a researcher-made synthetic-data generation pipeline that produces the training and validation corpus, a set of standardized evaluation metrics that score the model’s output, a researcher-made human-proxy consensus rubric that fixes ground truth on real generative crops, and a web application that exercises the trained model in real time. The first three supply and assess data; the fourth is the interactive artifact through which the system is demonstrated and stress-tested.</w:t>
      </w:r>
    </w:p>
    <w:bookmarkStart w:id="12" w:name="X1a7c5dfb233b186c8bf79b24fb133cf61fa5f7b"/>
    <w:p>
      <w:pPr>
        <w:pStyle w:val="Heading3"/>
      </w:pPr>
      <w:r>
        <w:t xml:space="preserve">4.2.1 Synthetic-Data Generation Pipeline (Researcher-Made)</w:t>
      </w:r>
    </w:p>
    <w:p>
      <w:pPr>
        <w:pStyle w:val="FirstParagraph"/>
      </w:pPr>
      <w:r>
        <w:t xml:space="preserve">The primary instrument is a researcher-built rendering-and-degradation pipeline. Its purpose is to generate a large, fully labeled corpus of text-crop images for which no in-the-wild equivalent exists at the scale metric learning requires, following the synthetic-corpus precedent of DeepFont (Wang et al., 2015) and the more recent DINOv2-based font pipeline of Chen et al. (2026). The instrument has two stages. The rendering stage draws pristine word crops from the selected Google Fonts palette; the degradation stage applies the operator</w:t>
      </w:r>
      <w:r>
        <w:t xml:space="preserve"> </w:t>
      </w:r>
      <m:oMath>
        <m:r>
          <m:t>D</m:t>
        </m:r>
      </m:oMath>
      <w:r>
        <w:t xml:space="preserve"> </w:t>
      </w:r>
      <w:r>
        <w:t xml:space="preserve">defined in Section 3.2.3 (elastic warp, Gaussian blur and noise, and kerning jitter) to convert each pristine crop into a hallucinated variant.</w:t>
      </w:r>
    </w:p>
    <w:p>
      <w:pPr>
        <w:pStyle w:val="BodyText"/>
      </w:pPr>
      <w:r>
        <w:t xml:space="preserve">The instrument’s</w:t>
      </w:r>
      <w:r>
        <w:t xml:space="preserve"> </w:t>
      </w:r>
      <w:r>
        <w:rPr>
          <w:b/>
          <w:bCs/>
        </w:rPr>
        <w:t xml:space="preserve">construct validity</w:t>
      </w:r>
      <w:r>
        <w:t xml:space="preserve"> </w:t>
      </w:r>
      <w:r>
        <w:t xml:space="preserve">rests on the correspondence between its degradation parameters and the deformation mechanisms the generative literature documents: cross-character attention smearing (Gillani et al., 2025), multi-instance entanglement (Du et al., 2025), and continuous latent-manifold mutation (Kondo et al., 2024). In other words, the pipeline is valid to the extent that its manufactured deformations reproduce those observed in real text-to-image output. Its</w:t>
      </w:r>
      <w:r>
        <w:t xml:space="preserve"> </w:t>
      </w:r>
      <w:r>
        <w:rPr>
          <w:b/>
          <w:bCs/>
        </w:rPr>
        <w:t xml:space="preserve">reliability</w:t>
      </w:r>
      <w:r>
        <w:t xml:space="preserve"> </w:t>
      </w:r>
      <w:r>
        <w:t xml:space="preserve">is guaranteed procedurally: rendering and degradation are deterministic given a fixed random seed, so any crop in the dataset can be regenerated bit-for-bit, and the per-parameter degradation levels are logged with each image. This distinguishes the instrument from a standardized dataset, since it is researcher-made, but its determinism makes it reproducible by any third party who runs the same code with the same seed.</w:t>
      </w:r>
    </w:p>
    <w:bookmarkEnd w:id="12"/>
    <w:bookmarkStart w:id="13" w:name="standardized-evaluation-metrics"/>
    <w:p>
      <w:pPr>
        <w:pStyle w:val="Heading3"/>
      </w:pPr>
      <w:r>
        <w:t xml:space="preserve">4.2.2 Standardized Evaluation Metrics</w:t>
      </w:r>
    </w:p>
    <w:p>
      <w:pPr>
        <w:pStyle w:val="FirstParagraph"/>
      </w:pPr>
      <w:r>
        <w:t xml:space="preserve">The model’s output is scored with published, standardized metrics rather than researcher-defined ones, which imports their established validity. Recognition accuracy uses the</w:t>
      </w:r>
      <w:r>
        <w:t xml:space="preserve"> </w:t>
      </w:r>
      <w:r>
        <w:rPr>
          <w:b/>
          <w:bCs/>
        </w:rPr>
        <w:t xml:space="preserve">Top-1 and Top-3 (Top-K) protocol</w:t>
      </w:r>
      <w:r>
        <w:t xml:space="preserve"> </w:t>
      </w:r>
      <w:r>
        <w:t xml:space="preserve">that DeepFont established as the field standard (Wang et al., 2015). Typographic proximity between a predicted font and the input crop is measured with</w:t>
      </w:r>
      <w:r>
        <w:t xml:space="preserve"> </w:t>
      </w:r>
      <w:r>
        <w:rPr>
          <w:b/>
          <w:bCs/>
        </w:rPr>
        <w:t xml:space="preserve">structural-similarity metrics</w:t>
      </w:r>
      <w:r>
        <w:t xml:space="preserve"> </w:t>
      </w:r>
      <w:r>
        <w:t xml:space="preserve">in a re-render-and-compare loop: the classical SSIM of Wang et al. (2004) and its deformation-robust successors DeepSSIM (Zhang et al., 2024) and SAMScore (Li, Chen, et al., 2025), whose reliability under geometric misalignment is exactly the property this study needs. Prediction-set confidence uses</w:t>
      </w:r>
      <w:r>
        <w:t xml:space="preserve"> </w:t>
      </w:r>
      <w:r>
        <w:rPr>
          <w:b/>
          <w:bCs/>
        </w:rPr>
        <w:t xml:space="preserve">rank-calibrated conformal prediction</w:t>
      </w:r>
      <w:r>
        <w:t xml:space="preserve"> </w:t>
      </w:r>
      <w:r>
        <w:t xml:space="preserve">(Shi et al., 2024; Ding et al., 2025), which carries a formal coverage guarantee. Finally, error severity is weighted by the</w:t>
      </w:r>
      <w:r>
        <w:t xml:space="preserve"> </w:t>
      </w:r>
      <w:r>
        <w:rPr>
          <w:b/>
          <w:bCs/>
        </w:rPr>
        <w:t xml:space="preserve">embedding-centroid cosine severity index</w:t>
      </w:r>
      <w:r>
        <w:t xml:space="preserve"> </w:t>
      </w:r>
      <w:r>
        <w:t xml:space="preserve">of Chen et al. (2026), which quantifies whether misclassifications stay within a typographic family. Because these instruments are drawn from peer-reviewed sources, their validity and reliability coefficients are inherited from the literature rather than re-established here.</w:t>
      </w:r>
    </w:p>
    <w:bookmarkEnd w:id="13"/>
    <w:bookmarkStart w:id="14" w:name="Xc30b3d7327305c54fb1c2fe2e82511f1c2aa2d8"/>
    <w:p>
      <w:pPr>
        <w:pStyle w:val="Heading3"/>
      </w:pPr>
      <w:r>
        <w:t xml:space="preserve">4.2.3 Human-Proxy Consensus Rubric (Researcher-Made)</w:t>
      </w:r>
    </w:p>
    <w:p>
      <w:pPr>
        <w:pStyle w:val="FirstParagraph"/>
      </w:pPr>
      <w:r>
        <w:t xml:space="preserve">Ground truth for real generative crops, which carry no font metadata, is fixed by a researcher-made rating instrument administered to a three-person expert panel. The instrument is delivered asynchronously as a web-based rating form rather than in a supervised session (the remote environment justified in Section 4.1): each crop is presented individually beside a reference sheet of the palette rendered as labeled specimens, so that raters match against a fixed, visible option set instead of recalling fonts from memory, and each rater works self-paced and blind both to the other raters and to the model’s predictions, which guards against anchoring. For each of the [N = 100] real generative-AI text boxes, each rater independently assigns a font label from the palette or an</w:t>
      </w:r>
      <w:r>
        <w:t xml:space="preserve"> </w:t>
      </w:r>
      <w:r>
        <w:t xml:space="preserve">“unknown / hallucinated”</w:t>
      </w:r>
      <w:r>
        <w:t xml:space="preserve"> </w:t>
      </w:r>
      <w:r>
        <w:t xml:space="preserve">verdict, and a label is fixed only when at least two of three raters agree. The instrument’s</w:t>
      </w:r>
      <w:r>
        <w:t xml:space="preserve"> </w:t>
      </w:r>
      <w:r>
        <w:rPr>
          <w:b/>
          <w:bCs/>
        </w:rPr>
        <w:t xml:space="preserve">content validity</w:t>
      </w:r>
      <w:r>
        <w:t xml:space="preserve"> </w:t>
      </w:r>
      <w:r>
        <w:t xml:space="preserve">comes from panel expertise (raters screened for typographic training,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is run. The 2-of-3 consensus rule is the instrument’s built-in reliability safeguard against any single rater’s idiosyncrasy.</w:t>
      </w:r>
    </w:p>
    <w:bookmarkEnd w:id="14"/>
    <w:bookmarkStart w:id="15" w:name="Xf77e04f6843e49c7d57736ac8fd37723e82febc"/>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This instrument serves two methodological purposes: it is the demonstration artifact required by the build-method evaluation of Section 4.10, and it is a qualitative probe that surfaces failure cases on ad hoc, in-the-wild inputs that the fixed test set may not contain. Its design, framework choices, and development process are detailed in Sections 4.5 through 4.8.</w:t>
      </w:r>
    </w:p>
    <w:bookmarkEnd w:id="15"/>
    <w:bookmarkEnd w:id="16"/>
    <w:bookmarkStart w:id="19" w:name="research-procedure"/>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bookmarkStart w:id="17" w:name="gathering-of-data"/>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stratify, and audit it.</w:t>
      </w:r>
    </w:p>
    <w:p>
      <w:pPr>
        <w:pStyle w:val="BodyText"/>
      </w:pPr>
      <w:r>
        <w:rPr>
          <w:b/>
          <w:bCs/>
        </w:rPr>
        <w:t xml:space="preserve">Table 1</w:t>
      </w:r>
    </w:p>
    <w:p>
      <w:pPr>
        <w:pStyle w:val="BodyT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(inputs) are the pixels of the rendered text-crop image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(target) is the font class label, one of the 50 to 100 palette fonts, plus the open-set</w:t>
      </w:r>
      <w:r>
        <w:t xml:space="preserve"> </w:t>
      </w:r>
      <w:r>
        <w:t xml:space="preserve">“unknown”</w:t>
      </w:r>
      <w:r>
        <w:t xml:space="preserve"> </w:t>
      </w:r>
      <w:r>
        <w:t xml:space="preserve">outcome for crops belonging to no palette font. Secondary outcomes measured from the model are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which matches the DINOv2 ViT-B/14 backbone and the resolution used by Chen et al. (2026). To keep the model from learning a color shortcut, and to mirror the varied coloring of real generative text, foreground and background colors are randomized during rendering with a minimum luminance contrast of 80 (the Chen et al. precedent). Each crop is then reduced to single-channel luminance and replicated across three channels for ImageNet-normalized input, so the encoder reads grayscale structure while training on color-varied renders. Text alignment is jittered (left, center, or right) and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word list of common words so that lexical content is decorrelated from font identity across the corpus. Each crop carries one to three words, so the visual field is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(Gaussian</w:t>
      </w:r>
      <w:r>
        <w:t xml:space="preserve"> </w:t>
      </w:r>
      <m:oMath>
        <m:r>
          <m:t>σ</m:t>
        </m:r>
        <m:r>
          <m:rPr>
            <m:sty m:val="p"/>
          </m:rPr>
          <m:t>=</m:t>
        </m:r>
        <m:r>
          <m:t>25.5</m:t>
        </m:r>
      </m:oMath>
      <w:r>
        <w:t xml:space="preserve">). This study’s data contribution is to add the hallucination-specific degradation operator</w:t>
      </w:r>
      <w:r>
        <w:t xml:space="preserve"> </w:t>
      </w:r>
      <m:oMath>
        <m:r>
          <m:t>D</m:t>
        </m:r>
      </m:oMath>
      <w:r>
        <w:t xml:space="preserve">, covering elastic warp, kerning jitter, and cross-character smear, that their closed-set pipeline lacks. As a result the corpus covers the probabilistic glyph deformation that defines the target regime, which clean renders under noise never reach.</w:t>
      </w:r>
    </w:p>
    <w:p>
      <w:pPr>
        <w:pStyle w:val="BodyText"/>
      </w:pPr>
      <w:r>
        <w:rPr>
          <w:b/>
          <w:bCs/>
        </w:rPr>
        <w:t xml:space="preserve">The real-generative evaluation set.</w:t>
      </w:r>
      <w:r>
        <w:t xml:space="preserve"> </w:t>
      </w:r>
      <w:r>
        <w:t xml:space="preserve">A second, smaller body of data is</w:t>
      </w:r>
      <w:r>
        <w:t xml:space="preserve"> </w:t>
      </w:r>
      <w:r>
        <w:rPr>
          <w:i/>
          <w:iCs/>
        </w:rPr>
        <w:t xml:space="preserve">collected rather than rendered</w:t>
      </w:r>
      <w:r>
        <w:t xml:space="preserve">, to test the trained model on genuine in-the-wild deformation instead of the study’s own synthetic operator. It consists of [N = 100] text crops isolated from real images produced by current text-to-image generators such as DALL·E, Midjourney, and Stable Diffusion, the tools whose typographic hallucination motivates the study. Each source image is passed through the same off-the-shelf localizer used at deployment (Section 4.1), and every text box it emits becomes one evaluation crop, so the unit of analysis is identical to the synthetic corpus. Because these crops carry no embedded font metadata, their ground-truth labels are fixed by the human-proxy panel (Section 4.2.3), and the set is held out from training entirely (Section 4.3.2).</w:t>
      </w:r>
    </w:p>
    <w:p>
      <w:pPr>
        <w:pStyle w:val="BodyText"/>
      </w:pPr>
      <w:r>
        <w:rPr>
          <w:b/>
          <w:bCs/>
        </w:rPr>
        <w:t xml:space="preserve">Selecting the crops.</w:t>
      </w:r>
      <w:r>
        <w:t xml:space="preserve"> </w:t>
      </w:r>
      <w:r>
        <w:t xml:space="preserve">The [N = 100] crops are sampled</w:t>
      </w:r>
      <w:r>
        <w:t xml:space="preserve"> </w:t>
      </w:r>
      <w:r>
        <w:rPr>
          <w:i/>
          <w:iCs/>
        </w:rPr>
        <w:t xml:space="preserve">purposively rather than at random</w:t>
      </w:r>
      <w:r>
        <w:t xml:space="preserve">, under a quota that spans the two factors that drive recognition difficulty: the four structural family classes (serif, sans-serif, display, monospace) and a graded range of hallucination severity from mild to severe, gathered across more than one generator so the benchmark is not dominated by a single tool’s failure signature. This mirrors the family-and-degradation stratification of the synthetic split (Section 4.3.2) and ensures the human-proxy accuracy floor is estimated over the full difficulty range, not only easy cases.</w:t>
      </w:r>
    </w:p>
    <w:p>
      <w:pPr>
        <w:pStyle w:val="BodyText"/>
      </w:pPr>
      <w:r>
        <w:rPr>
          <w:b/>
          <w:bCs/>
        </w:rPr>
        <w:t xml:space="preserve">Why one hundred.</w:t>
      </w:r>
      <w:r>
        <w:t xml:space="preserve"> </w:t>
      </w:r>
      <w:r>
        <w:t xml:space="preserve">The set is deliberately small because every crop must be labeled independently by all three expert raters, roughly 300 judgments in total, so its size is bounded by expert effort rather than by data availability. One hundred is adequate for its role as a benchmark and accuracy floor rather than a training set: at</w:t>
      </w:r>
      <w:r>
        <w:t xml:space="preserve"> </w:t>
      </w:r>
      <m:oMath>
        <m:r>
          <m:t>n</m:t>
        </m:r>
        <m:r>
          <m:rPr>
            <m:sty m:val="p"/>
          </m:rPr>
          <m:t>=</m:t>
        </m:r>
        <m:r>
          <m:t>100</m:t>
        </m:r>
      </m:oMath>
      <w:r>
        <w:t xml:space="preserve"> </w:t>
      </w:r>
      <w:r>
        <w:t xml:space="preserve">a measured accuracy carries a worst-case 95% confidence half-width of about</w:t>
      </w:r>
      <w:r>
        <w:t xml:space="preserve"> </w:t>
      </w:r>
      <m:oMath>
        <m:r>
          <m:rPr>
            <m:sty m:val="p"/>
          </m:rPr>
          <m:t>±</m:t>
        </m:r>
        <m:r>
          <m:t>10</m:t>
        </m:r>
      </m:oMath>
      <w:r>
        <w:t xml:space="preserve"> </w:t>
      </w:r>
      <w:r>
        <w:t xml:space="preserve">percentage points, and the comparison it supports (the open-set model against closed-set baselines that collapse on deformed input, Section 4.10) targets gaps far larger than that margin, while finer-grained effects are left to the much larger synthetic test partition. The count is a planned target and may be revised upward if rater capacity allows.</w:t>
      </w:r>
    </w:p>
    <w:bookmarkEnd w:id="17"/>
    <w:bookmarkStart w:id="18" w:name="treatment-of-data"/>
    <w:p>
      <w:pPr>
        <w:pStyle w:val="Heading3"/>
      </w:pPr>
      <w:r>
        <w:t xml:space="preserve">4.3.2 Treatment of Data</w:t>
      </w:r>
    </w:p>
    <w:p>
      <w:pPr>
        <w:pStyle w:val="FirstParagraph"/>
      </w:pPr>
      <w:r>
        <w:t xml:space="preserve">Before training, each crop passes through a preprocessing chain embedded in the model’s forward pass (square-pad, resize to 224 × 224, and ImageNet normalization) rather than applied as a separate offline step. Folding preprocessing into the forward method, following Chen et al. (2026), guarantees that the same transforms run at training and at inference, which eliminates train-serve skew when the model is later called from the web application. Degradation via the operator</w:t>
      </w:r>
      <w:r>
        <w:t xml:space="preserve"> </w:t>
      </w:r>
      <m:oMath>
        <m:r>
          <m:t>D</m:t>
        </m:r>
      </m:oMath>
      <w:r>
        <w:t xml:space="preserve"> </w:t>
      </w:r>
      <w:r>
        <w:t xml:space="preserve">is applied online as a stochastic augmentation, so a given font is seen across a distribution of deformation amplitudes within and across epochs. Following the augmentation-as-coverage argument of Plastropoulos and Tegos (2024), this pushes the decision boundary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because in-the-wild generative crops arrive without font labels and the open-set inference path must not depend on a closed-set classifier. Parameter-efficient fine-tuning (LoRA;</w:t>
      </w:r>
      <w:r>
        <w:t xml:space="preserve"> </w:t>
      </w:r>
      <m:oMath>
        <m:r>
          <m:t>r</m:t>
        </m:r>
        <m:r>
          <m:rPr>
            <m:sty m:val="p"/>
          </m:rPr>
          <m:t>=</m:t>
        </m:r>
        <m:r>
          <m:t>8</m:t>
        </m:r>
      </m:oMath>
      <w:r>
        <w:t xml:space="preserve">,</w:t>
      </w:r>
      <w:r>
        <w:t xml:space="preserve"> </w:t>
      </w:r>
      <m:oMath>
        <m:r>
          <m:t>α</m:t>
        </m:r>
        <m:r>
          <m:rPr>
            <m:sty m:val="p"/>
          </m:rPr>
          <m:t>=</m:t>
        </m:r>
        <m:r>
          <m:t>16</m:t>
        </m:r>
      </m:oMath>
      <w:r>
        <w:t xml:space="preserve">, about 0.2% of parameters) as used by Chen et al. (2026) is reserved for the supervised teacher that supplies reference distributions to the label-free prompt-distillation step. It is kept off the open-set inference path, whose closed-set assumptions it would otherwise reintroduce.</w:t>
      </w:r>
    </w:p>
    <w:p>
      <w:pPr>
        <w:pStyle w:val="BodyText"/>
      </w:pPr>
      <w:r>
        <w:rPr>
          <w:b/>
          <w:bCs/>
        </w:rPr>
        <w:t xml:space="preserve">Validation strategy.</w:t>
      </w:r>
      <w:r>
        <w:t xml:space="preserve"> </w:t>
      </w:r>
      <w:r>
        <w:t xml:space="preserve">The synthetic corpus is partitioned 70% / 15% / 15% into training, validation, and test sets, split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Because per-class counts for the rarest faces are modest, stratified k-fold cross-validation (</w:t>
      </w:r>
      <m:oMath>
        <m:r>
          <m:t>k</m:t>
        </m:r>
        <m:r>
          <m:rPr>
            <m:sty m:val="p"/>
          </m:rPr>
          <m:t>=</m:t>
        </m:r>
        <m:r>
          <m:t>5</m:t>
        </m:r>
      </m:oMath>
      <w:r>
        <w:t xml:space="preserve">) is used on the combined train-plus-validation data to stabilize the reported metrics, with the 15% test partition held out untouched until final evaluation. Separate from this synthetic split is the real-generative test set of [N = 100] in-the-wild crops (sourced, sampled, and sized in Section 4.3.1; labeled by the human-proxy panel, Section 4.2.3). It never enters training in any form, and it functions as the out-of-distribution generalization benchmark against which the synthetic-trained model is finally judged.</w:t>
      </w:r>
    </w:p>
    <w:bookmarkEnd w:id="18"/>
    <w:bookmarkEnd w:id="19"/>
    <w:bookmarkStart w:id="27" w:name="concept"/>
    <w:p>
      <w:pPr>
        <w:pStyle w:val="Heading2"/>
      </w:pPr>
      <w:r>
        <w:t xml:space="preserve">4.4 Concept</w:t>
      </w:r>
    </w:p>
    <w:bookmarkStart w:id="20" w:name="core-concept-and-vision"/>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or an explicit</w:t>
      </w:r>
      <w:r>
        <w:t xml:space="preserve"> </w:t>
      </w:r>
      <w:r>
        <w:t xml:space="preserve">“unknown”</w:t>
      </w:r>
      <w:r>
        <w:t xml:space="preserve"> </w:t>
      </w:r>
      <w:r>
        <w:t xml:space="preserve">verdict when the glyph belongs to no font in its palette. Its purpose is practical reconstruction: letting a designer rebuild a generative image’s typography from a free, license-clear palette instead of paying a commercial identifier to name a font that may not be reusable. The framework is deliberately scoped. Rather than matching against the entire commercial typeface universe, it trades exhaustive coverage for a tractable, localized palette of the top 50 to 100 Google Fonts, which is what makes free reconstruction possible. A web application built on top of the model exposes this capability interactively, so the system can be tested in real time on uploaded images.</w:t>
      </w:r>
    </w:p>
    <w:bookmarkEnd w:id="20"/>
    <w:bookmarkStart w:id="24" w:name="conceptual-framework"/>
    <w:p>
      <w:pPr>
        <w:pStyle w:val="Heading3"/>
      </w:pPr>
      <w:r>
        <w:t xml:space="preserve">4.4.2 Conceptual Framework</w:t>
      </w:r>
    </w:p>
    <w:p>
      <w:pPr>
        <w:pStyle w:val="FirstParagraph"/>
      </w:pPr>
      <w:r>
        <w:t xml:space="preserve">Figure 8 organizes the framework into three enclosed bands, ordered by when each one happens rather than by an input-process-output grid. The first band,</w:t>
      </w:r>
      <w:r>
        <w:t xml:space="preserve"> </w:t>
      </w:r>
      <w:r>
        <w:rPr>
          <w:i/>
          <w:iCs/>
        </w:rPr>
        <w:t xml:space="preserve">before deployment</w:t>
      </w:r>
      <w:r>
        <w:t xml:space="preserve">, is the work the researchers perform once. The Google Fonts palette is rendered into pristine word crops whose font is known by construction, those crops are passed through the degradation operator</w:t>
      </w:r>
      <w:r>
        <w:t xml:space="preserve"> </w:t>
      </w:r>
      <m:oMath>
        <m:r>
          <m:t>D</m:t>
        </m:r>
      </m:oMath>
      <w:r>
        <w:t xml:space="preserve"> </w:t>
      </w:r>
      <w:r>
        <w:t xml:space="preserve">of Section 3.2.3 to produce hallucinated look-alikes, and the resulting corpus trains two models. A teacher model, DINOv2 with the LoRA adaptation of Section 4.3.2, is fitted to the font labels; the student metric head</w:t>
      </w:r>
      <w:r>
        <w:t xml:space="preserve"> </w:t>
      </w:r>
      <m:oMath>
        <m:sSub>
          <m:e>
            <m:r>
              <m:t>f</m:t>
            </m:r>
          </m:e>
          <m:sub>
            <m:r>
              <m:t>θ</m:t>
            </m:r>
          </m:sub>
        </m:sSub>
      </m:oMath>
      <w:r>
        <w:t xml:space="preserve"> </w:t>
      </w:r>
      <w:r>
        <w:t xml:space="preserve">is trained on the same labels under the triplet objective of Chapter 3 and additionally learns from the teacher’s judgments through distillation. The band closes on the trained model, meaning the learned weights</w:t>
      </w:r>
      <w:r>
        <w:t xml:space="preserve"> </w:t>
      </w:r>
      <m:oMath>
        <m:sSub>
          <m:e>
            <m:r>
              <m:t>f</m:t>
            </m:r>
          </m:e>
          <m:sub>
            <m:r>
              <m:t>θ</m:t>
            </m:r>
          </m:sub>
        </m:sSub>
      </m:oMath>
      <w:r>
        <w:t xml:space="preserve"> </w:t>
      </w:r>
      <w:r>
        <w:t xml:space="preserve">together with the calibrated match threshold</w:t>
      </w:r>
      <w:r>
        <w:t xml:space="preserve"> </w:t>
      </w:r>
      <m:oMath>
        <m:r>
          <m:t>τ</m:t>
        </m:r>
      </m:oMath>
      <w:r>
        <w:t xml:space="preserve">. Only the student ships. The teacher exists to supervise it and is never executed on a user’s image, which is why it is drawn in the offline band and appears nowhere in the band below.</w:t>
      </w:r>
    </w:p>
    <w:p>
      <w:pPr>
        <w:pStyle w:val="BodyText"/>
      </w:pPr>
      <w:r>
        <w:t xml:space="preserve">The second band,</w:t>
      </w:r>
      <w:r>
        <w:t xml:space="preserve"> </w:t>
      </w:r>
      <w:r>
        <w:rPr>
          <w:i/>
          <w:iCs/>
        </w:rPr>
        <w:t xml:space="preserve">at use</w:t>
      </w:r>
      <w:r>
        <w:t xml:space="preserve">, is what runs for every uploaded image. The input is a raster image produced by a text-to-image generator such as DALL·E, Midjourney, or Stable Diffusion, containing rendered text whose glyphs are warped and whose spacing is uneven. An off-the-shelf text detector locates each text region and cuts it out; the detector is a standard component and not a contribution of this work, and the unit of analysis is the isolated crop, as stated in Section 4.1. The number of text regions in the image is therefore a property the localizer resolves, and every crop it emits is handled independently from that point on. Each crop is resized to 224 by 224 pixels, converted to grayscale, and rescaled in brightness, then encoded by the frozen DINOv2 Vision Transformer and projected by the metric head into a font-style fingerprint. The final stage is a match test: the fingerprint is compared against the palette, and the outcome depends on whether the closest font falls within the threshold</w:t>
      </w:r>
      <w:r>
        <w:t xml:space="preserve"> </w:t>
      </w:r>
      <m:oMath>
        <m:r>
          <m:t>τ</m:t>
        </m:r>
      </m:oMath>
      <w:r>
        <w:t xml:space="preserve">. A crop that passes yields a Top-K shortlist of Google Fonts, one shortlist per text region. A crop that fails yields an explicit</w:t>
      </w:r>
      <w:r>
        <w:t xml:space="preserve"> </w:t>
      </w:r>
      <w:r>
        <w:t xml:space="preserve">“unknown font”</w:t>
      </w:r>
      <w:r>
        <w:t xml:space="preserve"> </w:t>
      </w:r>
      <w:r>
        <w:t xml:space="preserve">verdict, in which the system names no font at all.</w:t>
      </w:r>
    </w:p>
    <w:p>
      <w:pPr>
        <w:pStyle w:val="BodyText"/>
      </w:pPr>
      <w:r>
        <w:t xml:space="preserve">That verdict deserves a precise reading, because it carries a genuine ambiguity. An unknown verdict means the crop resembled no palette font closely enough to justify a name, and the system cannot distinguish between the two situations that produce this: the text may be set in a typeface outside the 50 to 100 selected fonts, or it may be hallucinated past the point where any typeface is recoverable. Both surface identically. What the verdict does guarantee is the behavior that motivates the open-set design of Section 4.2.1, namely that no font is invented to fill the gap, which is precisely what a closed-set classifier is forced to do.</w:t>
      </w:r>
    </w:p>
    <w:p>
      <w:pPr>
        <w:pStyle w:val="BodyText"/>
      </w:pPr>
      <w:r>
        <w:t xml:space="preserve">The third band,</w:t>
      </w:r>
      <w:r>
        <w:t xml:space="preserve"> </w:t>
      </w:r>
      <w:r>
        <w:rPr>
          <w:i/>
          <w:iCs/>
        </w:rPr>
        <w:t xml:space="preserve">how we measure it</w:t>
      </w:r>
      <w:r>
        <w:t xml:space="preserve">, holds the researcher instruments of Section 4.2 rather than any part of the served system. Top-K accuracy records how often the true font appears in the shortlist, the re-render check scores the structural distance between a re-rendering of the predicted font and the original crop, and the human-proxy panel supplies the accuracy floor. These run offline over held-out evaluation sets and produce no output the designer ever sees.</w:t>
      </w:r>
    </w:p>
    <w:p>
      <w:pPr>
        <w:pStyle w:val="BodyText"/>
      </w:pPr>
      <w:r>
        <w:rPr>
          <w:b/>
          <w:bCs/>
        </w:rPr>
        <w:t xml:space="preserve">Figure 8</w:t>
      </w:r>
    </w:p>
    <w:p>
      <w:pPr>
        <w:pStyle w:val="BodyText"/>
      </w:pPr>
      <w:r>
        <w:rPr>
          <w:i/>
          <w:iCs/>
        </w:rPr>
        <w:t xml:space="preserve">Conceptual Framework of the Proposed Font-Identification System</w:t>
      </w:r>
    </w:p>
    <w:p>
      <w:pPr>
        <w:pStyle w:val="CaptionedFigure"/>
      </w:pPr>
      <w:r>
        <w:drawing>
          <wp:inline>
            <wp:extent cx="5334000" cy="4109366"/>
            <wp:effectExtent b="0" l="0" r="0" t="0"/>
            <wp:docPr descr="Diagram with three enclosed horizontal bands. Top band, before deployment: the Google Fonts palette is rendered into pristine word crops, degraded by the operator D, and used to train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cuts out every text region; each crop is then resized to 224 by 224 pixels, converted to grayscale and rescaled in brightness, encoded by the frozen DINOv2 Vision Transformer, projected by the metric head into a font-style fingerprint, and put to a match test against the threshold tau. Passing crops yield a Top-K Google Fonts shortlist, one per crop; failing crops yield an unknown-font verdict in which no font is guessed. Bottom band, how we measure it: Top-K accuracy, the re-render check, and the human-proxy panel, marked as researcher instruments never shown to the user. An in-figure legend defines solid arrows as the per-image path and dashed arrows as researcher-side work outside it" title="" id="22" name="Picture"/>
            <a:graphic>
              <a:graphicData uri="http://schemas.openxmlformats.org/drawingml/2006/picture">
                <pic:pic>
                  <pic:nvPicPr>
                    <pic:cNvPr descr="../../assets/figures/conceptual_framework.png" id="23" name="Picture"/>
                    <pic:cNvPicPr>
                      <a:picLocks noChangeArrowheads="1" noChangeAspect="1"/>
                    </pic:cNvPicPr>
                  </pic:nvPicPr>
                  <pic:blipFill>
                    <a:blip r:embed="rId21"/>
                    <a:stretch>
                      <a:fillRect/>
                    </a:stretch>
                  </pic:blipFill>
                  <pic:spPr bwMode="auto">
                    <a:xfrm>
                      <a:off x="0" y="0"/>
                      <a:ext cx="5334000" cy="4109366"/>
                    </a:xfrm>
                    <a:prstGeom prst="rect">
                      <a:avLst/>
                    </a:prstGeom>
                    <a:noFill/>
                    <a:ln w="9525">
                      <a:noFill/>
                      <a:headEnd/>
                      <a:tailEnd/>
                    </a:ln>
                  </pic:spPr>
                </pic:pic>
              </a:graphicData>
            </a:graphic>
          </wp:inline>
        </w:drawing>
      </w:r>
    </w:p>
    <w:p>
      <w:pPr>
        <w:pStyle w:val="ImageCaption"/>
      </w:pPr>
      <w:r>
        <w:t xml:space="preserve">Diagram with three enclosed horizontal bands. Top band, before deployment: the Google Fonts palette is rendered into pristine word crops, degraded by the operator D, and used to train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cuts out every text region; each crop is then resized to 224 by 224 pixels, converted to grayscale and rescaled in brightness, encoded by the frozen DINOv2 Vision Transformer, projected by the metric head into a font-style fingerprint, and put to a match test against the threshold tau. Passing crops yield a Top-K Google Fonts shortlist, one per crop; failing crops yield an unknown-font verdict in which no font is guessed. Bottom band, how we measure it: Top-K accuracy, the re-render check, and the human-proxy panel, marked as researcher instruments never shown to the user. An in-figure legend defines solid arrows as the per-image path and dashed arrows as researcher-side work outside it</w:t>
      </w:r>
    </w:p>
    <w:p>
      <w:pPr>
        <w:pStyle w:val="BodyText"/>
      </w:pPr>
      <w:r>
        <w:t xml:space="preserve">The figure is read through the line convention stated in its legend. Solid arrows mark the per-image path, meaning every step that executes when a designer submits an image. Dashed arrows mark researcher-side work that sits outside that path, covering both the preparation band above and the measurement band below. The two kinds of flow meet at exactly one point, where the trained model is loaded into the running system at startup, and that hand-off is drawn dashed because it precedes the per-image path rather than belonging to it. The localization step stays solid because it does execute live on every request, even though it is off-the-shelf and replaceable, which keeps the thesis focused on the recognition that follows it. Two absences in the figure are deliberate. The web application does not appear, because it is a delivery surface rather than a conceptual stage and is specified instead in the system architecture of Section 4.5.2. The measurement band is drawn outside the per-image path for the same reason the re-render check is not a runtime step: the structural comparison of Section 4.2.2 is a validation instrument the researchers apply to held-out data, and it neither re-ranks the shortlist nor reaches the designer. This separation is what lets the same model serve live requests while remaining fully reproducible from the researcher-controlled data pipeline.</w:t>
      </w:r>
    </w:p>
    <w:bookmarkEnd w:id="24"/>
    <w:bookmarkStart w:id="25" w:name="value-proposition"/>
    <w:p>
      <w:pPr>
        <w:pStyle w:val="Heading3"/>
      </w:pPr>
      <w:r>
        <w:t xml:space="preserve">4.4.3 Value Proposition</w:t>
      </w:r>
    </w:p>
    <w:p>
      <w:pPr>
        <w:pStyle w:val="FirstParagraph"/>
      </w:pPr>
      <w:r>
        <w:t xml:space="preserve">The design suits its problem for three reasons. It is open-set: unlike a closed-set classifier that must name some font for every input, it can refuse, which matters when many generative crops correspond to no real typeface. It is trained on the hallucination distribution itself rather than on pristine glyphs, so it does not collapse on the warped, re-kerned input that defeats commercial identifiers and clean-glyph baselines. And because it targets a localized open-source palette, every match it returns is immediately reusable at no cost, so recognition ends in a template the designer can rebuild from instead of a paywalled lookup.</w:t>
      </w:r>
    </w:p>
    <w:bookmarkEnd w:id="25"/>
    <w:bookmarkStart w:id="26" w:name="high-level-operational-logic"/>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and crops the text regions and runs each crop through the inference engine. For every detected region the application displays a short, ranked list of candidate Google Fonts, each shown as a rendered preview,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bookmarkEnd w:id="26"/>
    <w:bookmarkEnd w:id="27"/>
    <w:bookmarkStart w:id="33" w:name="analysis-and-design"/>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bookmarkStart w:id="28" w:name="requirements-analysis"/>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2"/>
        </w:numPr>
      </w:pPr>
      <w:r>
        <w:t xml:space="preserve">Accept an uploaded generative-AI image in common raster formats (PNG, JPEG) through the browser.</w:t>
      </w:r>
    </w:p>
    <w:p>
      <w:pPr>
        <w:pStyle w:val="Compact"/>
        <w:numPr>
          <w:ilvl w:val="0"/>
          <w:numId w:val="1002"/>
        </w:numPr>
      </w:pPr>
      <w:r>
        <w:t xml:space="preserve">Localize and crop each text region in the image using an off-the-shelf text detector.</w:t>
      </w:r>
    </w:p>
    <w:p>
      <w:pPr>
        <w:pStyle w:val="Compact"/>
        <w:numPr>
          <w:ilvl w:val="0"/>
          <w:numId w:val="1002"/>
        </w:numPr>
      </w:pPr>
      <w:r>
        <w:t xml:space="preserve">Preprocess each crop and embed it with the frozen DINOv2 encoder and the trained metric head.</w:t>
      </w:r>
    </w:p>
    <w:p>
      <w:pPr>
        <w:pStyle w:val="Compact"/>
        <w:numPr>
          <w:ilvl w:val="0"/>
          <w:numId w:val="1002"/>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2"/>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2"/>
        </w:numPr>
      </w:pPr>
      <w:r>
        <w:t xml:space="preserve">Render a preview of each candidate font so the user can compare it against the source text.</w:t>
      </w:r>
    </w:p>
    <w:p>
      <w:pPr>
        <w:pStyle w:val="Compact"/>
        <w:numPr>
          <w:ilvl w:val="0"/>
          <w:numId w:val="1002"/>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2"/>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03"/>
        </w:numPr>
      </w:pPr>
      <w:r>
        <w:t xml:space="preserve">Be usable through a single upload-and-review interaction that hides the underlying model (usability).</w:t>
      </w:r>
    </w:p>
    <w:p>
      <w:pPr>
        <w:pStyle w:val="Compact"/>
        <w:numPr>
          <w:ilvl w:val="0"/>
          <w:numId w:val="1003"/>
        </w:numPr>
      </w:pPr>
      <w:r>
        <w:t xml:space="preserve">Return results at interactive latency on a single machine, targeting a response within a few seconds per image (responsiveness).</w:t>
      </w:r>
    </w:p>
    <w:p>
      <w:pPr>
        <w:pStyle w:val="Compact"/>
        <w:numPr>
          <w:ilvl w:val="0"/>
          <w:numId w:val="1003"/>
        </w:numPr>
      </w:pPr>
      <w:r>
        <w:t xml:space="preserve">Produce the same output for the same input, through deterministic preprocessing and pinned model weights and seeds (reproducibility).</w:t>
      </w:r>
    </w:p>
    <w:p>
      <w:pPr>
        <w:pStyle w:val="Compact"/>
        <w:numPr>
          <w:ilvl w:val="0"/>
          <w:numId w:val="1003"/>
        </w:numPr>
      </w:pPr>
      <w:r>
        <w:t xml:space="preserve">Run from a single Docker image on one host, with no external service dependencies at inference time beyond the bundled weights and font files (portability).</w:t>
      </w:r>
    </w:p>
    <w:p>
      <w:pPr>
        <w:pStyle w:val="Compact"/>
        <w:numPr>
          <w:ilvl w:val="0"/>
          <w:numId w:val="1003"/>
        </w:numPr>
      </w:pPr>
      <w:r>
        <w:t xml:space="preserve">Keep the localizer, encoder, metric head, and open-set decision as separable components, so any one can be replaced without rewriting the others (maintainability).</w:t>
      </w:r>
    </w:p>
    <w:p>
      <w:pPr>
        <w:pStyle w:val="Compact"/>
        <w:numPr>
          <w:ilvl w:val="0"/>
          <w:numId w:val="1003"/>
        </w:numPr>
      </w:pPr>
      <w:r>
        <w:t xml:space="preserve">Operate as a single-user local demo, with no authentication, accounts, or multi-user scaling in scope (a deliberate delimitation, consistent with Section 4.1).</w:t>
      </w:r>
    </w:p>
    <w:p>
      <w:pPr>
        <w:pStyle w:val="Compact"/>
        <w:numPr>
          <w:ilvl w:val="0"/>
          <w:numId w:val="1003"/>
        </w:numPr>
      </w:pPr>
      <w:r>
        <w:t xml:space="preserve">Report an honest</w:t>
      </w:r>
      <w:r>
        <w:t xml:space="preserve"> </w:t>
      </w:r>
      <w:r>
        <w:t xml:space="preserve">“unknown”</w:t>
      </w:r>
      <w:r>
        <w:t xml:space="preserve"> </w:t>
      </w:r>
      <w:r>
        <w:t xml:space="preserve">rather than a forced guess when the open-set score falls below threshold (transparency).</w:t>
      </w:r>
    </w:p>
    <w:bookmarkEnd w:id="28"/>
    <w:bookmarkStart w:id="32" w:name="system-architecture"/>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pPr>
      <w:r>
        <w:rPr>
          <w:b/>
          <w:bCs/>
        </w:rPr>
        <w:t xml:space="preserve">Figure 9</w:t>
      </w:r>
    </w:p>
    <w:p>
      <w:pPr>
        <w:pStyle w:val="BodyText"/>
      </w:pPr>
      <w:r>
        <w:rPr>
          <w:i/>
          <w:iCs/>
        </w:rPr>
        <w:t xml:space="preserve">System Architecture of the Font-Identification Web Application</w:t>
      </w:r>
    </w:p>
    <w:p>
      <w:pPr>
        <w:pStyle w:val="CaptionedFigure"/>
      </w:pPr>
      <w:r>
        <w:drawing>
          <wp:inline>
            <wp:extent cx="5334000" cy="4633597"/>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30" name="Picture"/>
            <a:graphic>
              <a:graphicData uri="http://schemas.openxmlformats.org/drawingml/2006/picture">
                <pic:pic>
                  <pic:nvPicPr>
                    <pic:cNvPr descr="../../assets/figures/system_architecture.png" id="31" name="Picture"/>
                    <pic:cNvPicPr>
                      <a:picLocks noChangeArrowheads="1" noChangeAspect="1"/>
                    </pic:cNvPicPr>
                  </pic:nvPicPr>
                  <pic:blipFill>
                    <a:blip r:embed="rId29"/>
                    <a:stretch>
                      <a:fillRect/>
                    </a:stretch>
                  </pic:blipFill>
                  <pic:spPr bwMode="auto">
                    <a:xfrm>
                      <a:off x="0" y="0"/>
                      <a:ext cx="5334000" cy="4633597"/>
                    </a:xfrm>
                    <a:prstGeom prst="rect">
                      <a:avLst/>
                    </a:prstGeom>
                    <a:noFill/>
                    <a:ln w="9525">
                      <a:noFill/>
                      <a:headEnd/>
                      <a:tailEnd/>
                    </a:ln>
                  </pic:spPr>
                </pic:pic>
              </a:graphicData>
            </a:graphic>
          </wp:inline>
        </w:drawing>
      </w:r>
    </w:p>
    <w:p>
      <w:pPr>
        <w:pStyle w:val="ImageCaption"/>
      </w:pPr>
      <w:r>
        <w:t xml:space="preserve">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w:t>
      </w:r>
    </w:p>
    <w:p>
      <w:pPr>
        <w:pStyle w:val="BodyText"/>
      </w:pPr>
      <w:r>
        <w:t xml:space="preserve">As shown in Figure 9, a request flows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stateful-at-startup component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which keeps the served system reproducible from the researcher-controlled pipeline and lets the model be retrained or swapped without touching the API or the frontend.</w:t>
      </w:r>
    </w:p>
    <w:bookmarkEnd w:id="32"/>
    <w:bookmarkEnd w:id="33"/>
    <w:bookmarkStart w:id="41" w:name="development-model"/>
    <w:p>
      <w:pPr>
        <w:pStyle w:val="Heading2"/>
      </w:pPr>
      <w:r>
        <w:t xml:space="preserve">4.6 Development Model</w:t>
      </w:r>
    </w:p>
    <w:bookmarkStart w:id="34" w:name="identification-of-the-model"/>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of which runs a full Analyze, Design, Build, and Evaluate cycle and delivers a working slice that integrates into the growing whole. The model is shown in Figure 10.</w:t>
      </w:r>
    </w:p>
    <w:bookmarkEnd w:id="34"/>
    <w:bookmarkStart w:id="35" w:name="justification"/>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and each increment’s evaluation, such as Top-K accuracy or the rejection rate on held-out crops, feeds back into the design of the next. A model that froze the design before any results existed would not survive contact with the data. Second, the components have a natural build order and dependencies: the recognizer cannot be trained without the synthetic dataset, the open-set decision cannot be tuned without a trained embedding, and the web application only has something to serve once the recognizer works. Delivering these as increments keeps a working, testable artifact in hand at every stage and isolates risk to one increment at a time, which suits a two-person team without a dedicated QA role.</w:t>
      </w:r>
    </w:p>
    <w:bookmarkEnd w:id="35"/>
    <w:bookmarkStart w:id="36" w:name="phases-of-the-model"/>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04"/>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04"/>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04"/>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04"/>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bookmarkEnd w:id="36"/>
    <w:bookmarkStart w:id="40" w:name="sdlc-diagram"/>
    <w:p>
      <w:pPr>
        <w:pStyle w:val="Heading3"/>
      </w:pPr>
      <w:r>
        <w:t xml:space="preserve">4.6.4 SDLC Diagram</w:t>
      </w:r>
    </w:p>
    <w:p>
      <w:pPr>
        <w:pStyle w:val="FirstParagraph"/>
      </w:pPr>
      <w:r>
        <w:rPr>
          <w:b/>
          <w:bCs/>
        </w:rPr>
        <w:t xml:space="preserve">Figure 10</w:t>
      </w:r>
    </w:p>
    <w:p>
      <w:pPr>
        <w:pStyle w:val="BodyText"/>
      </w:pPr>
      <w:r>
        <w:rPr>
          <w:i/>
          <w:iCs/>
        </w:rPr>
        <w:t xml:space="preserve">Iterative-Incremental Development Model</w:t>
      </w:r>
    </w:p>
    <w:p>
      <w:pPr>
        <w:pStyle w:val="CaptionedFigure"/>
      </w:pPr>
      <w:r>
        <w:drawing>
          <wp:inline>
            <wp:extent cx="5334000" cy="3520155"/>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38" name="Picture"/>
            <a:graphic>
              <a:graphicData uri="http://schemas.openxmlformats.org/drawingml/2006/picture">
                <pic:pic>
                  <pic:nvPicPr>
                    <pic:cNvPr descr="../../assets/figures/sdlc_model.png" id="39" name="Picture"/>
                    <pic:cNvPicPr>
                      <a:picLocks noChangeArrowheads="1" noChangeAspect="1"/>
                    </pic:cNvPicPr>
                  </pic:nvPicPr>
                  <pic:blipFill>
                    <a:blip r:embed="rId37"/>
                    <a:stretch>
                      <a:fillRect/>
                    </a:stretch>
                  </pic:blipFill>
                  <pic:spPr bwMode="auto">
                    <a:xfrm>
                      <a:off x="0" y="0"/>
                      <a:ext cx="5334000" cy="3520155"/>
                    </a:xfrm>
                    <a:prstGeom prst="rect">
                      <a:avLst/>
                    </a:prstGeom>
                    <a:noFill/>
                    <a:ln w="9525">
                      <a:noFill/>
                      <a:headEnd/>
                      <a:tailEnd/>
                    </a:ln>
                  </pic:spPr>
                </pic:pic>
              </a:graphicData>
            </a:graphic>
          </wp:inline>
        </w:drawing>
      </w:r>
    </w:p>
    <w:p>
      <w:pPr>
        <w:pStyle w:val="ImageCaption"/>
      </w:pPr>
      <w:r>
        <w:t xml:space="preserve">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w:t>
      </w:r>
    </w:p>
    <w:p>
      <w:pPr>
        <w:pStyle w:val="BodyText"/>
      </w:pPr>
      <w:r>
        <w:t xml:space="preserve">As shown in Figure 10, the four increments proceed left to right, but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so that a failure surfaced late, for example an open-set threshold that rejects too many valid crops, can be traced to the increment that introduced it.</w:t>
      </w:r>
    </w:p>
    <w:bookmarkEnd w:id="40"/>
    <w:bookmarkEnd w:id="41"/>
    <w:bookmarkStart w:id="45" w:name="development-approach"/>
    <w:p>
      <w:pPr>
        <w:pStyle w:val="Heading2"/>
      </w:pPr>
      <w:r>
        <w:t xml:space="preserve">4.7 Development Approach</w:t>
      </w:r>
    </w:p>
    <w:bookmarkStart w:id="42" w:name="bottom-up-construction"/>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since each layer is useless to test until the one beneath it works, and it matches the runtime-versus-offline split of Figure 8, in which the offline pipeline produces trained weights that the served system later loads. A top-down approach, starting from the user interface and stubbing the model, would have deferred the project’s central research risk (whether a deformation-robust open-set recognizer is achievable at all) until after the surface was built, which is the opposite of what the schedule can afford.</w:t>
      </w:r>
    </w:p>
    <w:bookmarkEnd w:id="42"/>
    <w:bookmarkStart w:id="43" w:name="architectural-patterns"/>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in which text localization, preprocessing, encoding, the metric head, and the open-set decision are separate stages with defined inputs and outputs, so that a stage can be replaced, for instance swapping the off-the-shelf localizer,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bookmarkEnd w:id="43"/>
    <w:bookmarkStart w:id="44" w:name="coding-philosophy"/>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recorded so that a run can be regenerated, and the preprocessing transforms are embedded in the model’s forward pass so that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so that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treated as configurable settings rather than constants buried in the code, which is what makes the iterative evaluation of Section 4.6 practical, since each increment can re-tune these without a rewrite.</w:t>
      </w:r>
    </w:p>
    <w:bookmarkEnd w:id="44"/>
    <w:bookmarkEnd w:id="45"/>
    <w:bookmarkStart w:id="46" w:name="software-development-and-tools"/>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which is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so the database-connectivity criterion does not apply. Table 2 lists the tools by function, with the version used, an access link, and its role in the project.</w:t>
      </w:r>
    </w:p>
    <w:p>
      <w:pPr>
        <w:pStyle w:val="BodyText"/>
      </w:pPr>
      <w:r>
        <w:rPr>
          <w:b/>
          <w:bCs/>
        </w:rPr>
        <w:t xml:space="preserve">Table 2</w:t>
      </w:r>
    </w:p>
    <w:p>
      <w:pPr>
        <w:pStyle w:val="BodyT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1841"/>
        <w:gridCol w:w="1105"/>
        <w:gridCol w:w="1657"/>
        <w:gridCol w:w="2394"/>
        <w:gridCol w:w="920"/>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c>
          <w:tcPr/>
          <w:p>
            <w:pPr>
              <w:pStyle w:val="Compact"/>
            </w:pPr>
            <w:r>
              <w:t xml:space="preserve">Use</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c>
          <w:tcPr/>
          <w:p>
            <w:pPr>
              <w:pStyle w:val="Compact"/>
            </w:pPr>
            <w:r>
              <w:t xml:space="preserve">Primary language for the data pipeline, model, and backend</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c>
          <w:tcPr/>
          <w:p>
            <w:pPr>
              <w:pStyle w:val="Compact"/>
            </w:pPr>
            <w:r>
              <w:t xml:space="preserve">Deep-learning framework for the encoder, metric head, and training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c>
          <w:tcPr/>
          <w:p>
            <w:pPr>
              <w:pStyle w:val="Compact"/>
            </w:pPr>
            <w:r>
              <w:t xml:space="preserve">Loads the DINOv2 backbone and the baseline classifiers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c>
          <w:tcPr/>
          <w:p>
            <w:pPr>
              <w:pStyle w:val="Compact"/>
            </w:pPr>
            <w:r>
              <w:t xml:space="preserve">Pulls pre-trained weights and stores the trained metric head</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c>
          <w:tcPr/>
          <w:p>
            <w:pPr>
              <w:pStyle w:val="Compact"/>
            </w:pPr>
            <w:r>
              <w:t xml:space="preserve">Array and numerical operations</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c>
          <w:tcPr/>
          <w:p>
            <w:pPr>
              <w:pStyle w:val="Compact"/>
            </w:pPr>
            <w:r>
              <w:t xml:space="preserve">Evaluation metrics, stratified k-fold split, confusion matrix</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c>
          <w:tcPr/>
          <w:p>
            <w:pPr>
              <w:pStyle w:val="Compact"/>
            </w:pPr>
            <w:r>
              <w:t xml:space="preserve">Renders font specimens into word-crop images</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c>
          <w:tcPr/>
          <w:p>
            <w:pPr>
              <w:pStyle w:val="Compact"/>
            </w:pPr>
            <w:r>
              <w:t xml:space="preserve">Elastic warp and other degradation operations</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c>
          <w:tcPr/>
          <w:p>
            <w:pPr>
              <w:pStyle w:val="Compact"/>
            </w:pPr>
            <w:r>
              <w:t xml:space="preserve">Off-the-shelf text localization and cropping</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c>
          <w:tcPr/>
          <w:p>
            <w:pPr>
              <w:pStyle w:val="Compact"/>
            </w:pPr>
            <w:r>
              <w:t xml:space="preserve">REST inference API (</w:t>
            </w:r>
            <w:r>
              <w:rPr>
                <w:rStyle w:val="VerbatimChar"/>
              </w:rPr>
              <w:t xml:space="preserve">/predict</w:t>
            </w:r>
            <w:r>
              <w:t xml:space="preserve"> </w:t>
            </w:r>
            <w:r>
              <w:t xml:space="preserve">endpoint)</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c>
          <w:tcPr/>
          <w:p>
            <w:pPr>
              <w:pStyle w:val="Compact"/>
            </w:pPr>
            <w:r>
              <w:t xml:space="preserve">ASGI server that runs the FastAPI app</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c>
          <w:tcPr/>
          <w:p>
            <w:pPr>
              <w:pStyle w:val="Compact"/>
            </w:pPr>
            <w:r>
              <w:t xml:space="preserve">Request and response schema validation</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c>
          <w:tcPr/>
          <w:p>
            <w:pPr>
              <w:pStyle w:val="Compact"/>
            </w:pPr>
            <w:r>
              <w:t xml:space="preserve">Browser UI for image upload and the results gallery</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c>
          <w:tcPr/>
          <w:p>
            <w:pPr>
              <w:pStyle w:val="Compact"/>
            </w:pPr>
            <w:r>
              <w:t xml:space="preserve">Frontend build tool and development server</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c>
          <w:tcPr/>
          <w:p>
            <w:pPr>
              <w:pStyle w:val="Compact"/>
            </w:pPr>
            <w:r>
              <w:t xml:space="preserve">JavaScript runtime for the frontend toolchain</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c>
          <w:tcPr/>
          <w:p>
            <w:pPr>
              <w:pStyle w:val="Compact"/>
            </w:pPr>
            <w:r>
              <w:t xml:space="preserve">Containerizes the backend for reproducible deployment</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c>
          <w:tcPr/>
          <w:p>
            <w:pPr>
              <w:pStyle w:val="Compact"/>
            </w:pPr>
            <w:r>
              <w:t xml:space="preserve">Source-code version control</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c>
          <w:tcPr/>
          <w:p>
            <w:pPr>
              <w:pStyle w:val="Compact"/>
            </w:pPr>
            <w:r>
              <w:t xml:space="preserve">Repository hosting and collaboration</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c>
          <w:tcPr/>
          <w:p>
            <w:pPr>
              <w:pStyle w:val="Compact"/>
            </w:pPr>
            <w:r>
              <w:t xml:space="preserve">Generates the thesis figures</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c>
          <w:tcPr/>
          <w:p>
            <w:pPr>
              <w:pStyle w:val="Compact"/>
            </w:pPr>
            <w:r>
              <w:t xml:space="preserve">Exports the Markdown chapters to DOCX</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c>
          <w:tcPr/>
          <w:p>
            <w:pPr>
              <w:pStyle w:val="Compact"/>
            </w:pPr>
            <w:r>
              <w:t xml:space="preserve">Primary code editor</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bookmarkEnd w:id="46"/>
    <w:bookmarkStart w:id="53" w:name="project-management"/>
    <w:p>
      <w:pPr>
        <w:pStyle w:val="Heading2"/>
      </w:pPr>
      <w:r>
        <w:t xml:space="preserve">4.9 Project Management</w:t>
      </w:r>
    </w:p>
    <w:bookmarkStart w:id="50" w:name="schedule-and-timeline"/>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pPr>
      <w:r>
        <w:rPr>
          <w:b/>
          <w:bCs/>
        </w:rPr>
        <w:t xml:space="preserve">Figure 11</w:t>
      </w:r>
    </w:p>
    <w:p>
      <w:pPr>
        <w:pStyle w:val="BodyT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48" name="Picture"/>
            <a:graphic>
              <a:graphicData uri="http://schemas.openxmlformats.org/drawingml/2006/picture">
                <pic:pic>
                  <pic:nvPicPr>
                    <pic:cNvPr descr="../../assets/figures/gantt_timeline.png" id="49" name="Picture"/>
                    <pic:cNvPicPr>
                      <a:picLocks noChangeArrowheads="1" noChangeAspect="1"/>
                    </pic:cNvPicPr>
                  </pic:nvPicPr>
                  <pic:blipFill>
                    <a:blip r:embed="rId47"/>
                    <a:stretch>
                      <a:fillRect/>
                    </a:stretch>
                  </pic:blipFill>
                  <pic:spPr bwMode="auto">
                    <a:xfrm>
                      <a:off x="0" y="0"/>
                      <a:ext cx="5334000" cy="3097550"/>
                    </a:xfrm>
                    <a:prstGeom prst="rect">
                      <a:avLst/>
                    </a:prstGeom>
                    <a:noFill/>
                    <a:ln w="9525">
                      <a:noFill/>
                      <a:headEnd/>
                      <a:tailEnd/>
                    </a:ln>
                  </pic:spPr>
                </pic:pic>
              </a:graphicData>
            </a:graphic>
          </wp:inline>
        </w:drawing>
      </w:r>
    </w:p>
    <w:p>
      <w:pPr>
        <w:pStyle w:val="ImageCaption"/>
      </w:pPr>
      <w:r>
        <w:t xml:space="preserve">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w:t>
      </w:r>
    </w:p>
    <w:p>
      <w:pPr>
        <w:pStyle w:val="BodyText"/>
      </w:pPr>
      <w:r>
        <w:t xml:space="preserve">As shown in Figure 11, the early months cover the written groundwork (Chapters 2 and 3), the middle months carry the build increments from the synthetic data pipeline through the web application, and the final months are reserved for the results and conclusion chapters and for revision ahead of the defense. The development increments overlap the empirical chapters deliberately, because Chapter 5 reports the evaluation that increment 3 produces.</w:t>
      </w:r>
    </w:p>
    <w:bookmarkEnd w:id="50"/>
    <w:bookmarkStart w:id="51" w:name="responsibilities"/>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pPr>
      <w:r>
        <w:rPr>
          <w:b/>
          <w:bCs/>
        </w:rPr>
        <w:t xml:space="preserve">Table 3</w:t>
      </w:r>
    </w:p>
    <w:p>
      <w:pPr>
        <w:pStyle w:val="BodyText"/>
      </w:pPr>
      <w:r>
        <w:rPr>
          <w:i/>
          <w:iCs/>
        </w:rPr>
        <w:t xml:space="preserve">Division of Responsibilities</w:t>
      </w:r>
    </w:p>
    <w:tbl>
      <w:tblPr>
        <w:tblStyle w:val="Table"/>
        <w:tblW w:type="pct" w:w="5000"/>
        <w:tblLayout w:type="fixed"/>
        <w:tblLook w:firstRow="1" w:lastRow="0" w:firstColumn="0" w:lastColumn="0" w:noHBand="0" w:noVBand="0" w:val="0020"/>
      </w:tblPr>
      <w:tblGrid>
        <w:gridCol w:w="1980"/>
        <w:gridCol w:w="1485"/>
        <w:gridCol w:w="4455"/>
      </w:tblGrid>
      <w:tr>
        <w:trPr>
          <w:tblHeader w:val="on"/>
        </w:trPr>
        <w:tc>
          <w:tcPr/>
          <w:p>
            <w:pPr>
              <w:pStyle w:val="Compact"/>
            </w:pPr>
            <w:r>
              <w:t xml:space="preserve">Member</w:t>
            </w:r>
          </w:p>
        </w:tc>
        <w:tc>
          <w:tcPr/>
          <w:p>
            <w:pPr>
              <w:pStyle w:val="Compact"/>
            </w:pPr>
            <w:r>
              <w:t xml:space="preserve">Role</w:t>
            </w:r>
          </w:p>
        </w:tc>
        <w:tc>
          <w:tcPr/>
          <w:p>
            <w:pPr>
              <w:pStyle w:val="Compact"/>
            </w:pPr>
            <w:r>
              <w:t xml:space="preserve">Responsibilities</w:t>
            </w:r>
          </w:p>
        </w:tc>
      </w:tr>
      <w:tr>
        <w:tc>
          <w:tcPr/>
          <w:p>
            <w:pPr>
              <w:pStyle w:val="Compact"/>
            </w:pPr>
            <w:r>
              <w:t xml:space="preserve">Janritch Diputado</w:t>
            </w:r>
          </w:p>
        </w:tc>
        <w:tc>
          <w:tcPr/>
          <w:p>
            <w:pPr>
              <w:pStyle w:val="Compact"/>
            </w:pPr>
            <w:r>
              <w:t xml:space="preserve">Researcher and developer</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Researcher and developer</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Researchers and developers</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bookmarkEnd w:id="51"/>
    <w:bookmarkStart w:id="52" w:name="budget-and-cost-management"/>
    <w:p>
      <w:pPr>
        <w:pStyle w:val="Heading3"/>
      </w:pPr>
      <w:r>
        <w:t xml:space="preserve">4.9.3 Budget and Cost Management</w:t>
      </w:r>
    </w:p>
    <w:p>
      <w:pPr>
        <w:pStyle w:val="FirstParagraph"/>
      </w:pPr>
      <w:r>
        <w:t xml:space="preserve">The budget below estimates what it would cost another researcher or organization to replicate this study,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which is a deliberate outcome of the free-reconstruction design. Table 4 lists the estimate.</w:t>
      </w:r>
    </w:p>
    <w:p>
      <w:pPr>
        <w:pStyle w:val="BodyText"/>
      </w:pPr>
      <w:r>
        <w:rPr>
          <w:b/>
          <w:bCs/>
        </w:rPr>
        <w:t xml:space="preserve">Table 4</w:t>
      </w:r>
    </w:p>
    <w:p>
      <w:pPr>
        <w:pStyle w:val="BodyText"/>
      </w:pPr>
      <w:r>
        <w:rPr>
          <w:i/>
          <w:iCs/>
        </w:rPr>
        <w:t xml:space="preserve">Estimated Replication Budget</w:t>
      </w:r>
    </w:p>
    <w:tbl>
      <w:tblPr>
        <w:tblStyle w:val="Table"/>
        <w:tblW w:type="pct" w:w="5000"/>
        <w:tblLayout w:type="fixed"/>
        <w:tblLook w:firstRow="1" w:lastRow="0" w:firstColumn="0" w:lastColumn="0" w:noHBand="0" w:noVBand="0" w:val="0020"/>
      </w:tblPr>
      <w:tblGrid>
        <w:gridCol w:w="1494"/>
        <w:gridCol w:w="896"/>
        <w:gridCol w:w="2988"/>
        <w:gridCol w:w="2540"/>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pPr>
            <w:r>
              <w:t xml:space="preserve">Est. cost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bookmarkEnd w:id="52"/>
    <w:bookmarkEnd w:id="53"/>
    <w:bookmarkStart w:id="57" w:name="verification-validation-and-testing"/>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(whether it meets the objectives of Section 1.2), and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(the recognizer and the web application) as evidence that the approach is realizable, while the model method evaluates an abstract model of the system through quantitative metrics on held-out data, which allows controlled measurement that the deployed application alone could not provide.</w:t>
      </w:r>
    </w:p>
    <w:bookmarkStart w:id="54" w:name="verification-building-the-system-right"/>
    <w:p>
      <w:pPr>
        <w:pStyle w:val="Heading3"/>
      </w:pPr>
      <w:r>
        <w:t xml:space="preserve">4.10.1 Verification: Building the System Right</w:t>
      </w:r>
    </w:p>
    <w:p>
      <w:pPr>
        <w:pStyle w:val="FirstParagraph"/>
      </w:pPr>
      <w:r>
        <w:t xml:space="preserve">Verification targets the internal correctness of each component. The pipeline stages of Section 4.4 (localization wrapper, preprocessing, encoder, metric head, and open-set decision) are checked with unit and integration tests that confirm each stage produces the expected shape and range of output and that the stages compose end to end. Reproducibility is verified directly: because random seeds, dependency versions, and model weights are pinned (Section 4.7.3), a fixed input must regenerate a bit-identical dataset and the same prediction on re-run, and the preprocessing-in-forward design is verified by confirming that the training-time and inference-time transforms produce identical tensors for the same crop, so no train-serve skew is present. Because the team has no separate QA role, the two members cross-review each other’s code, which is the verification pass on the parts each did not write.</w:t>
      </w:r>
    </w:p>
    <w:bookmarkEnd w:id="54"/>
    <w:bookmarkStart w:id="55" w:name="validation-building-the-right-system"/>
    <w:p>
      <w:pPr>
        <w:pStyle w:val="Heading3"/>
      </w:pPr>
      <w:r>
        <w:t xml:space="preserve">4.10.2 Validation: Building the Right System</w:t>
      </w:r>
    </w:p>
    <w:p>
      <w:pPr>
        <w:pStyle w:val="FirstParagraph"/>
      </w:pPr>
      <w:r>
        <w:t xml:space="preserve">Validation asks whether the system meets the specific objectives of Section 1.2.3, and it is where the study’s quantitative and qualitative measures are applied.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on both the held-out synthetic test partition and the separate real-generative test set. For the open-set objective, rejection quality is measured by the true-positive and false-positive rates at the operating threshold, reported as the false-positive rate at 95% recall so that the fraction of out-of-palette crops wrongly accepted is explicit. For the verification-of-prediction objective, each predicted font is re-rendered and scored against the input crop with a deformation-robust structural distance (Zhang et al., 2024), and the error distribution is analyzed by typographic family through a confusion matrix and weighted by the embedding-centroid severity index, so that within-family errors are distinguished from more damaging cross-family ones (Chen et al., 2026). The calibrated Top-K shortlist is validated by its empirical coverage against the conformal guarantee it claims (Ding et al., 2025; Shi et al., 2024).</w:t>
      </w:r>
    </w:p>
    <w:p>
      <w:pPr>
        <w:pStyle w:val="BodyText"/>
      </w:pPr>
      <w:r>
        <w:t xml:space="preserve">Validation is also comparative and human-anchored. The system is benchmarked against two closed-set baselines, the Storia-AI Google Font Classifier (Jiang et al., 2025) and the DINOv2-LoRA model of Chen et al. (2026), both run on the same real-generative crops, to quantify how much the open-set, deformation-trained approach recovers where pristine-trained baselines collapse. The ground truth for those crops is set by a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both the accuracy floor for the comparison and an independent, qualitative estimate of how often genuine typographic ambiguity occurs in uncorrected generative output.</w:t>
      </w:r>
    </w:p>
    <w:bookmarkEnd w:id="55"/>
    <w:bookmarkStart w:id="56" w:name="testing-confirming-the-system-works"/>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including unsupported file types, images with no detectable text, and crops the recognizer rejects as unknown, to confirm the system fails gracefully rather than crashing. Passing these tests, together with the verification and validation results above, is the evidence that the artifact both works and answers the research questions of Section 1.2.</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7" Target="media/rId47.png" /><Relationship Type="http://schemas.openxmlformats.org/officeDocument/2006/relationships/image" Id="rId37" Target="media/rId37.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2026-07-23T10:01:17Z</dcterms:created>
  <dcterms:modified xsi:type="dcterms:W3CDTF">2026-07-23T10:01:17Z</dcterms:modified>
</cp:coreProperties>
</file>

<file path=docProps/custom.xml><?xml version="1.0" encoding="utf-8"?>
<Properties xmlns="http://schemas.openxmlformats.org/officeDocument/2006/custom-properties" xmlns:vt="http://schemas.openxmlformats.org/officeDocument/2006/docPropsVTypes"/>
</file>