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33.png" ContentType="image/png"/>
  <Override PartName="/word/media/rId79.png" ContentType="image/png"/>
  <Override PartName="/word/media/rId37.png" ContentType="image/png"/>
  <Override PartName="/word/media/rId45.png" ContentType="image/png"/>
  <Override PartName="/word/media/rId168.png" ContentType="image/png"/>
  <Override PartName="/word/media/rId29.png" ContentType="image/png"/>
  <Override PartName="/word/media/rId105.png" ContentType="image/png"/>
  <Override PartName="/word/media/rId95.png" ContentType="image/png"/>
  <Override PartName="/word/media/rId56.png" ContentType="image/png"/>
  <Override PartName="/word/media/rId87.png" ContentType="image/png"/>
  <Override PartName="/word/media/rId62.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Abstract</w:t>
      </w:r>
    </w:p>
    <w:p>
      <w:pPr>
        <w:pStyle w:val="FirstParagraph"/>
      </w:pPr>
      <w:r>
        <w:t xml:space="preserve">Generative AI image tools such as Gemini, GPT Image, and Midjourney now produce finished graphics with rendered text, yet they render that text through probabilistic glyph deformation (micro-warping of strokes, distorted spacing, and merged or invented letterforms), a failure this study terms typographic hallucination. When a designer wants to reuse such typography, the first step is to name the font, and it is exactly this step that current tools break on. Established font recognition assumes a geometrically intact glyph, so classifiers trained on pristine specimens overfit and collapse in the wild; commercial identifiers add a further cost, mapping shapes to paid licenses, and none can abstain when a glyph belongs to no catalogued face. This study proposes an open-set metric-learning framework that maps a hallucinated text crop to a ranked shortlist of the closest fonts in a localized palette of the top 50 to 100 open-source Google Fonts, or to an</w:t>
      </w:r>
      <w:r>
        <w:t xml:space="preserve"> </w:t>
      </w:r>
      <w:r>
        <w:t xml:space="preserve">“unknown”</w:t>
      </w:r>
      <w:r>
        <w:t xml:space="preserve"> </w:t>
      </w:r>
      <w:r>
        <w:t xml:space="preserve">verdict when no palette font applies, enabling free, license-clear typographic reconstruction. A synthetic data pipeline renders clean word crops and degrades them with controlled operators (elastic warp, blur and noise, and kerning jitter) to reproduce documented generative deformation. A metric embedding built on a frozen self-supervised Vision Transformer separates typographic identity from deformation, and a post-hoc rejection score handles the open-set case. Evaluation combines Top-K accuracy, a re-render-and-compare structural-similarity distance, a confusion matrix organized by typographic family, and a three-person human-proxy panel on real generative crops. The framework is expected to contribute a deformation-robust, license-clear approach to open-set font recognition; empirical results are deferred until training and evaluation runs complete.</w:t>
      </w:r>
    </w:p>
    <w:p>
      <w:pPr>
        <w:pStyle w:val="BodyText"/>
      </w:pPr>
      <w:r>
        <w:rPr>
          <w:b/>
          <w:bCs/>
        </w:rPr>
        <w:t xml:space="preserve">Keywords:</w:t>
      </w:r>
      <w:r>
        <w:t xml:space="preserve"> </w:t>
      </w:r>
      <w:r>
        <w:t xml:space="preserve">typographic hallucination; font style recognition; metric learning; open-set recognition; generative AI</w:t>
      </w:r>
    </w:p>
    <w:p>
      <w:r>
        <w:br w:type="page"/>
      </w:r>
    </w:p>
    <w:p>
      <w:pPr>
        <w:pStyle w:val="Heading1"/>
      </w:pPr>
      <w:r>
        <w:t xml:space="preserve">Chapter 1: Introduction</w:t>
      </w:r>
    </w:p>
    <w:p>
      <w:pPr>
        <w:pStyle w:val="Heading2"/>
      </w:pPr>
      <w:r>
        <w:t xml:space="preserve">1.1 Introduction</w:t>
      </w:r>
    </w:p>
    <w:p>
      <w:pPr>
        <w:pStyle w:val="FirstParagraph"/>
      </w:pPr>
      <w:r>
        <w:t xml:space="preserve">Typography is a deliberate design decision. The typeface on a poster, a product mockup, or a social media graphic carries brand identity and tone as much as the words themselves, and a designer who selects a face is choosing a specific, nameable artifact from a catalogue of thousands. Generative AI image tools now enter this workflow directly: systems such as Google’s Gemini</w:t>
      </w:r>
      <w:r>
        <w:t xml:space="preserve"> </w:t>
      </w:r>
      <w:r>
        <w:t xml:space="preserve">“Nano Banana”</w:t>
      </w:r>
      <w:r>
        <w:t xml:space="preserve">, OpenAI’s GPT Image, and Midjourney produce finished graphics complete with rendered text in seconds. When a designer wants to adopt or extend the typography of such an image, the first task is to name the font. That single step is where the current generation of tools breaks down.</w:t>
      </w:r>
    </w:p>
    <w:p>
      <w:pPr>
        <w:pStyle w:val="BodyText"/>
      </w:pPr>
      <w:r>
        <w:t xml:space="preserve">Three concepts frame the solution this study pursues. The first is the problem itself. This study uses</w:t>
      </w:r>
      <w:r>
        <w:t xml:space="preserve"> </w:t>
      </w:r>
      <w:r>
        <w:rPr>
          <w:i/>
          <w:iCs/>
        </w:rPr>
        <w:t xml:space="preserve">typographic hallucination</w:t>
      </w:r>
      <w:r>
        <w:t xml:space="preserve"> </w:t>
      </w:r>
      <w:r>
        <w:t xml:space="preserve">to name the probabilistic glyph deformation that generative models introduce when rendering text: micro-warping of strokes, distorted spacing, and merged or invented letterforms. The second is</w:t>
      </w:r>
      <w:r>
        <w:t xml:space="preserve"> </w:t>
      </w:r>
      <w:r>
        <w:rPr>
          <w:i/>
          <w:iCs/>
        </w:rPr>
        <w:t xml:space="preserve">open-set recognition</w:t>
      </w:r>
      <w:r>
        <w:t xml:space="preserve">, the requirement that a recognizer rank the closest known fonts and also return an</w:t>
      </w:r>
      <w:r>
        <w:t xml:space="preserve"> </w:t>
      </w:r>
      <w:r>
        <w:t xml:space="preserve">“unknown”</w:t>
      </w:r>
      <w:r>
        <w:t xml:space="preserve"> </w:t>
      </w:r>
      <w:r>
        <w:t xml:space="preserve">verdict when the glyph belongs to no font in its catalogue, as a hallucinated crop often will. The third is</w:t>
      </w:r>
      <w:r>
        <w:t xml:space="preserve"> </w:t>
      </w:r>
      <w:r>
        <w:rPr>
          <w:i/>
          <w:iCs/>
        </w:rPr>
        <w:t xml:space="preserve">metric learning</w:t>
      </w:r>
      <w:r>
        <w:t xml:space="preserve">: rather than training a fixed classifier over a closed list of fonts, the model learns an embedding in which geometric distance encodes typographic similarity, so that a deformed crop lands near its source font. This chapter introduces these concepts only as far as the problem requires, deferring their technical treatment to Chapter 3.</w:t>
      </w:r>
    </w:p>
    <w:p>
      <w:pPr>
        <w:pStyle w:val="Heading2"/>
      </w:pPr>
      <w:r>
        <w:t xml:space="preserve">1.2 Background of the Study</w:t>
      </w:r>
    </w:p>
    <w:p>
      <w:pPr>
        <w:pStyle w:val="FirstParagraph"/>
      </w:pPr>
      <w:r>
        <w:t xml:space="preserve">Typographic hallucination is a structured failure, not random noise. Generative models render text unreliably because they treat a character string as a semantic token rather than a set of glyphs under sub-character spatial control; uncorrected renderings from a system like Stable Diffusion XL are typographically accurate in fewer than 20% of cases on a design benchmark (Liu et al., 2024). During denoising a character’s attention map smears into its neighbors, warping strokes and destabilizing spacing (Gillani et al., 2025), and because diffusion models encode style as a position on a continuous latent manifold rather than a discrete list of named faces, they emit intermediate glyphs that correspond to no real typeface (Kondo et al., 2024). The distortion is worst on the rare and display letterforms in the long tail of usage (Zhuang et al., 2025), precisely the expressive faces a designer is most likely to have chosen.</w:t>
      </w:r>
    </w:p>
    <w:p>
      <w:pPr>
        <w:pStyle w:val="BodyText"/>
      </w:pPr>
      <w:r>
        <w:t xml:space="preserve">Font recognition as a field was never built for this input. The classical paradigm, exemplified by DeepFont, learns from clean synthetic specimens and assumes every input contains a geometrically intact glyph to recover (Wang et al., 2015); traditional optical character recognition reaches roughly 98% accuracy on standard document scans for the same reason (Ponnuru et al., 2024). A hallucinated crop violates that assumption, because its signal and its noise are produced together by one generative process. Enlarging the reference catalogue does not resolve the problem: the largest open classifier covers 3,474 Google Fonts yet still overfits pristine glyphs (Jiang et al., 2025), and even a modern frozen Vision Transformer baseline collapses to 40.2% family-level accuracy on non-synthetic input by its authors’ own report (Chen et al., 2026). General-purpose vision-language models fare no better, as the lexical meaning of the rendered word overrides their reading of its visual form (Li, Song, et al., 2025).</w:t>
      </w:r>
    </w:p>
    <w:p>
      <w:pPr>
        <w:pStyle w:val="Heading2"/>
      </w:pPr>
      <w:r>
        <w:t xml:space="preserve">1.3 Statement of the Problem</w:t>
      </w:r>
    </w:p>
    <w:p>
      <w:pPr>
        <w:pStyle w:val="FirstParagraph"/>
      </w:pPr>
      <w:r>
        <w:t xml:space="preserve">As the Background established, generative typography arrives probabilistically deformed, while the tools that would name its font assume a geometrically intact glyph and fail as the catalogue scales. The result is a two-part gap that no existing system closes: none reads font identity from a hallucinated rather than a pristine glyph, and none refuses to answer when the glyph belongs to no catalogued font, the open-set case a hallucinated crop routinely presents (Lu et al., 2025). Free, license-clear reconstruction of generative typography therefore has no working tool, and designers are pushed back toward paid identifiers that fail on the very inputs at issue.</w:t>
      </w:r>
    </w:p>
    <w:p>
      <w:pPr>
        <w:pStyle w:val="Heading2"/>
      </w:pPr>
      <w:r>
        <w:t xml:space="preserve">1.4 Objectives of the Study</w:t>
      </w:r>
    </w:p>
    <w:p>
      <w:pPr>
        <w:pStyle w:val="Heading3"/>
      </w:pPr>
      <w:r>
        <w:t xml:space="preserve">1.4.1 General Objective</w:t>
      </w:r>
    </w:p>
    <w:p>
      <w:pPr>
        <w:pStyle w:val="FirstParagraph"/>
      </w:pPr>
      <w:r>
        <w:t xml:space="preserve">The general objective of this study is to design, build, and evaluate an open-set metric-learning system that identifies the typeface of hallucinated text in generative-AI images, mapping a deformed text crop to a ranked shortlist of the closest fonts in a localized palette of the top 50 to 100 Google Fonts, or to an</w:t>
      </w:r>
      <w:r>
        <w:t xml:space="preserve"> </w:t>
      </w:r>
      <w:r>
        <w:t xml:space="preserve">“unknown”</w:t>
      </w:r>
      <w:r>
        <w:t xml:space="preserve"> </w:t>
      </w:r>
      <w:r>
        <w:t xml:space="preserve">verdict when no palette font applies.</w:t>
      </w:r>
    </w:p>
    <w:p>
      <w:pPr>
        <w:pStyle w:val="Heading3"/>
      </w:pPr>
      <w:r>
        <w:t xml:space="preserve">1.4.2 Specific Objectives</w:t>
      </w:r>
    </w:p>
    <w:p>
      <w:pPr>
        <w:pStyle w:val="FirstParagraph"/>
      </w:pPr>
      <w:r>
        <w:t xml:space="preserve">Specifically, the study aims to:</w:t>
      </w:r>
    </w:p>
    <w:p>
      <w:pPr>
        <w:pStyle w:val="Compact"/>
        <w:numPr>
          <w:ilvl w:val="0"/>
          <w:numId w:val="1001"/>
        </w:numPr>
      </w:pPr>
      <w:r>
        <w:t xml:space="preserve">Curate the localized open-set font palette, and build a synthetic data pipeline that renders pristine word crops and degrades them with a controlled operator (elastic warp, blur and noise, and kerning jitter) that reproduces documented generative deformation (Gillani et al., 2025; Kondo et al., 2024).</w:t>
      </w:r>
    </w:p>
    <w:p>
      <w:pPr>
        <w:pStyle w:val="Compact"/>
        <w:numPr>
          <w:ilvl w:val="0"/>
          <w:numId w:val="1001"/>
        </w:numPr>
      </w:pPr>
      <w:r>
        <w:t xml:space="preserve">Train a deformation-robust metric embedding on a frozen, register-corrected DINOv2 backbone (Oquab et al., 2024), so that geometric distance in the embedding encodes typographic similarity rather than deformation artifacts.</w:t>
      </w:r>
    </w:p>
    <w:p>
      <w:pPr>
        <w:pStyle w:val="Compact"/>
        <w:numPr>
          <w:ilvl w:val="0"/>
          <w:numId w:val="1001"/>
        </w:numPr>
      </w:pPr>
      <w:r>
        <w:t xml:space="preserve">Implement an open-set decision that rejects out-of-palette glyphs through a post-hoc rejection score and produces a calibrated Top-K shortlist over the palette (Lu et al., 2025).</w:t>
      </w:r>
    </w:p>
    <w:p>
      <w:pPr>
        <w:pStyle w:val="Compact"/>
        <w:numPr>
          <w:ilvl w:val="0"/>
          <w:numId w:val="1001"/>
        </w:numPr>
      </w:pPr>
      <w:r>
        <w:t xml:space="preserve">Verify each prediction with a re-render-and-compare typographic distance that is robust to geometric misalignment (Zhang et al., 2024), and analyze the system’s errors by typographic family and by embedding-distance severity.</w:t>
      </w:r>
    </w:p>
    <w:p>
      <w:pPr>
        <w:pStyle w:val="Compact"/>
        <w:numPr>
          <w:ilvl w:val="0"/>
          <w:numId w:val="1001"/>
        </w:numPr>
      </w:pPr>
      <w:r>
        <w:t xml:space="preserve">Evaluate the system under the Top-1 and Top-3 accuracy protocol against the Storia-AI and DINOv2-LoRA closed-set baselines (Chen et al., 2026; Jiang et al., 2025) and against a three-person human-proxy consensus panel on real generative crops.</w:t>
      </w:r>
    </w:p>
    <w:p>
      <w:pPr>
        <w:pStyle w:val="Compact"/>
        <w:numPr>
          <w:ilvl w:val="0"/>
          <w:numId w:val="1001"/>
        </w:numPr>
      </w:pPr>
      <w:r>
        <w:t xml:space="preserve">Deploy the trained model behind a web application, so the system can be tested interactively and in real time on uploaded generative-AI images.</w:t>
      </w:r>
    </w:p>
    <w:p>
      <w:pPr>
        <w:pStyle w:val="Heading2"/>
      </w:pPr>
      <w:r>
        <w:t xml:space="preserve">1.5 Research Questions</w:t>
      </w:r>
    </w:p>
    <w:p>
      <w:pPr>
        <w:pStyle w:val="FirstParagraph"/>
      </w:pPr>
      <w:r>
        <w:t xml:space="preserve">The gap in Section 1.3 frames the study’s central research question:</w:t>
      </w:r>
      <w:r>
        <w:t xml:space="preserve"> </w:t>
      </w:r>
      <w:r>
        <w:rPr>
          <w:b/>
          <w:bCs/>
        </w:rPr>
        <w:t xml:space="preserve">how can the typeface of hallucinated text in a generative-AI image be identified against a localized, open-source font palette when the glyph is probabilistically deformed and may belong to no font in the palette?</w:t>
      </w:r>
      <w:r>
        <w:t xml:space="preserve"> </w:t>
      </w:r>
      <w:r>
        <w:t xml:space="preserve">It resolves into five specific questions, each tracing to an objective above:</w:t>
      </w:r>
    </w:p>
    <w:p>
      <w:pPr>
        <w:pStyle w:val="Compact"/>
        <w:numPr>
          <w:ilvl w:val="0"/>
          <w:numId w:val="1002"/>
        </w:numPr>
      </w:pPr>
      <w:r>
        <w:t xml:space="preserve">How can a synthetic dataset reproduce the typographic hallucination of generative models faithfully enough to train a deformation-robust recognizer?</w:t>
      </w:r>
    </w:p>
    <w:p>
      <w:pPr>
        <w:pStyle w:val="Compact"/>
        <w:numPr>
          <w:ilvl w:val="0"/>
          <w:numId w:val="1002"/>
        </w:numPr>
      </w:pPr>
      <w:r>
        <w:t xml:space="preserve">Can a metric embedding built on a frozen self-supervised Vision Transformer separate typographic identity from deformation, so that a hallucinated crop lands near its source font?</w:t>
      </w:r>
    </w:p>
    <w:p>
      <w:pPr>
        <w:pStyle w:val="Compact"/>
        <w:numPr>
          <w:ilvl w:val="0"/>
          <w:numId w:val="1002"/>
        </w:numPr>
      </w:pPr>
      <w:r>
        <w:t xml:space="preserve">Can an open-set rejection mechanism reliably route an out-of-palette or hallucinated glyph to an</w:t>
      </w:r>
      <w:r>
        <w:t xml:space="preserve"> </w:t>
      </w:r>
      <w:r>
        <w:t xml:space="preserve">“unknown”</w:t>
      </w:r>
      <w:r>
        <w:t xml:space="preserve"> </w:t>
      </w:r>
      <w:r>
        <w:t xml:space="preserve">verdict instead of forcing a match?</w:t>
      </w:r>
    </w:p>
    <w:p>
      <w:pPr>
        <w:pStyle w:val="Compact"/>
        <w:numPr>
          <w:ilvl w:val="0"/>
          <w:numId w:val="1002"/>
        </w:numPr>
      </w:pPr>
      <w:r>
        <w:t xml:space="preserve">How accurately does the system rank the correct font in a Top-K shortlist, and how does that accuracy compare against existing closed-set baselines and a human-proxy panel?</w:t>
      </w:r>
    </w:p>
    <w:p>
      <w:pPr>
        <w:pStyle w:val="Compact"/>
        <w:numPr>
          <w:ilvl w:val="0"/>
          <w:numId w:val="1002"/>
        </w:numPr>
      </w:pPr>
      <w:r>
        <w:t xml:space="preserve">Does the system’s error distribution stay within typographic families, so that its mistakes remain visually close to the correct font?</w:t>
      </w:r>
    </w:p>
    <w:p>
      <w:pPr>
        <w:pStyle w:val="Heading2"/>
      </w:pPr>
      <w:r>
        <w:t xml:space="preserve">1.6 Scope and Limitations</w:t>
      </w:r>
    </w:p>
    <w:p>
      <w:pPr>
        <w:pStyle w:val="FirstParagraph"/>
      </w:pPr>
      <w:r>
        <w:t xml:space="preserve">This study covers the design, training, and evaluation of an open-set font recognizer for hallucinated text. Its scope includes the localized open-source font palette; a synthetic data pipeline that renders pristine word crops and degrades them with a controlled operator of elastic warp, blur and noise, and kerning jitter; a metric-learning stack built on a frozen DINOv2 Vision Transformer in PyTorch; an open-set decision that can reject out-of-palette glyphs; and evaluation under Top-1 and Top-3 accuracy, a re-render-and-compare typographic distance (SSIM/MSE), a confusion matrix organized by typographic family, and a three-person human-proxy panel. The trained model is deployed behind a web application for interactive testing.</w:t>
      </w:r>
    </w:p>
    <w:p>
      <w:pPr>
        <w:pStyle w:val="BodyText"/>
      </w:pPr>
      <w:r>
        <w:t xml:space="preserve">Several boundaries limit the study’s reach. Recognition targets a localized open-source palette rather than the full commercial font space, because the goal is free, license-clear reconstruction rather than mapping to paid licenses; fonts outside this palette are therefore only reachable through the</w:t>
      </w:r>
      <w:r>
        <w:t xml:space="preserve"> </w:t>
      </w:r>
      <w:r>
        <w:t xml:space="preserve">“unknown”</w:t>
      </w:r>
      <w:r>
        <w:t xml:space="preserve"> </w:t>
      </w:r>
      <w:r>
        <w:t xml:space="preserve">verdict, not named. The system recognizes text crops rather than full-page layout or template reconstruction, keeping the research question on font identity rather than document structure. It treats each font as a discrete identity rather than regressing continuous variable-font axes, and it is confined to Latin-script typography, where the target Google Fonts palette and the documented hallucination behavior are best characterized. Finally, training relies on synthetically degraded crops: the controlled operator approximates but cannot fully reproduce the deformation of every generative model, so a residual synthetic-to-real domain gap constrains how far accuracy on synthetic data transfers to text from unseen generators.</w:t>
      </w:r>
    </w:p>
    <w:p>
      <w:pPr>
        <w:pStyle w:val="Heading2"/>
      </w:pPr>
      <w:r>
        <w:t xml:space="preserve">1.7 Significance of the Study</w:t>
      </w:r>
    </w:p>
    <w:p>
      <w:pPr>
        <w:pStyle w:val="FirstParagraph"/>
      </w:pPr>
      <w:r>
        <w:t xml:space="preserve">For the field of computer science and machine learning, this study contributes an open-set metric-learning approach to deformation-robust font identification. It inverts the prevailing paradigm, which trains closed-set classifiers on pristine glyphs and consequently fails in the wild (Wang et al., 2015; Chen et al., 2026), by learning an embedding that tolerates deformation and can abstain when no catalogued font applies.</w:t>
      </w:r>
    </w:p>
    <w:p>
      <w:pPr>
        <w:pStyle w:val="BodyText"/>
      </w:pPr>
      <w:r>
        <w:t xml:space="preserve">For practitioners, meaning designers and everyday users of generative AI tools, the system offers a path to free, license-clear reconstruction of generative typography. It maps a hallucinated crop to open-source Google Fonts rather than to paid commercial licenses, and it works on exactly the deformed inputs on which closed identifiers fail, removing the lock-in those tools impose.</w:t>
      </w:r>
    </w:p>
    <w:p>
      <w:pPr>
        <w:pStyle w:val="BodyText"/>
      </w:pPr>
      <w:r>
        <w:t xml:space="preserve">For future researchers, the framework is a building block for deformation-robust recognition beyond fonts. Its combination of a controlled synthetic-degradation pipeline with a post-hoc open-set rejection score is a reusable recipe for any fine-grained recognition task where inputs are probabilistically distorted and the true class may lie outside the training catalogue.</w:t>
      </w:r>
    </w:p>
    <w:p>
      <w:r>
        <w:br w:type="page"/>
      </w:r>
    </w:p>
    <w:p>
      <w:pPr>
        <w:pStyle w:val="Heading1"/>
      </w:pPr>
      <w:r>
        <w:t xml:space="preserve">Chapter 2: Review of Related Literature</w:t>
      </w:r>
    </w:p>
    <w:p>
      <w:pPr>
        <w:pStyle w:val="Heading2"/>
      </w:pPr>
      <w:r>
        <w:t xml:space="preserve">2.1 Introduction</w:t>
      </w:r>
    </w:p>
    <w:p>
      <w:pPr>
        <w:pStyle w:val="FirstParagraph"/>
      </w:pPr>
      <w:r>
        <w:t xml:space="preserve">This chapter reviews the literature defining the scope of this thesis and introduces the components of the proposed solution. The review is organized around the structure of the problem itself. It first establishes the limits of current approaches, describes the phenomenon that undermines them, and then introduces the components needed to resolve these limitations. Five thematic areas trace this progression. Legacy font recognition, OCR/Layout and Closed-Set Vector assumptions reviews visual font recognition, the paradigm this work challenges. Traditional methods including DeepFont, classical OCR, Layout analysis, and attention-based localization rely on a closed-set, rigid-glyph assumption. However, generative AI text violates this assumption. Generative AI typographic hallucinations and diffusion latent mutations details these violations, specifically the micro warping, variable kerning, and cross-character attention smearing that this thesis terms typographic hallucination. Existing generative AI research only studies these deformations to suppress them inside the generator, rather than to recover typeface identity from the deformed output. The next three themes build the proposed recognizer. Logit-space thresholds and open-set rejection scores describe the open-set rejection machinery that labels out of palette crops as “unknown”. Feature disentanglement and Frozen-ViT Metric Embedding details the disentangled frozen-ViT embedding used to calculate the rejection score. Advanced Visual Distance Metrics (SSIM) and Human-Proxy Ground-Truth Alignment introduces the deformation-robust distance metric and calibrated Top-K measurement layer used to validate the pipeline.</w:t>
      </w:r>
    </w:p>
    <w:p>
      <w:pPr>
        <w:pStyle w:val="Heading2"/>
      </w:pPr>
      <w:r>
        <w:t xml:space="preserve">2.2 Legacy Font Recognition, OCR/Layout &amp; Closed-Set Vector Assumptions</w:t>
      </w:r>
    </w:p>
    <w:p>
      <w:pPr>
        <w:pStyle w:val="FirstParagraph"/>
      </w:pPr>
      <w:r>
        <w:t xml:space="preserve">Visual font recognition as a discipline has been studied for a while now, with traces to Wang, Yang, Jin, Shechtman, Aseem and Huang’s (2015) DeepFont with Adobe Research. It was the first, large-scale deep convolutional system for identifying typefaces from photographic inputs. DeepFont’s innovations were inseparable from the assumptions that were built into it. It trained on a synthetic set of clean typographic specimens generated directly from font files, guaranteeing that the discriminative features the network learned were uncontaminated by rendering artifacts like noise. It learned to read the typeface, relating to its stroke ratios, serif geometry, terminal curvature and ascender-to-x-height proportions. It was evaluated under the Top-1/Top-3 (TopK) accuracy protocol that remains the discipline’s standard. It proved that a network trained on clean glyphs, can generalize real photographic inputs with useful accuracy. However this assumption of clean glyphs means that every input is presumed to contain a glyph which exists at render time, and recognition is the recovery of that “fixed” identity from an environmental degradation channel, such as pictures or documents. We adopt the Top-K protocol from DeepFont because it is the established standard, in a system where there is no clean glyph to recover, because signal and noise co-emerge from the same generative process.</w:t>
      </w:r>
    </w:p>
    <w:p>
      <w:pPr>
        <w:pStyle w:val="BodyText"/>
      </w:pPr>
      <w:r>
        <w:t xml:space="preserve">Architectural progress has since raised this paradigm’s accuracy without disturbing its founding assumptions. Chen et al. (2026) swap DeepFont’s convolutional stack for a frozen DINOv2 Vision Transformer adapted through Low-Rank Adaptation (LoRA), training only about 0.2% of the backbone’s parameters, and reach roughly 86% Top-1 accuracy across 394 Google Font variants, the current high-water mark for large-scale font classification. Yet the same assumptions hold: the model trains on pristine synthetic renders, stays strictly closed-set over its 394 classes, and, by the authors’ own report, fails on photographs and heavily styled graphics, its family-level accuracy collapsing to 40.2% between near-identical weight variants a clean-glyph encoder cannot separate at working resolution. Chen et al. therefore establish two things at once: that a frozen-ViT embedding is the field’s current representational substrate, adopted in open-set form in Section 2.5, and that even the strongest modern instantiation of that substrate still inherits DeepFont’s categorical exclusion of the deformed, out-of-palette input this work targets.</w:t>
      </w:r>
    </w:p>
    <w:p>
      <w:pPr>
        <w:pStyle w:val="BodyText"/>
      </w:pPr>
      <w:r>
        <w:t xml:space="preserve">The same assumption asserts itself in contemporary OCR and layout systems such as by Ponnuru et al. (2024) report 98% accuracy for a Tesseract-based prescription digitization pipeline under scanning defects, and closed-boundary layout analysis grows stable for bounding regions from coherent glyph interiors (Bhunia et al., 2018). Both systems implicitly compute for the same function, that function is well-posed only when an existing, antecedent glyph exists. It is undefined in this sense where the glyph in the image is not a degraded copy of a vector mastery but the primary output of a system with no access entirely to the intended typeface’s geometry.</w:t>
      </w:r>
    </w:p>
    <w:p>
      <w:pPr>
        <w:pStyle w:val="BodyText"/>
      </w:pPr>
      <w:r>
        <w:t xml:space="preserve">Recent shifts in document layout analysis that includes Wang, Lv, et al.’s (2025) TransTab and Sheikh et al.’s (2024) UnSupDLA, have begun replacing rigid geometric priors with attention-based, layout-independent feature extraction, establishing a direct precedent for the unsupervised, frozen-ViT architecture adoption. However, while these new attempts to relax spatial constraints during localization, they leave the morphological assumptions of font identity untouched.</w:t>
      </w:r>
    </w:p>
    <w:p>
      <w:pPr>
        <w:pStyle w:val="BodyText"/>
      </w:pPr>
      <w:r>
        <w:t xml:space="preserve">Methodologically, we can draw the theoretical scaffolding from Sarker’s (2021) deep-learning taxonomy to justify a lightweight metric head over a frozen backbone, and Plastropoulos and Tegos’s (2024) framework to license synthetic data augmentation via geometric and typographic degradation. Yet, because the broader literature, stretching from DeepFont’s foundational closed-set baseline (Wang et al., 2015) to the modern frozen-ViT state of the art (Chen et al., 2026) and the attention-driven models above, presumes topologically faithful glyphs or treats distortion merely as an external noise channel. None of these studies actually address whether font identity can be recovered from a glyph whose structural deformation is not noise to be inverted, but an irreducible, probabilistic property of a generative latent model.</w:t>
      </w:r>
    </w:p>
    <w:p>
      <w:pPr>
        <w:pStyle w:val="Heading2"/>
      </w:pPr>
      <w:r>
        <w:t xml:space="preserve">2.3 Generative AI Typographic Hallucinations &amp; Diffusion Latent Mutations</w:t>
      </w:r>
    </w:p>
    <w:p>
      <w:pPr>
        <w:pStyle w:val="FirstParagraph"/>
      </w:pPr>
      <w:r>
        <w:t xml:space="preserve">AI producing morphologically unreliable text is established by several literature studies. Liu et al. (2024) diagnosed the visual text rendering in Stable Diffusion XL, traces the failure to an architectural limitation: the standard text encoder for AI treats a character sequence as a semantic unit and lacks the sub-character spatial awareness needed for typographically accurate output. This resulted in fewer than 20% of uncorrected SDXL renderings as accurate. The study also proposes their own Glyph-ByT5 correction, which fine-tunes the encoder on glyph-conditioned data, and raises the accuracy to 90%, confirming the failure is architectural rather than fundamental. The fact is that for an uncorrected baseline, deformation is the default output state.</w:t>
      </w:r>
    </w:p>
    <w:p>
      <w:pPr>
        <w:pStyle w:val="BodyText"/>
      </w:pPr>
      <w:r>
        <w:t xml:space="preserve">Li, Song, et al. (2025) figured out that state-of-the-art vision-language models (VLMs) are readily derailed by an effect: The “Stroop-type” semantic inference, in which the lexical meaning of the rendered word overrides the model’s reading of the visual typeface. Because this effect operates even on clean, legible text, semantic distraction and glyph deformation are independently sufficient to defeat general-purpose recognition. We close off off-the-shelf VLMs as a solution and create a dedicated visual-texture pipeline architecturally isolated from this lexical content.</w:t>
      </w:r>
    </w:p>
    <w:p>
      <w:pPr>
        <w:pStyle w:val="BodyText"/>
      </w:pPr>
      <w:r>
        <w:t xml:space="preserve">Generative text deformation arises within the generator’s attention structure, where cross-character attention bleeding causes micro-warping, variable kerning, and glyph blending (Gillani et al., 2025), alongside multi-instance typographic entanglement (Du et al., 2025). Crucially, this degradation concentrates in the typographic long tail (display, script, and rare faces), forcing a recognizer to exercise caution exactly where a font’s clean profile would otherwise inspire confidence (Zhuang et al., 2025). Furthermore, because diffusion models map style onto a continuous latent manifold rather than discrete catalogs, generative text yields morphologically novel glyphs sampled between known typographies (Kondo et al., 2024). While existing evaluation frameworks like VTPBench quantify these errors (Shu et al., 2025), the broader literature studies deformation exclusively to suppress it within the generator using character-centric metrics (CER/WER). However, none of these studies treats this documented deformation distribution as an inevitable input distribution to evaluate whether the underlying typeface identity remains recoverable.</w:t>
      </w:r>
    </w:p>
    <w:p>
      <w:pPr>
        <w:pStyle w:val="Heading2"/>
      </w:pPr>
      <w:r>
        <w:t xml:space="preserve">2.4 Logit-Space Thresholds &amp; Open-Set Rejection Scores</w:t>
      </w:r>
    </w:p>
    <w:p>
      <w:pPr>
        <w:pStyle w:val="FirstParagraph"/>
      </w:pPr>
      <w:r>
        <w:t xml:space="preserve">To bridge the gap between closed-set limitations and irregular generative outputs, we must establish an inferential system required for open-set rejection; rejecting out-of-palette hallucinations to an “unknown” bin rather than forcing an inaccurate classification. There are two studies that highlight a post-hoc layer approach: Hofmann et al.’s (2024) Energy-based Hopfield Boosting (EHB) and Djurisic et al.’s (2024) Logit Scaling (LTS). Hofmann et al.’s (2024) approach utilizes an energy formalism to isolate manifold outliers, while Djurisic et al.’s (2024) introduces architecture-agnostic magnitude normalization, crucial for domains lacking explicit out-of-distribution (OOD) training data. A complementary line argues that the full ordinal structure of the logit vector carries the open-set signal: Karunanayake et al.’s (2025) ExCeL shows that the ranking of runner-up classes stays deterministic for in-distribution inputs but collapses into noise for OOD ones, mapping directly onto this thesis’s Top-K protocol, where a coherent runner-up sequence flags an in-palette crop and an incoherent cross-family ranking flags a hallucination. While Lu et al.’s (2025) survey validates these training-agnostic approaches as the only viable choice against an infinite out-of-palette baseline, there is a clear gap. Existing benchmarks evaluate these approaches exclusively on natural-image datasets (e.g, ImageNet, CIFAR) featuring coarse, object-level semantic differences, leaving the effectiveness of these methods unproved when applied to the micro-irregularities of generative font deformation.</w:t>
      </w:r>
    </w:p>
    <w:p>
      <w:pPr>
        <w:pStyle w:val="Heading2"/>
      </w:pPr>
      <w:r>
        <w:t xml:space="preserve">2.5 Feature Disentanglement &amp; Frozen-ViT Metric Embedding</w:t>
      </w:r>
    </w:p>
    <w:p>
      <w:pPr>
        <w:pStyle w:val="FirstParagraph"/>
      </w:pPr>
      <w:r>
        <w:t xml:space="preserve">Providing robust input for the rejection mechanism is highly important. A study by Wang et al., (2024) describes a representation layer that produces disentangled, axis-aligned features, making typographic identity mathematically orthogonal to deformation artifacts. The architecture uses a frozen, register-corrected DINOv2 backbone (Oquab et al., 2024; Darcet et al., 2024) to extract fine-grained patch features, bypassing domain-specific fine-tuning. To prevent “Stroop-type” interference, the approach uses trait-localized prompts (Chowdhury et al., 2025) and label-free prompt distillation (Li, Li, et al., 2024) to direct attention to letterform anatomy. This establishes a continuous metric space (Huang &amp; Zhou, 2022) where proximity ranking replaces categorical assignment letting the model distinguish genuine typographic variance from hallucinatory corruption. The methods above work on clean typographic or natural-image benchmarks, but we do not know if frozen attention maps can localize anatomical strokes under the severe warping, smearing, and character bleeding common in diffusion-generated glyphs.</w:t>
      </w:r>
    </w:p>
    <w:p>
      <w:pPr>
        <w:pStyle w:val="Heading2"/>
      </w:pPr>
      <w:r>
        <w:t xml:space="preserve">2.6 Advanced Visual Distance Metrics (SSIM) &amp; Human-Proxy Ground-Truth Alignment</w:t>
      </w:r>
    </w:p>
    <w:p>
      <w:pPr>
        <w:pStyle w:val="FirstParagraph"/>
      </w:pPr>
      <w:r>
        <w:t xml:space="preserve">Evaluating output quality against an empirical standard presents a measurement layer that pairs deformation-robust structural distance with dynamically calibrated confidence sets. Because pixel-level metrics collapse under spatial shifts in generative outputs, a system with DeepSSIM (Zhang et al., 2024) and SAMScore (Li, Chen, et al., 2025) in a re-render-and-compare loop is highly suggested. This loop evaluates typographic structure using embeddings from deep feature spaces and region topologies, a method supported by continuous structural distance optimization (Umer et al., 2022). To turn classifier probabilities into reliable uncertainty claims, this work uses Rank-Calibrated Class-Conditional Conformal Prediction (RC3P) (Shi et al., 2024) and its prevalence-adjusted long-tail extension (Ding et al., 2025) to generate input-dependent prediction sets with formal mathematical coverage guarantees. While ControlText (Jiang et al., 2025) validates distribution matching and establishes the Storia-AI classifier baseline, current methods fail in open-set generative environments. A second, typography-native precedent comes from the closed-set baseline in Section 2.2: Chen et al. (2026) weight misclassification cost by the cosine distance between class embedding centroids, a relative-severity index (errors costing 55% of a random baseline) directly transferable to this thesis’s Serif/Sans/Display/Monospace confusion analysis, though likewise validated only on pristine renders rather than hallucinated crops. In order to resolve this limitation, we can test its metric-calibration framework against a ground truth built from an expert panel scoring in-the-wild generative crops. This establishes a unified verification protocol that has been missing from the natural-image, biological, and clean typographic literature.</w:t>
      </w:r>
    </w:p>
    <w:p>
      <w:pPr>
        <w:pStyle w:val="Heading2"/>
      </w:pPr>
      <w:r>
        <w:t xml:space="preserve">2.7 Synthesis</w:t>
      </w:r>
    </w:p>
    <w:p>
      <w:pPr>
        <w:pStyle w:val="FirstParagraph"/>
      </w:pPr>
      <w:r>
        <w:t xml:space="preserve">Although these five areas of literature are mature, their capabilities remain fragmented and have not been combined into a single pipeline. Legacy methods localize layouts but assume topological font fidelity, up to and including the current frozen-ViT state of the art (Chen et al., 2026; Sheikh et al., 2024; Wang et al., 2025). Generative studies analyze the micro-warp deformations that violate this assumption, but they treat these distortions as bugs to suppress rather than distributions to read (Gillani et al., 2025; Kondo et al., 2024). Meanwhile, open-set research models rejection scores only for coarse, object-level shifts in natural images (Hofmann et al., 2024; Karunanayake et al., 2025). Representation models isolate fine-grained visual traits but avoid generative distortions (Chowdhury et al., 2025; Oquab et al., 2024). Finally, measurement benchmarks evaluate structural distances only on clean or general translation datasets (Jiang et al., 2025; Zhang et al., 2024). The main challenge lies in connecting these domains. To address this, this thesis integrates attention-based layout isolation with a deformation-robust, trait-localized embedding. This embedding is then scored using an open-set framework calibrated for typographic shifts, and validated against human consensus using a coupled visual distance and conformal prediction protocol. The proposed framework operates post hoc without generative-domain annotations over a bounded open-set palette, and forms the foundation of our approach.</w:t>
      </w:r>
    </w:p>
    <w:p>
      <w:r>
        <w:br w:type="page"/>
      </w:r>
    </w:p>
    <w:p>
      <w:pPr>
        <w:pStyle w:val="Heading1"/>
      </w:pPr>
      <w:r>
        <w:t xml:space="preserve">Chapter 3: Technical Background</w:t>
      </w:r>
    </w:p>
    <w:p>
      <w:pPr>
        <w:pStyle w:val="Heading2"/>
      </w:pPr>
      <w:r>
        <w:t xml:space="preserve">3.1 Introduction to the Domain</w:t>
      </w:r>
    </w:p>
    <w:p>
      <w:pPr>
        <w:pStyle w:val="FirstParagraph"/>
      </w:pPr>
      <w:r>
        <w:t xml:space="preserve">This chapter gives the reader the theoretical and technical foundation that the methodology assumes, and it moves from the general to the specific. It first places the work within its parent computational fields and defines the core visual objects it manipulates: glyph anatomy, the typographic-hallucination model, the convolutional network, and the embedding space (Sections 3.1 and 3.2). It then develops the mathematics that turns those objects into decisions. Metric learning shapes an embedding space so that distance means typographic similarity, and open-set recognition lets the system refuse to answer (Section 3.3). Section 3.4 surveys the software tools and neural architectures the framework is built on, weighing each for what it does well and where it falls short. Section 3.5 draws these threads together onto the specific technical gap that motivates the thesis and hands off to the methodology.</w:t>
      </w:r>
    </w:p>
    <w:p>
      <w:pPr>
        <w:pStyle w:val="BodyText"/>
      </w:pPr>
      <w:r>
        <w:t xml:space="preserve">This research belongs to a nested set of computational fields, and it sits at the innermost layer. The outermost field is</w:t>
      </w:r>
      <w:r>
        <w:t xml:space="preserve"> </w:t>
      </w:r>
      <w:r>
        <w:rPr>
          <w:b/>
          <w:bCs/>
        </w:rPr>
        <w:t xml:space="preserve">artificial intelligence (AI)</w:t>
      </w:r>
      <w:r>
        <w:t xml:space="preserve">, the broad study of systems that perform tasks normally requiring human intelligence. Inside AI is</w:t>
      </w:r>
      <w:r>
        <w:t xml:space="preserve"> </w:t>
      </w:r>
      <w:r>
        <w:rPr>
          <w:b/>
          <w:bCs/>
        </w:rPr>
        <w:t xml:space="preserve">machine learning (ML)</w:t>
      </w:r>
      <w:r>
        <w:t xml:space="preserve">, the subfield concerned with algorithms that improve at a task by learning statistical patterns from data rather than following hand-written rules (Sarker, 2021). Inside ML is</w:t>
      </w:r>
      <w:r>
        <w:t xml:space="preserve"> </w:t>
      </w:r>
      <w:r>
        <w:rPr>
          <w:b/>
          <w:bCs/>
        </w:rPr>
        <w:t xml:space="preserve">deep learning (DL)</w:t>
      </w:r>
      <w:r>
        <w:t xml:space="preserve">, a family of methods that stack many layers of simple non-linear transformations so that the system learns its own hierarchical representation of the input, from raw pixels up to abstract concepts, without human-engineered features (LeCun, Bengio, &amp; Hinton, 2015). When deep learning is applied to images, it becomes</w:t>
      </w:r>
      <w:r>
        <w:t xml:space="preserve"> </w:t>
      </w:r>
      <w:r>
        <w:rPr>
          <w:b/>
          <w:bCs/>
        </w:rPr>
        <w:t xml:space="preserve">computer vision (CV)</w:t>
      </w:r>
      <w:r>
        <w:t xml:space="preserve">, the discipline of extracting meaning from visual signals such as photographs, documents, and rendered text.</w:t>
      </w:r>
    </w:p>
    <w:p>
      <w:pPr>
        <w:pStyle w:val="BodyText"/>
      </w:pPr>
      <w:r>
        <w:t xml:space="preserve">More narrowly, this thesis addresses a specialized CV task:</w:t>
      </w:r>
      <w:r>
        <w:t xml:space="preserve"> </w:t>
      </w:r>
      <w:r>
        <w:rPr>
          <w:b/>
          <w:bCs/>
        </w:rPr>
        <w:t xml:space="preserve">visual font-style recognition</w:t>
      </w:r>
      <w:r>
        <w:t xml:space="preserve">, the problem of identifying which typeface a piece of rendered text was set in, using only the image of the text. The classical version of this task, established by DeepFont (Wang et al., 2015), treats it as image classification over a fixed catalogue of fonts rendered as clean, geometrically exact glyphs. The regime this thesis targets is harder: text crops produced by generative AI image tools, in which the glyphs are probabilistically deformed rather than pristine. General-purpose vision-language models do not solve this problem. Li, Song, et al. (2025) show that state-of-the-art multimodal models</w:t>
      </w:r>
      <w:r>
        <w:t xml:space="preserve"> </w:t>
      </w:r>
      <w:r>
        <w:t xml:space="preserve">“get lost”</w:t>
      </w:r>
      <w:r>
        <w:t xml:space="preserve"> </w:t>
      </w:r>
      <w:r>
        <w:t xml:space="preserve">in font recognition, derailed by the semantic content of the word instead of reading its visual texture. The rest of this chapter builds the concepts needed to define and address this specific problem.</w:t>
      </w:r>
    </w:p>
    <w:p>
      <w:pPr>
        <w:pStyle w:val="Heading2"/>
      </w:pPr>
      <w:r>
        <w:t xml:space="preserve">3.2 Core Concepts &amp; Definitions</w:t>
      </w:r>
    </w:p>
    <w:p>
      <w:pPr>
        <w:pStyle w:val="Heading3"/>
      </w:pPr>
      <w:r>
        <w:t xml:space="preserve">3.2.1 Typography and Font Anatomy</w:t>
      </w:r>
    </w:p>
    <w:p>
      <w:pPr>
        <w:pStyle w:val="FirstParagraph"/>
      </w:pPr>
      <w:r>
        <w:rPr>
          <w:b/>
          <w:bCs/>
        </w:rPr>
        <w:t xml:space="preserve">Typography</w:t>
      </w:r>
      <w:r>
        <w:t xml:space="preserve"> </w:t>
      </w:r>
      <w:r>
        <w:t xml:space="preserve">is the craft of arranging letterforms for legibility and visual effect. Its atomic unit is the</w:t>
      </w:r>
      <w:r>
        <w:t xml:space="preserve"> </w:t>
      </w:r>
      <w:r>
        <w:rPr>
          <w:b/>
          <w:bCs/>
        </w:rPr>
        <w:t xml:space="preserve">glyph</w:t>
      </w:r>
      <w:r>
        <w:t xml:space="preserve">, the concrete visual shape of a single character (the drawn form of the letter</w:t>
      </w:r>
      <w:r>
        <w:t xml:space="preserve"> </w:t>
      </w:r>
      <w:r>
        <w:t xml:space="preserve">“a,”</w:t>
      </w:r>
      <w:r>
        <w:t xml:space="preserve"> </w:t>
      </w:r>
      <w:r>
        <w:t xml:space="preserve">for example). A</w:t>
      </w:r>
      <w:r>
        <w:t xml:space="preserve"> </w:t>
      </w:r>
      <w:r>
        <w:rPr>
          <w:b/>
          <w:bCs/>
        </w:rPr>
        <w:t xml:space="preserve">typeface</w:t>
      </w:r>
      <w:r>
        <w:t xml:space="preserve"> </w:t>
      </w:r>
      <w:r>
        <w:t xml:space="preserve">is the underlying design of a coordinated set of glyphs, whereas a</w:t>
      </w:r>
      <w:r>
        <w:t xml:space="preserve"> </w:t>
      </w:r>
      <w:r>
        <w:rPr>
          <w:b/>
          <w:bCs/>
        </w:rPr>
        <w:t xml:space="preserve">font</w:t>
      </w:r>
      <w:r>
        <w:t xml:space="preserve"> </w:t>
      </w:r>
      <w:r>
        <w:t xml:space="preserve">is a specific digital file that implements that design at a particular weight and style; the two terms are often used interchangeably, but the distinction (design versus file) matters when cataloguing candidates. Typefaces are grouped into broad structural classes:</w:t>
      </w:r>
      <w:r>
        <w:t xml:space="preserve"> </w:t>
      </w:r>
      <w:r>
        <w:rPr>
          <w:b/>
          <w:bCs/>
        </w:rPr>
        <w:t xml:space="preserve">serif</w:t>
      </w:r>
      <w:r>
        <w:t xml:space="preserve"> </w:t>
      </w:r>
      <w:r>
        <w:t xml:space="preserve">faces carry small terminating strokes at the ends of letters;</w:t>
      </w:r>
      <w:r>
        <w:t xml:space="preserve"> </w:t>
      </w:r>
      <w:r>
        <w:rPr>
          <w:b/>
          <w:bCs/>
        </w:rPr>
        <w:t xml:space="preserve">sans-serif</w:t>
      </w:r>
      <w:r>
        <w:t xml:space="preserve"> </w:t>
      </w:r>
      <w:r>
        <w:t xml:space="preserve">faces omit them;</w:t>
      </w:r>
      <w:r>
        <w:t xml:space="preserve"> </w:t>
      </w:r>
      <w:r>
        <w:rPr>
          <w:b/>
          <w:bCs/>
        </w:rPr>
        <w:t xml:space="preserve">display</w:t>
      </w:r>
      <w:r>
        <w:t xml:space="preserve"> </w:t>
      </w:r>
      <w:r>
        <w:t xml:space="preserve">faces are ornamental designs intended for large sizes; and</w:t>
      </w:r>
      <w:r>
        <w:t xml:space="preserve"> </w:t>
      </w:r>
      <w:r>
        <w:rPr>
          <w:b/>
          <w:bCs/>
        </w:rPr>
        <w:t xml:space="preserve">monospace</w:t>
      </w:r>
      <w:r>
        <w:t xml:space="preserve"> </w:t>
      </w:r>
      <w:r>
        <w:t xml:space="preserve">faces give every glyph identical width.</w:t>
      </w:r>
    </w:p>
    <w:p>
      <w:pPr>
        <w:pStyle w:val="BodyText"/>
      </w:pPr>
      <w:r>
        <w:t xml:space="preserve">These classes are distinguished by measurable structural traits. The</w:t>
      </w:r>
      <w:r>
        <w:t xml:space="preserve"> </w:t>
      </w:r>
      <w:r>
        <w:rPr>
          <w:b/>
          <w:bCs/>
        </w:rPr>
        <w:t xml:space="preserve">x-height</w:t>
      </w:r>
      <w:r>
        <w:t xml:space="preserve"> </w:t>
      </w:r>
      <w:r>
        <w:t xml:space="preserve">is the height of a lowercase</w:t>
      </w:r>
      <w:r>
        <w:t xml:space="preserve"> </w:t>
      </w:r>
      <w:r>
        <w:t xml:space="preserve">“x,”</w:t>
      </w:r>
      <w:r>
        <w:t xml:space="preserve"> </w:t>
      </w:r>
      <w:r>
        <w:t xml:space="preserve">which sets the visual size of the main body of the text; a</w:t>
      </w:r>
      <w:r>
        <w:t xml:space="preserve"> </w:t>
      </w:r>
      <w:r>
        <w:rPr>
          <w:b/>
          <w:bCs/>
        </w:rPr>
        <w:t xml:space="preserve">terminal</w:t>
      </w:r>
      <w:r>
        <w:t xml:space="preserve"> </w:t>
      </w:r>
      <w:r>
        <w:t xml:space="preserve">is the endpoint of a stroke (rounded, flat, or serifed);</w:t>
      </w:r>
      <w:r>
        <w:t xml:space="preserve"> </w:t>
      </w:r>
      <w:r>
        <w:rPr>
          <w:b/>
          <w:bCs/>
        </w:rPr>
        <w:t xml:space="preserve">stroke contrast</w:t>
      </w:r>
      <w:r>
        <w:t xml:space="preserve"> </w:t>
      </w:r>
      <w:r>
        <w:t xml:space="preserve">is the ratio between the thickest and thinnest parts of a stroke; and a</w:t>
      </w:r>
      <w:r>
        <w:t xml:space="preserve"> </w:t>
      </w:r>
      <w:r>
        <w:rPr>
          <w:b/>
          <w:bCs/>
        </w:rPr>
        <w:t xml:space="preserve">counter</w:t>
      </w:r>
      <w:r>
        <w:t xml:space="preserve"> </w:t>
      </w:r>
      <w:r>
        <w:t xml:space="preserve">is the enclosed or partially enclosed negative space inside letters such as</w:t>
      </w:r>
      <w:r>
        <w:t xml:space="preserve"> </w:t>
      </w:r>
      <w:r>
        <w:t xml:space="preserve">“o”</w:t>
      </w:r>
      <w:r>
        <w:t xml:space="preserve"> </w:t>
      </w:r>
      <w:r>
        <w:t xml:space="preserve">or</w:t>
      </w:r>
      <w:r>
        <w:t xml:space="preserve"> </w:t>
      </w:r>
      <w:r>
        <w:t xml:space="preserve">“e.”</w:t>
      </w:r>
      <w:r>
        <w:t xml:space="preserve"> </w:t>
      </w:r>
      <w:r>
        <w:t xml:space="preserve">Figure 1 illustrates these traits across the four family classes.</w:t>
      </w:r>
    </w:p>
    <w:p>
      <w:pPr>
        <w:pStyle w:val="BodyText"/>
        <w:keepNext/>
      </w:pPr>
      <w:r>
        <w:rPr>
          <w:b/>
          <w:bCs/>
        </w:rPr>
        <w:t xml:space="preserve">Figure 1</w:t>
      </w:r>
    </w:p>
    <w:p>
      <w:pPr>
        <w:pStyle w:val="BodyText"/>
        <w:keepNext/>
      </w:pPr>
      <w:r>
        <w:rPr>
          <w:i/>
          <w:iCs/>
        </w:rPr>
        <w:t xml:space="preserve">Font Anatomy Across Serif, Sans-Serif, Display, and Monospace Families</w:t>
      </w:r>
    </w:p>
    <w:p>
      <w:pPr>
        <w:pStyle w:val="CaptionedFigure"/>
      </w:pPr>
      <w:r>
        <w:drawing>
          <wp:inline>
            <wp:extent cx="5334000" cy="2597656"/>
            <wp:effectExtent b="0" l="0" r="0" t="0"/>
            <wp:docPr descr="Font anatomy panel showing x-height, terminal, stroke contrast, and counter across serif, sans-serif, display, and monospace families" title="" id="30" name="Picture"/>
            <a:graphic>
              <a:graphicData uri="http://schemas.openxmlformats.org/drawingml/2006/picture">
                <pic:pic>
                  <pic:nvPicPr>
                    <pic:cNvPr descr="assets/figures/font_anatomy.png" id="31" name="Picture"/>
                    <pic:cNvPicPr>
                      <a:picLocks noChangeArrowheads="1" noChangeAspect="1"/>
                    </pic:cNvPicPr>
                  </pic:nvPicPr>
                  <pic:blipFill>
                    <a:blip r:embed="rId29"/>
                    <a:stretch>
                      <a:fillRect/>
                    </a:stretch>
                  </pic:blipFill>
                  <pic:spPr bwMode="auto">
                    <a:xfrm>
                      <a:off x="0" y="0"/>
                      <a:ext cx="5334000" cy="2597656"/>
                    </a:xfrm>
                    <a:prstGeom prst="rect">
                      <a:avLst/>
                    </a:prstGeom>
                    <a:noFill/>
                    <a:ln w="9525">
                      <a:noFill/>
                      <a:headEnd/>
                      <a:tailEnd/>
                    </a:ln>
                  </pic:spPr>
                </pic:pic>
              </a:graphicData>
            </a:graphic>
          </wp:inline>
        </w:drawing>
      </w:r>
    </w:p>
    <w:p>
      <w:pPr>
        <w:pStyle w:val="BodyText"/>
      </w:pPr>
      <w:r>
        <w:t xml:space="preserve">As shown in Figure 1, font identity is carried by fine-grained geometric traits rather than by the identity of the character itself, which is why this thesis reasons over visual texture instead of textual meaning.</w:t>
      </w:r>
    </w:p>
    <w:p>
      <w:pPr>
        <w:pStyle w:val="Heading3"/>
      </w:pPr>
      <w:r>
        <w:t xml:space="preserve">3.2.2 Convolutional Neural Networks and Visual Feature Extraction</w:t>
      </w:r>
    </w:p>
    <w:p>
      <w:pPr>
        <w:pStyle w:val="FirstParagraph"/>
      </w:pPr>
      <w:r>
        <w:t xml:space="preserve">The dominant deep-learning tool for reading such visual traits is the</w:t>
      </w:r>
      <w:r>
        <w:t xml:space="preserve"> </w:t>
      </w:r>
      <w:r>
        <w:rPr>
          <w:b/>
          <w:bCs/>
        </w:rPr>
        <w:t xml:space="preserve">convolutional neural network (CNN)</w:t>
      </w:r>
      <w:r>
        <w:t xml:space="preserve">, an architecture that exploits the spatial structure of images through local, weight-sharing operations (LeCun, Bengio, &amp; Hinton, 2015). Its central operation is</w:t>
      </w:r>
      <w:r>
        <w:t xml:space="preserve"> </w:t>
      </w:r>
      <w:r>
        <w:rPr>
          <w:b/>
          <w:bCs/>
        </w:rPr>
        <w:t xml:space="preserve">convolution</w:t>
      </w:r>
      <w:r>
        <w:t xml:space="preserve">, in which a small</w:t>
      </w:r>
      <w:r>
        <w:t xml:space="preserve"> </w:t>
      </w:r>
      <w:r>
        <w:rPr>
          <w:b/>
          <w:bCs/>
        </w:rPr>
        <w:t xml:space="preserve">kernel</w:t>
      </w:r>
      <w:r>
        <w:t xml:space="preserve"> </w:t>
      </w:r>
      <w:r>
        <w:t xml:space="preserve">(also called a filter, a compact matrix of learnable weights) is slid across the image, computing a weighted sum at every position:</w:t>
      </w:r>
    </w:p>
    <w:p>
      <w:pPr>
        <w:pStyle w:val="BodyText"/>
      </w:pPr>
      <m:oMathPara>
        <m:oMathParaPr>
          <m:jc m:val="center"/>
        </m:oMathParaPr>
        <m:oMath>
          <m:r>
            <m:rPr>
              <m:sty m:val="p"/>
            </m:rPr>
            <m:t>(</m:t>
          </m:r>
          <m:r>
            <m:t>I</m:t>
          </m:r>
          <m:r>
            <m:rPr>
              <m:sty m:val="p"/>
            </m:rPr>
            <m:t>*</m:t>
          </m:r>
          <m:r>
            <m:t>K</m:t>
          </m:r>
          <m:r>
            <m:rPr>
              <m:sty m:val="p"/>
            </m:rPr>
            <m:t>)</m:t>
          </m:r>
          <m:r>
            <m:rPr>
              <m:sty m:val="p"/>
            </m:rPr>
            <m:t>(</m:t>
          </m:r>
          <m:r>
            <m:t>i</m:t>
          </m:r>
          <m:r>
            <m:rPr>
              <m:sty m:val="p"/>
            </m:rPr>
            <m:t>,</m:t>
          </m:r>
          <m:r>
            <m:t>j</m:t>
          </m:r>
          <m:r>
            <m:rPr>
              <m:sty m:val="p"/>
            </m:rPr>
            <m:t>)</m:t>
          </m:r>
          <m:r>
            <m:rPr>
              <m:sty m:val="p"/>
            </m:rPr>
            <m:t>=</m:t>
          </m:r>
          <m:nary>
            <m:naryPr>
              <m:chr m:val="∑"/>
              <m:limLoc m:val="undOvr"/>
              <m:subHide m:val="off"/>
              <m:supHide m:val="on"/>
            </m:naryPr>
            <m:sub>
              <m:r>
                <m:t>m</m:t>
              </m:r>
            </m:sub>
            <m:sup>
              <m:r>
                <m:t>​</m:t>
              </m:r>
            </m:sup>
            <m:e>
              <m:nary>
                <m:naryPr>
                  <m:chr m:val="∑"/>
                  <m:limLoc m:val="undOvr"/>
                  <m:subHide m:val="off"/>
                  <m:supHide m:val="on"/>
                </m:naryPr>
                <m:sub>
                  <m:r>
                    <m:t>n</m:t>
                  </m:r>
                </m:sub>
                <m:sup>
                  <m:r>
                    <m:t>​</m:t>
                  </m:r>
                </m:sup>
                <m:e>
                  <m:r>
                    <m:t>I</m:t>
                  </m:r>
                </m:e>
              </m:nary>
            </m:e>
          </m:nary>
          <m:r>
            <m:rPr>
              <m:sty m:val="p"/>
            </m:rPr>
            <m:t>(</m:t>
          </m:r>
          <m:r>
            <m:t>i</m:t>
          </m:r>
          <m:r>
            <m:rPr>
              <m:sty m:val="p"/>
            </m:rPr>
            <m:t>+</m:t>
          </m:r>
          <m:r>
            <m:t>m</m:t>
          </m:r>
          <m:r>
            <m:rPr>
              <m:sty m:val="p"/>
            </m:rPr>
            <m:t>,</m:t>
          </m:r>
          <m:r>
            <m:t> </m:t>
          </m:r>
          <m:r>
            <m:t>j</m:t>
          </m:r>
          <m:r>
            <m:rPr>
              <m:sty m:val="p"/>
            </m:rPr>
            <m:t>+</m:t>
          </m:r>
          <m:r>
            <m:t>n</m:t>
          </m:r>
          <m:r>
            <m:rPr>
              <m:sty m:val="p"/>
            </m:rPr>
            <m:t>)</m:t>
          </m:r>
          <m:r>
            <m:t> </m:t>
          </m:r>
          <m:r>
            <m:t>K</m:t>
          </m:r>
          <m:r>
            <m:rPr>
              <m:sty m:val="p"/>
            </m:rPr>
            <m:t>(</m:t>
          </m:r>
          <m:r>
            <m:t>m</m:t>
          </m:r>
          <m:r>
            <m:rPr>
              <m:sty m:val="p"/>
            </m:rPr>
            <m:t>,</m:t>
          </m:r>
          <m:r>
            <m:t>n</m:t>
          </m:r>
          <m:r>
            <m:rPr>
              <m:sty m:val="p"/>
            </m:rPr>
            <m:t>)</m:t>
          </m:r>
          <m:r>
            <m:t>  </m:t>
          </m:r>
          <m:r>
            <m:rPr>
              <m:sty m:val="p"/>
            </m:rPr>
            <m:t>(</m:t>
          </m:r>
          <m:r>
            <m:t>1</m:t>
          </m:r>
          <m:r>
            <m:rPr>
              <m:sty m:val="p"/>
            </m:rPr>
            <m:t>)</m:t>
          </m:r>
        </m:oMath>
      </m:oMathPara>
    </w:p>
    <w:p>
      <w:pPr>
        <w:pStyle w:val="FirstParagraph"/>
      </w:pPr>
      <w:r>
        <w:t xml:space="preserve">Here</w:t>
      </w:r>
      <w:r>
        <w:t xml:space="preserve"> </w:t>
      </w:r>
      <m:oMath>
        <m:r>
          <m:t>I</m:t>
        </m:r>
      </m:oMath>
      <w:r>
        <w:t xml:space="preserve"> </w:t>
      </w:r>
      <w:r>
        <w:t xml:space="preserve">is the input image (a two-dimensional array of pixel intensities),</w:t>
      </w:r>
      <w:r>
        <w:t xml:space="preserve"> </w:t>
      </w:r>
      <m:oMath>
        <m:r>
          <m:t>K</m:t>
        </m:r>
      </m:oMath>
      <w:r>
        <w:t xml:space="preserve"> </w:t>
      </w:r>
      <w:r>
        <w:t xml:space="preserve">is the kernel,</w:t>
      </w:r>
      <w:r>
        <w:t xml:space="preserve"> </w:t>
      </w:r>
      <m:oMath>
        <m:r>
          <m:rPr>
            <m:sty m:val="p"/>
          </m:rPr>
          <m:t>(</m:t>
        </m:r>
        <m:r>
          <m:t>i</m:t>
        </m:r>
        <m:r>
          <m:rPr>
            <m:sty m:val="p"/>
          </m:rPr>
          <m:t>,</m:t>
        </m:r>
        <m:r>
          <m:t>j</m:t>
        </m:r>
        <m:r>
          <m:rPr>
            <m:sty m:val="p"/>
          </m:rPr>
          <m:t>)</m:t>
        </m:r>
      </m:oMath>
      <w:r>
        <w:t xml:space="preserve"> </w:t>
      </w:r>
      <w:r>
        <w:t xml:space="preserve">is the output spatial location, and</w:t>
      </w:r>
      <w:r>
        <w:t xml:space="preserve"> </w:t>
      </w:r>
      <m:oMath>
        <m:r>
          <m:t>m</m:t>
        </m:r>
        <m:r>
          <m:rPr>
            <m:sty m:val="p"/>
          </m:rPr>
          <m:t>,</m:t>
        </m:r>
        <m:r>
          <m:t>n</m:t>
        </m:r>
      </m:oMath>
      <w:r>
        <w:t xml:space="preserve"> </w:t>
      </w:r>
      <w:r>
        <w:t xml:space="preserve">index positions within the kernel. The resulting array is a</w:t>
      </w:r>
      <w:r>
        <w:t xml:space="preserve"> </w:t>
      </w:r>
      <w:r>
        <w:rPr>
          <w:b/>
          <w:bCs/>
        </w:rPr>
        <w:t xml:space="preserve">feature map</w:t>
      </w:r>
      <w:r>
        <w:t xml:space="preserve">, an image in which each value records how strongly the kernel’s pattern (an edge, a corner, a serif) is present at that location. The region of the input that influences a single feature-map value is that value’s</w:t>
      </w:r>
      <w:r>
        <w:t xml:space="preserve"> </w:t>
      </w:r>
      <w:r>
        <w:rPr>
          <w:b/>
          <w:bCs/>
        </w:rPr>
        <w:t xml:space="preserve">receptive field</w:t>
      </w:r>
      <w:r>
        <w:t xml:space="preserve">; stacking convolutional layers enlarges the receptive field, so deeper layers respond to progressively larger and more abstract structures (Goodfellow, Bengio, &amp; Courville, 2016). The spatial size</w:t>
      </w:r>
      <w:r>
        <w:t xml:space="preserve"> </w:t>
      </w:r>
      <m:oMath>
        <m:r>
          <m:t>O</m:t>
        </m:r>
      </m:oMath>
      <w:r>
        <w:t xml:space="preserve"> </w:t>
      </w:r>
      <w:r>
        <w:t xml:space="preserve">of a feature map is determined by the input and kernel geometry:</w:t>
      </w:r>
    </w:p>
    <w:p>
      <w:pPr>
        <w:pStyle w:val="BodyText"/>
      </w:pPr>
      <m:oMathPara>
        <m:oMathParaPr>
          <m:jc m:val="center"/>
        </m:oMathParaPr>
        <m:oMath>
          <m:r>
            <m:t>O</m:t>
          </m:r>
          <m:r>
            <m:rPr>
              <m:sty m:val="p"/>
            </m:rPr>
            <m:t>=</m:t>
          </m:r>
          <m:d>
            <m:dPr>
              <m:begChr m:val="⌊"/>
              <m:sepChr m:val=""/>
              <m:endChr m:val="⌋"/>
              <m:grow/>
            </m:dPr>
            <m:e>
              <m:f>
                <m:fPr>
                  <m:type m:val="bar"/>
                </m:fPr>
                <m:num>
                  <m:r>
                    <m:t>W</m:t>
                  </m:r>
                  <m:r>
                    <m:rPr>
                      <m:sty m:val="p"/>
                    </m:rPr>
                    <m:t>−</m:t>
                  </m:r>
                  <m:r>
                    <m:t>F</m:t>
                  </m:r>
                  <m:r>
                    <m:rPr>
                      <m:sty m:val="p"/>
                    </m:rPr>
                    <m:t>+</m:t>
                  </m:r>
                  <m:r>
                    <m:t>2</m:t>
                  </m:r>
                  <m:r>
                    <m:t>P</m:t>
                  </m:r>
                </m:num>
                <m:den>
                  <m:r>
                    <m:t>S</m:t>
                  </m:r>
                </m:den>
              </m:f>
            </m:e>
          </m:d>
          <m:r>
            <m:rPr>
              <m:sty m:val="p"/>
            </m:rPr>
            <m:t>+</m:t>
          </m:r>
          <m:r>
            <m:t>1</m:t>
          </m:r>
          <m:r>
            <m:t>  </m:t>
          </m:r>
          <m:r>
            <m:rPr>
              <m:sty m:val="p"/>
            </m:rPr>
            <m:t>(</m:t>
          </m:r>
          <m:r>
            <m:t>2</m:t>
          </m:r>
          <m:r>
            <m:rPr>
              <m:sty m:val="p"/>
            </m:rPr>
            <m:t>)</m:t>
          </m:r>
        </m:oMath>
      </m:oMathPara>
    </w:p>
    <w:p>
      <w:pPr>
        <w:pStyle w:val="FirstParagraph"/>
      </w:pPr>
      <w:r>
        <w:t xml:space="preserve">where</w:t>
      </w:r>
      <w:r>
        <w:t xml:space="preserve"> </w:t>
      </w:r>
      <m:oMath>
        <m:r>
          <m:t>W</m:t>
        </m:r>
      </m:oMath>
      <w:r>
        <w:t xml:space="preserve"> </w:t>
      </w:r>
      <w:r>
        <w:t xml:space="preserve">is the input width (in pixels),</w:t>
      </w:r>
      <w:r>
        <w:t xml:space="preserve"> </w:t>
      </w:r>
      <m:oMath>
        <m:r>
          <m:t>F</m:t>
        </m:r>
      </m:oMath>
      <w:r>
        <w:t xml:space="preserve"> </w:t>
      </w:r>
      <w:r>
        <w:t xml:space="preserve">is the kernel size,</w:t>
      </w:r>
      <w:r>
        <w:t xml:space="preserve"> </w:t>
      </w:r>
      <m:oMath>
        <m:r>
          <m:t>P</m:t>
        </m:r>
      </m:oMath>
      <w:r>
        <w:t xml:space="preserve"> </w:t>
      </w:r>
      <w:r>
        <w:t xml:space="preserve">is the amount of zero-padding added to the border,</w:t>
      </w:r>
      <w:r>
        <w:t xml:space="preserve"> </w:t>
      </w:r>
      <m:oMath>
        <m:r>
          <m:t>S</m:t>
        </m:r>
      </m:oMath>
      <w:r>
        <w:t xml:space="preserve"> </w:t>
      </w:r>
      <w:r>
        <w:t xml:space="preserve">is the</w:t>
      </w:r>
      <w:r>
        <w:t xml:space="preserve"> </w:t>
      </w:r>
      <w:r>
        <w:rPr>
          <w:b/>
          <w:bCs/>
        </w:rPr>
        <w:t xml:space="preserve">stride</w:t>
      </w:r>
      <w:r>
        <w:t xml:space="preserve"> </w:t>
      </w:r>
      <w:r>
        <w:t xml:space="preserve">(the step size between kernel positions), and</w:t>
      </w:r>
      <w:r>
        <w:t xml:space="preserve"> </w:t>
      </w:r>
      <m:oMath>
        <m:r>
          <m:rPr>
            <m:sty m:val="p"/>
          </m:rPr>
          <m:t>⌊</m:t>
        </m:r>
        <m:r>
          <m:rPr>
            <m:sty m:val="p"/>
          </m:rPr>
          <m:t>⋅</m:t>
        </m:r>
        <m:r>
          <m:rPr>
            <m:sty m:val="p"/>
          </m:rPr>
          <m:t>⌋</m:t>
        </m:r>
      </m:oMath>
      <w:r>
        <w:t xml:space="preserve"> </w:t>
      </w:r>
      <w:r>
        <w:t xml:space="preserve">denotes the floor function. Between convolutional layers,</w:t>
      </w:r>
      <w:r>
        <w:t xml:space="preserve"> </w:t>
      </w:r>
      <w:r>
        <w:rPr>
          <w:b/>
          <w:bCs/>
        </w:rPr>
        <w:t xml:space="preserve">pooling</w:t>
      </w:r>
      <w:r>
        <w:t xml:space="preserve"> </w:t>
      </w:r>
      <w:r>
        <w:t xml:space="preserve">downsamples each feature map, usually by taking the maximum value in each small window, which shrinks the representation and grants tolerance to small shifts in glyph position (Sarker, 2021). Figure 2 presents this convolution-pooling-classification pipeline.</w:t>
      </w:r>
    </w:p>
    <w:p>
      <w:pPr>
        <w:pStyle w:val="BodyText"/>
        <w:keepNext/>
      </w:pPr>
      <w:r>
        <w:rPr>
          <w:b/>
          <w:bCs/>
        </w:rPr>
        <w:t xml:space="preserve">Figure 2</w:t>
      </w:r>
    </w:p>
    <w:p>
      <w:pPr>
        <w:pStyle w:val="BodyText"/>
        <w:keepNext/>
      </w:pPr>
      <w:r>
        <w:rPr>
          <w:i/>
          <w:iCs/>
        </w:rPr>
        <w:t xml:space="preserve">Simplified Architecture of a Convolutional Neural Network</w:t>
      </w:r>
    </w:p>
    <w:p>
      <w:pPr>
        <w:pStyle w:val="CaptionedFigure"/>
        <w:keepNext/>
      </w:pPr>
      <w:r>
        <w:drawing>
          <wp:inline>
            <wp:extent cx="5334000" cy="2347029"/>
            <wp:effectExtent b="0" l="0" r="0" t="0"/>
            <wp:docPr descr="Block diagram of a CNN showing successive convolution and pooling layers feeding a fully connected classification block" title="" id="34" name="Picture"/>
            <a:graphic>
              <a:graphicData uri="http://schemas.openxmlformats.org/drawingml/2006/picture">
                <pic:pic>
                  <pic:nvPicPr>
                    <pic:cNvPr descr="assets/figures/cnn_block.png" id="35" name="Picture"/>
                    <pic:cNvPicPr>
                      <a:picLocks noChangeArrowheads="1" noChangeAspect="1"/>
                    </pic:cNvPicPr>
                  </pic:nvPicPr>
                  <pic:blipFill>
                    <a:blip r:embed="rId33"/>
                    <a:stretch>
                      <a:fillRect/>
                    </a:stretch>
                  </pic:blipFill>
                  <pic:spPr bwMode="auto">
                    <a:xfrm>
                      <a:off x="0" y="0"/>
                      <a:ext cx="5334000" cy="2347029"/>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Adapted from LeCun, Bengio, and Hinton (2015) and Goodfellow, Bengio, and Courville (2016).</w:t>
      </w:r>
    </w:p>
    <w:p>
      <w:pPr>
        <w:pStyle w:val="BodyText"/>
      </w:pPr>
      <w:r>
        <w:t xml:space="preserve">As shown in Figure 2, a CNN processes an image through successive convolution and pooling stages before a fully connected block. This staged processing produces the hierarchical feature learning on which later chapters depend.</w:t>
      </w:r>
    </w:p>
    <w:p>
      <w:pPr>
        <w:pStyle w:val="Heading3"/>
      </w:pPr>
      <w:r>
        <w:t xml:space="preserve">3.2.3 Typographic Hallucination</w:t>
      </w:r>
    </w:p>
    <w:p>
      <w:pPr>
        <w:pStyle w:val="FirstParagraph"/>
      </w:pPr>
      <w:r>
        <w:t xml:space="preserve">The input distribution this thesis targets is not clean type but</w:t>
      </w:r>
      <w:r>
        <w:t xml:space="preserve"> </w:t>
      </w:r>
      <w:r>
        <w:rPr>
          <w:b/>
          <w:bCs/>
        </w:rPr>
        <w:t xml:space="preserve">typographic hallucination</w:t>
      </w:r>
      <w:r>
        <w:t xml:space="preserve">: the probabilistic glyph deformation introduced when generative AI image models render text, including micro-warping, elastic distortion, and variable kerning (inconsistent spacing between characters). Kondo et al. (2024) demonstrate that diffusion models natively emit novel, unclassified glyph geometries when interpolating in latent space. This establishes that the deformations are an intrinsic output of the model class rather than an occasional artifact. To make this precise, hallucination is modeled here as a</w:t>
      </w:r>
      <w:r>
        <w:t xml:space="preserve"> </w:t>
      </w:r>
      <w:r>
        <w:rPr>
          <w:b/>
          <w:bCs/>
        </w:rPr>
        <w:t xml:space="preserve">degradation operator</w:t>
      </w:r>
      <w:r>
        <w:t xml:space="preserve"> </w:t>
      </w:r>
      <m:oMath>
        <m:r>
          <m:t>D</m:t>
        </m:r>
      </m:oMath>
      <w:r>
        <w:t xml:space="preserve"> </w:t>
      </w:r>
      <w:r>
        <w:t xml:space="preserve">applied to a pristine glyph crop:</w:t>
      </w:r>
    </w:p>
    <w:p>
      <w:pPr>
        <w:pStyle w:val="BodyText"/>
      </w:pPr>
      <m:oMathPara>
        <m:oMathParaPr>
          <m:jc m:val="center"/>
        </m:oMathParaPr>
        <m:oMath>
          <m:acc>
            <m:accPr>
              <m:chr m:val="̃"/>
            </m:accPr>
            <m:e>
              <m:r>
                <m:t>x</m:t>
              </m:r>
            </m:e>
          </m:acc>
          <m:r>
            <m:rPr>
              <m:sty m:val="p"/>
            </m:rPr>
            <m:t>=</m:t>
          </m:r>
          <m:r>
            <m:t>D</m:t>
          </m:r>
          <m:d>
            <m:dPr>
              <m:begChr m:val="("/>
              <m:sepChr m:val=""/>
              <m:endChr m:val=")"/>
              <m:grow/>
            </m:dPr>
            <m:e>
              <m:r>
                <m:t>x</m:t>
              </m:r>
              <m:r>
                <m:rPr>
                  <m:sty m:val="p"/>
                </m:rPr>
                <m:t>;</m:t>
              </m:r>
              <m:r>
                <m:t> </m:t>
              </m:r>
              <m:sSub>
                <m:e>
                  <m:r>
                    <m:t>θ</m:t>
                  </m:r>
                </m:e>
                <m:sub>
                  <m:r>
                    <m:rPr>
                      <m:nor/>
                      <m:sty m:val="p"/>
                    </m:rPr>
                    <m:t>warp</m:t>
                  </m:r>
                </m:sub>
              </m:sSub>
              <m:r>
                <m:rPr>
                  <m:sty m:val="p"/>
                </m:rPr>
                <m:t>,</m:t>
              </m:r>
              <m:r>
                <m:t> </m:t>
              </m:r>
              <m:sSub>
                <m:e>
                  <m:r>
                    <m:t>θ</m:t>
                  </m:r>
                </m:e>
                <m:sub>
                  <m:r>
                    <m:rPr>
                      <m:nor/>
                      <m:sty m:val="p"/>
                    </m:rPr>
                    <m:t>blur</m:t>
                  </m:r>
                </m:sub>
              </m:sSub>
              <m:r>
                <m:rPr>
                  <m:sty m:val="p"/>
                </m:rPr>
                <m:t>,</m:t>
              </m:r>
              <m:r>
                <m:t> </m:t>
              </m:r>
              <m:sSub>
                <m:e>
                  <m:r>
                    <m:t>θ</m:t>
                  </m:r>
                </m:e>
                <m:sub>
                  <m:r>
                    <m:rPr>
                      <m:nor/>
                      <m:sty m:val="p"/>
                    </m:rPr>
                    <m:t>kern</m:t>
                  </m:r>
                </m:sub>
              </m:sSub>
            </m:e>
          </m:d>
          <m:r>
            <m:t>  </m:t>
          </m:r>
          <m:r>
            <m:rPr>
              <m:sty m:val="p"/>
            </m:rPr>
            <m:t>(</m:t>
          </m:r>
          <m:r>
            <m:t>3</m:t>
          </m:r>
          <m:r>
            <m:rPr>
              <m:sty m:val="p"/>
            </m:rPr>
            <m:t>)</m:t>
          </m:r>
        </m:oMath>
      </m:oMathPara>
    </w:p>
    <w:p>
      <w:pPr>
        <w:pStyle w:val="FirstParagraph"/>
      </w:pPr>
      <w:r>
        <w:t xml:space="preserve">where</w:t>
      </w:r>
      <w:r>
        <w:t xml:space="preserve"> </w:t>
      </w:r>
      <m:oMath>
        <m:r>
          <m:t>x</m:t>
        </m:r>
      </m:oMath>
      <w:r>
        <w:t xml:space="preserve"> </w:t>
      </w:r>
      <w:r>
        <w:t xml:space="preserve">is the clean rendered crop,</w:t>
      </w:r>
      <w:r>
        <w:t xml:space="preserve"> </w:t>
      </w:r>
      <m:oMath>
        <m:acc>
          <m:accPr>
            <m:chr m:val="̃"/>
          </m:accPr>
          <m:e>
            <m:r>
              <m:t>x</m:t>
            </m:r>
          </m:e>
        </m:acc>
      </m:oMath>
      <w:r>
        <w:t xml:space="preserve"> </w:t>
      </w:r>
      <w:r>
        <w:t xml:space="preserve">is the resulting hallucinated crop, and</w:t>
      </w:r>
      <w:r>
        <w:t xml:space="preserve"> </w:t>
      </w:r>
      <m:oMath>
        <m:r>
          <m:t>D</m:t>
        </m:r>
      </m:oMath>
      <w:r>
        <w:t xml:space="preserve"> </w:t>
      </w:r>
      <w:r>
        <w:t xml:space="preserve">composes three parameterized corruptions: an elastic</w:t>
      </w:r>
      <w:r>
        <w:t xml:space="preserve"> </w:t>
      </w:r>
      <w:r>
        <w:rPr>
          <w:b/>
          <w:bCs/>
        </w:rPr>
        <w:t xml:space="preserve">warp</w:t>
      </w:r>
      <w:r>
        <w:t xml:space="preserve"> </w:t>
      </w:r>
      <w:r>
        <w:t xml:space="preserve">(governed by</w:t>
      </w:r>
      <w:r>
        <w:t xml:space="preserve"> </w:t>
      </w:r>
      <m:oMath>
        <m:sSub>
          <m:e>
            <m:r>
              <m:t>θ</m:t>
            </m:r>
          </m:e>
          <m:sub>
            <m:r>
              <m:rPr>
                <m:nor/>
                <m:sty m:val="p"/>
              </m:rPr>
              <m:t>warp</m:t>
            </m:r>
          </m:sub>
        </m:sSub>
      </m:oMath>
      <w:r>
        <w:t xml:space="preserve">),</w:t>
      </w:r>
      <w:r>
        <w:t xml:space="preserve"> </w:t>
      </w:r>
      <w:r>
        <w:rPr>
          <w:b/>
          <w:bCs/>
        </w:rPr>
        <w:t xml:space="preserve">Gaussian blur and noise</w:t>
      </w:r>
      <w:r>
        <w:t xml:space="preserve"> </w:t>
      </w:r>
      <w:r>
        <w:t xml:space="preserve">(</w:t>
      </w:r>
      <m:oMath>
        <m:sSub>
          <m:e>
            <m:r>
              <m:t>θ</m:t>
            </m:r>
          </m:e>
          <m:sub>
            <m:r>
              <m:rPr>
                <m:nor/>
                <m:sty m:val="p"/>
              </m:rPr>
              <m:t>blur</m:t>
            </m:r>
          </m:sub>
        </m:sSub>
      </m:oMath>
      <w:r>
        <w:t xml:space="preserve">), and</w:t>
      </w:r>
      <w:r>
        <w:t xml:space="preserve"> </w:t>
      </w:r>
      <w:r>
        <w:rPr>
          <w:b/>
          <w:bCs/>
        </w:rPr>
        <w:t xml:space="preserve">kerning jitter</w:t>
      </w:r>
      <w:r>
        <w:t xml:space="preserve"> </w:t>
      </w:r>
      <w:r>
        <w:t xml:space="preserve">(</w:t>
      </w:r>
      <m:oMath>
        <m:sSub>
          <m:e>
            <m:r>
              <m:t>θ</m:t>
            </m:r>
          </m:e>
          <m:sub>
            <m:r>
              <m:rPr>
                <m:nor/>
                <m:sty m:val="p"/>
              </m:rPr>
              <m:t>kern</m:t>
            </m:r>
          </m:sub>
        </m:sSub>
      </m:oMath>
      <w:r>
        <w:t xml:space="preserve">). This operator, illustrated in Figure 3, is the formal object the synthetic-data pipeline of Chapter 4 will instantiate to train a deformation-robust recognizer. Modeling degradation as controlled, layered augmentation follows established practice: Plastropoulos and Tegos (2024) show that combining such transformations with deep feature extraction forces networks to learn resilient, continuous shape boundaries.</w:t>
      </w:r>
    </w:p>
    <w:p>
      <w:pPr>
        <w:pStyle w:val="BodyText"/>
        <w:keepNext/>
      </w:pPr>
      <w:r>
        <w:rPr>
          <w:b/>
          <w:bCs/>
        </w:rPr>
        <w:t xml:space="preserve">Figure 3</w:t>
      </w:r>
    </w:p>
    <w:p>
      <w:pPr>
        <w:pStyle w:val="BodyText"/>
        <w:keepNext/>
      </w:pPr>
      <w:r>
        <w:rPr>
          <w:i/>
          <w:iCs/>
        </w:rPr>
        <w:t xml:space="preserve">The Typographic-Hallucination Degradation Pipeline</w:t>
      </w:r>
    </w:p>
    <w:p>
      <w:pPr>
        <w:pStyle w:val="CaptionedFigure"/>
      </w:pPr>
      <w:r>
        <w:drawing>
          <wp:inline>
            <wp:extent cx="4740200" cy="9376422"/>
            <wp:effectExtent b="0" l="0" r="0" t="0"/>
            <wp:docPr descr="Degradation pipeline transforming a clean glyph through elastic warp, then Gaussian blur and noise, then kerning jitter" title="" id="38" name="Picture"/>
            <a:graphic>
              <a:graphicData uri="http://schemas.openxmlformats.org/drawingml/2006/picture">
                <pic:pic>
                  <pic:nvPicPr>
                    <pic:cNvPr descr="assets/figures/degradation_pipeline.png" id="39" name="Picture"/>
                    <pic:cNvPicPr>
                      <a:picLocks noChangeArrowheads="1" noChangeAspect="1"/>
                    </pic:cNvPicPr>
                  </pic:nvPicPr>
                  <pic:blipFill>
                    <a:blip r:embed="rId37"/>
                    <a:stretch>
                      <a:fillRect/>
                    </a:stretch>
                  </pic:blipFill>
                  <pic:spPr bwMode="auto">
                    <a:xfrm>
                      <a:off x="0" y="0"/>
                      <a:ext cx="4740200" cy="9376422"/>
                    </a:xfrm>
                    <a:prstGeom prst="rect">
                      <a:avLst/>
                    </a:prstGeom>
                    <a:noFill/>
                    <a:ln w="9525">
                      <a:noFill/>
                      <a:headEnd/>
                      <a:tailEnd/>
                    </a:ln>
                  </pic:spPr>
                </pic:pic>
              </a:graphicData>
            </a:graphic>
          </wp:inline>
        </w:drawing>
      </w:r>
    </w:p>
    <w:p>
      <w:pPr>
        <w:pStyle w:val="BodyText"/>
      </w:pPr>
      <w:r>
        <w:t xml:space="preserve">As shown in Figure 3, each stage of</w:t>
      </w:r>
      <w:r>
        <w:t xml:space="preserve"> </w:t>
      </w:r>
      <m:oMath>
        <m:r>
          <m:t>D</m:t>
        </m:r>
      </m:oMath>
      <w:r>
        <w:t xml:space="preserve"> </w:t>
      </w:r>
      <w:r>
        <w:t xml:space="preserve">moves the glyph further from its pristine form and reproduces the exact deformations that cause commercial font identifiers to fail.</w:t>
      </w:r>
    </w:p>
    <w:p>
      <w:pPr>
        <w:pStyle w:val="Heading3"/>
      </w:pPr>
      <w:r>
        <w:t xml:space="preserve">3.2.4 Embedding Spaces</w:t>
      </w:r>
    </w:p>
    <w:p>
      <w:pPr>
        <w:pStyle w:val="FirstParagraph"/>
      </w:pPr>
      <w:r>
        <w:t xml:space="preserve">Rather than emit a single hard label, the framework maps each crop into an</w:t>
      </w:r>
      <w:r>
        <w:t xml:space="preserve"> </w:t>
      </w:r>
      <w:r>
        <w:rPr>
          <w:b/>
          <w:bCs/>
        </w:rPr>
        <w:t xml:space="preserve">embedding</w:t>
      </w:r>
      <w:r>
        <w:t xml:space="preserve">: a fixed-length vector of real numbers, produced by a deep network, that summarizes the visual content of the input. The set of all such vectors forms an</w:t>
      </w:r>
      <w:r>
        <w:t xml:space="preserve"> </w:t>
      </w:r>
      <w:r>
        <w:rPr>
          <w:b/>
          <w:bCs/>
        </w:rPr>
        <w:t xml:space="preserve">embedding space</w:t>
      </w:r>
      <w:r>
        <w:t xml:space="preserve">, a continuous geometric space in which proximity encodes similarity, so that crops set in the same typeface should land close together and crops from different typefaces far apart (LeCun, Bengio, &amp; Hinton, 2015). Representing fonts as points in a continuous space, rather than as entries in a fixed list, is what allows a hallucinated crop to be placed</w:t>
      </w:r>
      <w:r>
        <w:t xml:space="preserve"> </w:t>
      </w:r>
      <w:r>
        <w:rPr>
          <w:i/>
          <w:iCs/>
        </w:rPr>
        <w:t xml:space="preserve">near</w:t>
      </w:r>
      <w:r>
        <w:t xml:space="preserve"> </w:t>
      </w:r>
      <w:r>
        <w:t xml:space="preserve">its source typeface even when it matches none exactly. This is the property that the next section’s theoretical foundations formalize.</w:t>
      </w:r>
    </w:p>
    <w:p>
      <w:pPr>
        <w:pStyle w:val="Heading2"/>
      </w:pPr>
      <w:r>
        <w:t xml:space="preserve">3.3 Theoretical Foundations</w:t>
      </w:r>
    </w:p>
    <w:p>
      <w:pPr>
        <w:pStyle w:val="FirstParagraph"/>
      </w:pPr>
      <w:r>
        <w:t xml:space="preserve">Having defined the visual objects and the network that reads them, this section develops the mathematics that turns embeddings into decisions. It moves from the general question of how a model can be trained at all to the two specific mechanisms this thesis assembles:</w:t>
      </w:r>
      <w:r>
        <w:t xml:space="preserve"> </w:t>
      </w:r>
      <w:r>
        <w:rPr>
          <w:b/>
          <w:bCs/>
        </w:rPr>
        <w:t xml:space="preserve">metric learning</w:t>
      </w:r>
      <w:r>
        <w:t xml:space="preserve">, which shapes the embedding space so that distance means typographic similarity, and</w:t>
      </w:r>
      <w:r>
        <w:t xml:space="preserve"> </w:t>
      </w:r>
      <w:r>
        <w:rPr>
          <w:b/>
          <w:bCs/>
        </w:rPr>
        <w:t xml:space="preserve">open-set recognition</w:t>
      </w:r>
      <w:r>
        <w:t xml:space="preserve">, which lets the system refuse to answer when a crop belongs to no known font.</w:t>
      </w:r>
    </w:p>
    <w:p>
      <w:pPr>
        <w:pStyle w:val="Heading3"/>
      </w:pPr>
      <w:r>
        <w:t xml:space="preserve">3.3.1 Learning Paradigms</w:t>
      </w:r>
    </w:p>
    <w:p>
      <w:pPr>
        <w:pStyle w:val="FirstParagraph"/>
      </w:pPr>
      <w:r>
        <w:t xml:space="preserve">A deep network is trained by minimizing a</w:t>
      </w:r>
      <w:r>
        <w:t xml:space="preserve"> </w:t>
      </w:r>
      <w:r>
        <w:rPr>
          <w:b/>
          <w:bCs/>
        </w:rPr>
        <w:t xml:space="preserve">loss function</w:t>
      </w:r>
      <w:r>
        <w:t xml:space="preserve">, a scalar-valued function that measures the gap between the model’s output and the desired output; optimization adjusts the network’s weights to make this quantity small. How the desired output is supplied defines the learning paradigm. In</w:t>
      </w:r>
      <w:r>
        <w:t xml:space="preserve"> </w:t>
      </w:r>
      <w:r>
        <w:rPr>
          <w:b/>
          <w:bCs/>
        </w:rPr>
        <w:t xml:space="preserve">supervised learning</w:t>
      </w:r>
      <w:r>
        <w:t xml:space="preserve">, every training image carries a</w:t>
      </w:r>
      <w:r>
        <w:t xml:space="preserve"> </w:t>
      </w:r>
      <w:r>
        <w:rPr>
          <w:b/>
          <w:bCs/>
        </w:rPr>
        <w:t xml:space="preserve">label</w:t>
      </w:r>
      <w:r>
        <w:t xml:space="preserve"> </w:t>
      </w:r>
      <w:r>
        <w:t xml:space="preserve">(a human-assigned ground-truth answer, such as the font name), and the loss penalizes disagreement between prediction and label (Sarker, 2021). In</w:t>
      </w:r>
      <w:r>
        <w:t xml:space="preserve"> </w:t>
      </w:r>
      <w:r>
        <w:rPr>
          <w:b/>
          <w:bCs/>
        </w:rPr>
        <w:t xml:space="preserve">unsupervised learning</w:t>
      </w:r>
      <w:r>
        <w:t xml:space="preserve"> </w:t>
      </w:r>
      <w:r>
        <w:t xml:space="preserve">no labels exist, and the model must discover structure, such as clusters or densities, from the raw inputs alone.</w:t>
      </w:r>
      <w:r>
        <w:t xml:space="preserve"> </w:t>
      </w:r>
      <w:r>
        <w:rPr>
          <w:b/>
          <w:bCs/>
        </w:rPr>
        <w:t xml:space="preserve">Self-supervised learning</w:t>
      </w:r>
      <w:r>
        <w:t xml:space="preserve"> </w:t>
      </w:r>
      <w:r>
        <w:t xml:space="preserve">occupies the middle ground: it manufactures a supervisory signal from the data itself, for instance by asking the network to make two augmented views of one image agree, and so gains the benefits of supervision without manual annotation. This distinction matters here because in-the-wild generative-AI crops arrive without font labels, which pushes the thesis toward metric and self-supervised formulations rather than a purely supervised classifier.</w:t>
      </w:r>
    </w:p>
    <w:p>
      <w:pPr>
        <w:pStyle w:val="Heading3"/>
      </w:pPr>
      <w:r>
        <w:t xml:space="preserve">3.3.2 Metric Learning and Embedding Distance</w:t>
      </w:r>
    </w:p>
    <w:p>
      <w:pPr>
        <w:pStyle w:val="FirstParagraph"/>
      </w:pPr>
      <w:r>
        <w:rPr>
          <w:b/>
          <w:bCs/>
        </w:rPr>
        <w:t xml:space="preserve">Metric learning</w:t>
      </w:r>
      <w:r>
        <w:t xml:space="preserve"> </w:t>
      </w:r>
      <w:r>
        <w:t xml:space="preserve">is the family of methods that trains an</w:t>
      </w:r>
      <w:r>
        <w:t xml:space="preserve"> </w:t>
      </w:r>
      <w:r>
        <w:rPr>
          <w:b/>
          <w:bCs/>
        </w:rPr>
        <w:t xml:space="preserve">embedding function</w:t>
      </w:r>
      <w:r>
        <w:t xml:space="preserve"> </w:t>
      </w:r>
      <m:oMath>
        <m:sSub>
          <m:e>
            <m:r>
              <m:t>f</m:t>
            </m:r>
          </m:e>
          <m:sub>
            <m:r>
              <m:t>θ</m:t>
            </m:r>
          </m:sub>
        </m:sSub>
      </m:oMath>
      <w:r>
        <w:t xml:space="preserve"> </w:t>
      </w:r>
      <w:r>
        <w:t xml:space="preserve">(a network, with parameters</w:t>
      </w:r>
      <w:r>
        <w:t xml:space="preserve"> </w:t>
      </w:r>
      <m:oMath>
        <m:r>
          <m:t>θ</m:t>
        </m:r>
      </m:oMath>
      <w:r>
        <w:t xml:space="preserve">, that maps an input crop to a vector) so that geometric distance in the output space corresponds to semantic similarity (Schroff, Kalenichenko, &amp; Philbin, 2015). Two distances are used to compare embeddings. The</w:t>
      </w:r>
      <w:r>
        <w:t xml:space="preserve"> </w:t>
      </w:r>
      <w:r>
        <w:rPr>
          <w:b/>
          <w:bCs/>
        </w:rPr>
        <w:t xml:space="preserve">Euclidean distance</w:t>
      </w:r>
      <w:r>
        <w:t xml:space="preserve"> </w:t>
      </w:r>
      <w:r>
        <w:t xml:space="preserve">between two crops</w:t>
      </w:r>
      <w:r>
        <w:t xml:space="preserve"> </w:t>
      </w:r>
      <m:oMath>
        <m:r>
          <m:t>a</m:t>
        </m:r>
      </m:oMath>
      <w:r>
        <w:t xml:space="preserve"> </w:t>
      </w:r>
      <w:r>
        <w:t xml:space="preserve">and</w:t>
      </w:r>
      <w:r>
        <w:t xml:space="preserve"> </w:t>
      </w:r>
      <m:oMath>
        <m:r>
          <m:t>b</m:t>
        </m:r>
      </m:oMath>
      <w:r>
        <w:t xml:space="preserve"> </w:t>
      </w:r>
      <w:r>
        <w:t xml:space="preserve">is</w:t>
      </w:r>
    </w:p>
    <w:p>
      <w:pPr>
        <w:pStyle w:val="BodyText"/>
      </w:pPr>
      <m:oMathPara>
        <m:oMathParaPr>
          <m:jc m:val="center"/>
        </m:oMathParaPr>
        <m:oMath>
          <m:r>
            <m:t>d</m:t>
          </m:r>
          <m:r>
            <m:rPr>
              <m:sty m:val="p"/>
            </m:rPr>
            <m:t>(</m:t>
          </m:r>
          <m:r>
            <m:t>a</m:t>
          </m:r>
          <m:r>
            <m:rPr>
              <m:sty m:val="p"/>
            </m:rPr>
            <m:t>,</m:t>
          </m:r>
          <m:r>
            <m:t>b</m:t>
          </m:r>
          <m:r>
            <m:rPr>
              <m:sty m:val="p"/>
            </m:rPr>
            <m:t>)</m:t>
          </m:r>
          <m:r>
            <m:rPr>
              <m:sty m:val="p"/>
            </m:rPr>
            <m:t>=</m:t>
          </m:r>
          <m:sSub>
            <m:e>
              <m:d>
                <m:dPr>
                  <m:begChr m:val="‖"/>
                  <m:sepChr m:val=""/>
                  <m:endChr m:val="‖"/>
                  <m:grow/>
                </m:dPr>
                <m:e>
                  <m:r>
                    <m:t>f</m:t>
                  </m:r>
                  <m:r>
                    <m:rPr>
                      <m:sty m:val="p"/>
                    </m:rPr>
                    <m:t>(</m:t>
                  </m:r>
                  <m:r>
                    <m:t>a</m:t>
                  </m:r>
                  <m:r>
                    <m:rPr>
                      <m:sty m:val="p"/>
                    </m:rPr>
                    <m:t>)</m:t>
                  </m:r>
                  <m:r>
                    <m:rPr>
                      <m:sty m:val="p"/>
                    </m:rPr>
                    <m:t>−</m:t>
                  </m:r>
                  <m:r>
                    <m:t>f</m:t>
                  </m:r>
                  <m:r>
                    <m:rPr>
                      <m:sty m:val="p"/>
                    </m:rPr>
                    <m:t>(</m:t>
                  </m:r>
                  <m:r>
                    <m:t>b</m:t>
                  </m:r>
                  <m:r>
                    <m:rPr>
                      <m:sty m:val="p"/>
                    </m:rPr>
                    <m:t>)</m:t>
                  </m:r>
                </m:e>
              </m:d>
            </m:e>
            <m:sub>
              <m:r>
                <m:t>2</m:t>
              </m:r>
            </m:sub>
          </m:sSub>
          <m:r>
            <m:rPr>
              <m:sty m:val="p"/>
            </m:rPr>
            <m:t>,</m:t>
          </m:r>
          <m:r>
            <m:t>  </m:t>
          </m:r>
          <m:r>
            <m:rPr>
              <m:sty m:val="p"/>
            </m:rPr>
            <m:t>(</m:t>
          </m:r>
          <m:r>
            <m:t>4</m:t>
          </m:r>
          <m:r>
            <m:rPr>
              <m:sty m:val="p"/>
            </m:rPr>
            <m:t>)</m:t>
          </m:r>
        </m:oMath>
      </m:oMathPara>
    </w:p>
    <w:p>
      <w:pPr>
        <w:pStyle w:val="FirstParagraph"/>
      </w:pPr>
      <w:r>
        <w:t xml:space="preserve">where</w:t>
      </w:r>
      <w:r>
        <w:t xml:space="preserve"> </w:t>
      </w:r>
      <m:oMath>
        <m:r>
          <m:t>f</m:t>
        </m:r>
        <m:r>
          <m:rPr>
            <m:sty m:val="p"/>
          </m:rPr>
          <m:t>(</m:t>
        </m:r>
        <m:r>
          <m:t>a</m:t>
        </m:r>
        <m:r>
          <m:rPr>
            <m:sty m:val="p"/>
          </m:rPr>
          <m:t>)</m:t>
        </m:r>
      </m:oMath>
      <w:r>
        <w:t xml:space="preserve"> </w:t>
      </w:r>
      <w:r>
        <w:t xml:space="preserve">and</w:t>
      </w:r>
      <w:r>
        <w:t xml:space="preserve"> </w:t>
      </w:r>
      <m:oMath>
        <m:r>
          <m:t>f</m:t>
        </m:r>
        <m:r>
          <m:rPr>
            <m:sty m:val="p"/>
          </m:rPr>
          <m:t>(</m:t>
        </m:r>
        <m:r>
          <m:t>b</m:t>
        </m:r>
        <m:r>
          <m:rPr>
            <m:sty m:val="p"/>
          </m:rPr>
          <m:t>)</m:t>
        </m:r>
      </m:oMath>
      <w:r>
        <w:t xml:space="preserve"> </w:t>
      </w:r>
      <w:r>
        <w:t xml:space="preserve">are their embedding vectors and</w:t>
      </w:r>
      <w:r>
        <w:t xml:space="preserve"> </w:t>
      </w:r>
      <m:oMath>
        <m:sSub>
          <m:e>
            <m:d>
              <m:dPr>
                <m:begChr m:val="‖"/>
                <m:sepChr m:val=""/>
                <m:endChr m:val="‖"/>
                <m:grow/>
              </m:dPr>
              <m:e>
                <m:r>
                  <m:rPr>
                    <m:sty m:val="p"/>
                  </m:rPr>
                  <m:t>⋅</m:t>
                </m:r>
              </m:e>
            </m:d>
          </m:e>
          <m:sub>
            <m:r>
              <m:t>2</m:t>
            </m:r>
          </m:sub>
        </m:sSub>
      </m:oMath>
      <w:r>
        <w:t xml:space="preserve"> </w:t>
      </w:r>
      <w:r>
        <w:t xml:space="preserve">is the</w:t>
      </w:r>
      <w:r>
        <w:t xml:space="preserve"> </w:t>
      </w:r>
      <m:oMath>
        <m:sSup>
          <m:e>
            <m:r>
              <m:t>L</m:t>
            </m:r>
          </m:e>
          <m:sup>
            <m:r>
              <m:t>2</m:t>
            </m:r>
          </m:sup>
        </m:sSup>
      </m:oMath>
      <w:r>
        <w:t xml:space="preserve"> </w:t>
      </w:r>
      <w:r>
        <w:t xml:space="preserve">(straight-line) norm; smaller</w:t>
      </w:r>
      <w:r>
        <w:t xml:space="preserve"> </w:t>
      </w:r>
      <m:oMath>
        <m:r>
          <m:t>d</m:t>
        </m:r>
      </m:oMath>
      <w:r>
        <w:t xml:space="preserve"> </w:t>
      </w:r>
      <w:r>
        <w:t xml:space="preserve">means greater similarity.</w:t>
      </w:r>
      <w:r>
        <w:t xml:space="preserve"> </w:t>
      </w:r>
      <w:r>
        <w:rPr>
          <w:b/>
          <w:bCs/>
        </w:rPr>
        <w:t xml:space="preserve">Cosine similarity</w:t>
      </w:r>
      <w:r>
        <w:t xml:space="preserve"> </w:t>
      </w:r>
      <w:r>
        <w:t xml:space="preserve">instead measures the angle between the two vectors,</w:t>
      </w:r>
    </w:p>
    <w:p>
      <w:pPr>
        <w:pStyle w:val="BodyText"/>
      </w:pPr>
      <m:oMathPara>
        <m:oMathParaPr>
          <m:jc m:val="center"/>
        </m:oMathParaPr>
        <m:oMath>
          <m:r>
            <m:rPr>
              <m:sty m:val="p"/>
            </m:rPr>
            <m:t>cos</m:t>
          </m:r>
          <m:r>
            <m:rPr>
              <m:sty m:val="p"/>
            </m:rPr>
            <m:t>(</m:t>
          </m:r>
          <m:r>
            <m:t>a</m:t>
          </m:r>
          <m:r>
            <m:rPr>
              <m:sty m:val="p"/>
            </m:rPr>
            <m:t>,</m:t>
          </m:r>
          <m:r>
            <m:t>b</m:t>
          </m:r>
          <m:r>
            <m:rPr>
              <m:sty m:val="p"/>
            </m:rPr>
            <m:t>)</m:t>
          </m:r>
          <m:r>
            <m:rPr>
              <m:sty m:val="p"/>
            </m:rPr>
            <m:t>=</m:t>
          </m:r>
          <m:f>
            <m:fPr>
              <m:type m:val="bar"/>
            </m:fPr>
            <m:num>
              <m:r>
                <m:t>f</m:t>
              </m:r>
              <m:r>
                <m:rPr>
                  <m:sty m:val="p"/>
                </m:rPr>
                <m:t>(</m:t>
              </m:r>
              <m:r>
                <m:t>a</m:t>
              </m:r>
              <m:r>
                <m:rPr>
                  <m:sty m:val="p"/>
                </m:rPr>
                <m:t>)</m:t>
              </m:r>
              <m:r>
                <m:rPr>
                  <m:sty m:val="p"/>
                </m:rPr>
                <m:t>⋅</m:t>
              </m:r>
              <m:r>
                <m:t>f</m:t>
              </m:r>
              <m:r>
                <m:rPr>
                  <m:sty m:val="p"/>
                </m:rPr>
                <m:t>(</m:t>
              </m:r>
              <m:r>
                <m:t>b</m:t>
              </m:r>
              <m:r>
                <m:rPr>
                  <m:sty m:val="p"/>
                </m:rPr>
                <m:t>)</m:t>
              </m:r>
            </m:num>
            <m:den>
              <m:d>
                <m:dPr>
                  <m:begChr m:val="‖"/>
                  <m:sepChr m:val=""/>
                  <m:endChr m:val="‖"/>
                  <m:grow/>
                </m:dPr>
                <m:e>
                  <m:r>
                    <m:t>f</m:t>
                  </m:r>
                  <m:r>
                    <m:rPr>
                      <m:sty m:val="p"/>
                    </m:rPr>
                    <m:t>(</m:t>
                  </m:r>
                  <m:r>
                    <m:t>a</m:t>
                  </m:r>
                  <m:r>
                    <m:rPr>
                      <m:sty m:val="p"/>
                    </m:rPr>
                    <m:t>)</m:t>
                  </m:r>
                </m:e>
              </m:d>
              <m:r>
                <m:t> </m:t>
              </m:r>
              <m:d>
                <m:dPr>
                  <m:begChr m:val="‖"/>
                  <m:sepChr m:val=""/>
                  <m:endChr m:val="‖"/>
                  <m:grow/>
                </m:dPr>
                <m:e>
                  <m:r>
                    <m:t>f</m:t>
                  </m:r>
                  <m:r>
                    <m:rPr>
                      <m:sty m:val="p"/>
                    </m:rPr>
                    <m:t>(</m:t>
                  </m:r>
                  <m:r>
                    <m:t>b</m:t>
                  </m:r>
                  <m:r>
                    <m:rPr>
                      <m:sty m:val="p"/>
                    </m:rPr>
                    <m:t>)</m:t>
                  </m:r>
                </m:e>
              </m:d>
            </m:den>
          </m:f>
          <m:r>
            <m:rPr>
              <m:sty m:val="p"/>
            </m:rPr>
            <m:t>,</m:t>
          </m:r>
          <m:r>
            <m:t>  </m:t>
          </m:r>
          <m:r>
            <m:rPr>
              <m:sty m:val="p"/>
            </m:rPr>
            <m:t>(</m:t>
          </m:r>
          <m:r>
            <m:t>5</m:t>
          </m:r>
          <m:r>
            <m:rPr>
              <m:sty m:val="p"/>
            </m:rPr>
            <m:t>)</m:t>
          </m:r>
        </m:oMath>
      </m:oMathPara>
    </w:p>
    <w:p>
      <w:pPr>
        <w:pStyle w:val="FirstParagraph"/>
      </w:pPr>
      <w:r>
        <w:t xml:space="preserve">where</w:t>
      </w:r>
      <w:r>
        <w:t xml:space="preserve"> </w:t>
      </w:r>
      <m:oMath>
        <m:r>
          <m:t>f</m:t>
        </m:r>
        <m:r>
          <m:rPr>
            <m:sty m:val="p"/>
          </m:rPr>
          <m:t>(</m:t>
        </m:r>
        <m:r>
          <m:t>a</m:t>
        </m:r>
        <m:r>
          <m:rPr>
            <m:sty m:val="p"/>
          </m:rPr>
          <m:t>)</m:t>
        </m:r>
        <m:r>
          <m:rPr>
            <m:sty m:val="p"/>
          </m:rPr>
          <m:t>⋅</m:t>
        </m:r>
        <m:r>
          <m:t>f</m:t>
        </m:r>
        <m:r>
          <m:rPr>
            <m:sty m:val="p"/>
          </m:rPr>
          <m:t>(</m:t>
        </m:r>
        <m:r>
          <m:t>b</m:t>
        </m:r>
        <m:r>
          <m:rPr>
            <m:sty m:val="p"/>
          </m:rPr>
          <m:t>)</m:t>
        </m:r>
      </m:oMath>
      <w:r>
        <w:t xml:space="preserve"> </w:t>
      </w:r>
      <w:r>
        <w:t xml:space="preserve">is the dot product; it ranges from</w:t>
      </w:r>
      <w:r>
        <w:t xml:space="preserve"> </w:t>
      </w:r>
      <m:oMath>
        <m:r>
          <m:rPr>
            <m:sty m:val="p"/>
          </m:rPr>
          <m:t>−</m:t>
        </m:r>
        <m:r>
          <m:t>1</m:t>
        </m:r>
      </m:oMath>
      <w:r>
        <w:t xml:space="preserve"> </w:t>
      </w:r>
      <w:r>
        <w:t xml:space="preserve">to</w:t>
      </w:r>
      <w:r>
        <w:t xml:space="preserve"> </w:t>
      </w:r>
      <m:oMath>
        <m:r>
          <m:t>1</m:t>
        </m:r>
      </m:oMath>
      <w:r>
        <w:t xml:space="preserve"> </w:t>
      </w:r>
      <w:r>
        <w:t xml:space="preserve">and ignores vector magnitude, so it captures only direction.</w:t>
      </w:r>
    </w:p>
    <w:p>
      <w:pPr>
        <w:pStyle w:val="BodyText"/>
      </w:pPr>
      <w:r>
        <w:t xml:space="preserve">To force these distances to encode font identity, the embedding is trained with a</w:t>
      </w:r>
      <w:r>
        <w:t xml:space="preserve"> </w:t>
      </w:r>
      <w:r>
        <w:rPr>
          <w:b/>
          <w:bCs/>
        </w:rPr>
        <w:t xml:space="preserve">triplet loss</w:t>
      </w:r>
      <w:r>
        <w:t xml:space="preserve">. A triplet consists of an</w:t>
      </w:r>
      <w:r>
        <w:t xml:space="preserve"> </w:t>
      </w:r>
      <w:r>
        <w:rPr>
          <w:b/>
          <w:bCs/>
        </w:rPr>
        <w:t xml:space="preserve">anchor</w:t>
      </w:r>
      <w:r>
        <w:t xml:space="preserve"> </w:t>
      </w:r>
      <w:r>
        <w:t xml:space="preserve">crop</w:t>
      </w:r>
      <w:r>
        <w:t xml:space="preserve"> </w:t>
      </w:r>
      <m:oMath>
        <m:r>
          <m:t>a</m:t>
        </m:r>
      </m:oMath>
      <w:r>
        <w:t xml:space="preserve">, a</w:t>
      </w:r>
      <w:r>
        <w:t xml:space="preserve"> </w:t>
      </w:r>
      <w:r>
        <w:rPr>
          <w:b/>
          <w:bCs/>
        </w:rPr>
        <w:t xml:space="preserve">positive</w:t>
      </w:r>
      <w:r>
        <w:t xml:space="preserve"> </w:t>
      </w:r>
      <m:oMath>
        <m:r>
          <m:t>p</m:t>
        </m:r>
      </m:oMath>
      <w:r>
        <w:t xml:space="preserve"> </w:t>
      </w:r>
      <w:r>
        <w:t xml:space="preserve">set in the</w:t>
      </w:r>
      <w:r>
        <w:t xml:space="preserve"> </w:t>
      </w:r>
      <w:r>
        <w:rPr>
          <w:i/>
          <w:iCs/>
        </w:rPr>
        <w:t xml:space="preserve">same</w:t>
      </w:r>
      <w:r>
        <w:t xml:space="preserve"> </w:t>
      </w:r>
      <w:r>
        <w:t xml:space="preserve">typeface as the anchor, and a</w:t>
      </w:r>
      <w:r>
        <w:t xml:space="preserve"> </w:t>
      </w:r>
      <w:r>
        <w:rPr>
          <w:b/>
          <w:bCs/>
        </w:rPr>
        <w:t xml:space="preserve">negative</w:t>
      </w:r>
      <w:r>
        <w:t xml:space="preserve"> </w:t>
      </w:r>
      <m:oMath>
        <m:r>
          <m:t>n</m:t>
        </m:r>
      </m:oMath>
      <w:r>
        <w:t xml:space="preserve"> </w:t>
      </w:r>
      <w:r>
        <w:t xml:space="preserve">set in a</w:t>
      </w:r>
      <w:r>
        <w:t xml:space="preserve"> </w:t>
      </w:r>
      <w:r>
        <w:rPr>
          <w:i/>
          <w:iCs/>
        </w:rPr>
        <w:t xml:space="preserve">different</w:t>
      </w:r>
      <w:r>
        <w:t xml:space="preserve"> </w:t>
      </w:r>
      <w:r>
        <w:t xml:space="preserve">typeface. The loss is</w:t>
      </w:r>
    </w:p>
    <w:p>
      <w:pPr>
        <w:pStyle w:val="BodyText"/>
      </w:pPr>
      <m:oMathPara>
        <m:oMathParaPr>
          <m:jc m:val="center"/>
        </m:oMathParaPr>
        <m:oMath>
          <m:r>
            <m:t>L</m:t>
          </m:r>
          <m:r>
            <m:rPr>
              <m:sty m:val="p"/>
            </m:rPr>
            <m:t>=</m:t>
          </m:r>
          <m:nary>
            <m:naryPr>
              <m:chr m:val="∑"/>
              <m:limLoc m:val="undOvr"/>
              <m:subHide m:val="off"/>
              <m:supHide m:val="on"/>
            </m:naryPr>
            <m:sub>
              <m:r>
                <m:t>i</m:t>
              </m:r>
            </m:sub>
            <m:sup>
              <m:r>
                <m:t>​</m:t>
              </m:r>
            </m:sup>
            <m:e>
              <m:sSub>
                <m:e>
                  <m:d>
                    <m:dPr>
                      <m:begChr m:val="["/>
                      <m:sepChr m:val=""/>
                      <m:endChr m:val="]"/>
                      <m:grow/>
                    </m:dPr>
                    <m:e>
                      <m:r>
                        <m:t> </m:t>
                      </m:r>
                      <m:sSup>
                        <m:e>
                          <m:d>
                            <m:dPr>
                              <m:begChr m:val="‖"/>
                              <m:sepChr m:val=""/>
                              <m:endChr m:val="‖"/>
                              <m:grow/>
                            </m:dPr>
                            <m:e>
                              <m:r>
                                <m:t>f</m:t>
                              </m:r>
                              <m:r>
                                <m:rPr>
                                  <m:sty m:val="p"/>
                                </m:rPr>
                                <m:t>(</m:t>
                              </m:r>
                              <m:sSub>
                                <m:e>
                                  <m:r>
                                    <m:t>a</m:t>
                                  </m:r>
                                </m:e>
                                <m:sub>
                                  <m:r>
                                    <m:t>i</m:t>
                                  </m:r>
                                </m:sub>
                              </m:sSub>
                              <m:r>
                                <m:rPr>
                                  <m:sty m:val="p"/>
                                </m:rPr>
                                <m:t>)</m:t>
                              </m:r>
                              <m:r>
                                <m:rPr>
                                  <m:sty m:val="p"/>
                                </m:rPr>
                                <m:t>−</m:t>
                              </m:r>
                              <m:r>
                                <m:t>f</m:t>
                              </m:r>
                              <m:r>
                                <m:rPr>
                                  <m:sty m:val="p"/>
                                </m:rPr>
                                <m:t>(</m:t>
                              </m:r>
                              <m:sSub>
                                <m:e>
                                  <m:r>
                                    <m:t>p</m:t>
                                  </m:r>
                                </m:e>
                                <m:sub>
                                  <m:r>
                                    <m:t>i</m:t>
                                  </m:r>
                                </m:sub>
                              </m:sSub>
                              <m:r>
                                <m:rPr>
                                  <m:sty m:val="p"/>
                                </m:rPr>
                                <m:t>)</m:t>
                              </m:r>
                            </m:e>
                          </m:d>
                        </m:e>
                        <m:sup>
                          <m:r>
                            <m:t>2</m:t>
                          </m:r>
                        </m:sup>
                      </m:sSup>
                      <m:r>
                        <m:rPr>
                          <m:sty m:val="p"/>
                        </m:rPr>
                        <m:t>−</m:t>
                      </m:r>
                      <m:sSup>
                        <m:e>
                          <m:d>
                            <m:dPr>
                              <m:begChr m:val="‖"/>
                              <m:sepChr m:val=""/>
                              <m:endChr m:val="‖"/>
                              <m:grow/>
                            </m:dPr>
                            <m:e>
                              <m:r>
                                <m:t>f</m:t>
                              </m:r>
                              <m:r>
                                <m:rPr>
                                  <m:sty m:val="p"/>
                                </m:rPr>
                                <m:t>(</m:t>
                              </m:r>
                              <m:sSub>
                                <m:e>
                                  <m:r>
                                    <m:t>a</m:t>
                                  </m:r>
                                </m:e>
                                <m:sub>
                                  <m:r>
                                    <m:t>i</m:t>
                                  </m:r>
                                </m:sub>
                              </m:sSub>
                              <m:r>
                                <m:rPr>
                                  <m:sty m:val="p"/>
                                </m:rPr>
                                <m:t>)</m:t>
                              </m:r>
                              <m:r>
                                <m:rPr>
                                  <m:sty m:val="p"/>
                                </m:rPr>
                                <m:t>−</m:t>
                              </m:r>
                              <m:r>
                                <m:t>f</m:t>
                              </m:r>
                              <m:r>
                                <m:rPr>
                                  <m:sty m:val="p"/>
                                </m:rPr>
                                <m:t>(</m:t>
                              </m:r>
                              <m:sSub>
                                <m:e>
                                  <m:r>
                                    <m:t>n</m:t>
                                  </m:r>
                                </m:e>
                                <m:sub>
                                  <m:r>
                                    <m:t>i</m:t>
                                  </m:r>
                                </m:sub>
                              </m:sSub>
                              <m:r>
                                <m:rPr>
                                  <m:sty m:val="p"/>
                                </m:rPr>
                                <m:t>)</m:t>
                              </m:r>
                            </m:e>
                          </m:d>
                        </m:e>
                        <m:sup>
                          <m:r>
                            <m:t>2</m:t>
                          </m:r>
                        </m:sup>
                      </m:sSup>
                      <m:r>
                        <m:rPr>
                          <m:sty m:val="p"/>
                        </m:rPr>
                        <m:t>+</m:t>
                      </m:r>
                      <m:r>
                        <m:t>α</m:t>
                      </m:r>
                      <m:r>
                        <m:t> </m:t>
                      </m:r>
                    </m:e>
                  </m:d>
                </m:e>
                <m:sub>
                  <m:r>
                    <m:rPr>
                      <m:sty m:val="p"/>
                    </m:rPr>
                    <m:t>+</m:t>
                  </m:r>
                </m:sub>
              </m:sSub>
            </m:e>
          </m:nary>
          <m:r>
            <m:rPr>
              <m:sty m:val="p"/>
            </m:rPr>
            <m:t>,</m:t>
          </m:r>
          <m:r>
            <m:t>  </m:t>
          </m:r>
          <m:r>
            <m:rPr>
              <m:sty m:val="p"/>
            </m:rPr>
            <m:t>(</m:t>
          </m:r>
          <m:r>
            <m:t>6</m:t>
          </m:r>
          <m:r>
            <m:rPr>
              <m:sty m:val="p"/>
            </m:rPr>
            <m:t>)</m:t>
          </m:r>
        </m:oMath>
      </m:oMathPara>
    </w:p>
    <w:p>
      <w:pPr>
        <w:pStyle w:val="FirstParagraph"/>
      </w:pPr>
      <w:r>
        <w:t xml:space="preserve">where the sum runs over triplets,</w:t>
      </w:r>
      <w:r>
        <w:t xml:space="preserve"> </w:t>
      </w:r>
      <m:oMath>
        <m:r>
          <m:t>α</m:t>
        </m:r>
      </m:oMath>
      <w:r>
        <w:t xml:space="preserve"> </w:t>
      </w:r>
      <w:r>
        <w:t xml:space="preserve">is the</w:t>
      </w:r>
      <w:r>
        <w:t xml:space="preserve"> </w:t>
      </w:r>
      <w:r>
        <w:rPr>
          <w:b/>
          <w:bCs/>
        </w:rPr>
        <w:t xml:space="preserve">margin</w:t>
      </w:r>
      <w:r>
        <w:t xml:space="preserve"> </w:t>
      </w:r>
      <w:r>
        <w:t xml:space="preserve">(a minimum required gap between the anchor-positive and anchor-negative distances), and</w:t>
      </w:r>
      <w:r>
        <w:t xml:space="preserve"> </w:t>
      </w:r>
      <m:oMath>
        <m:r>
          <m:rPr>
            <m:sty m:val="p"/>
          </m:rPr>
          <m:t>[</m:t>
        </m:r>
        <m:r>
          <m:t> </m:t>
        </m:r>
        <m:r>
          <m:rPr>
            <m:sty m:val="p"/>
          </m:rPr>
          <m:t>⋅</m:t>
        </m:r>
        <m:r>
          <m:t> </m:t>
        </m:r>
        <m:sSub>
          <m:e>
            <m:r>
              <m:rPr>
                <m:sty m:val="p"/>
              </m:rPr>
              <m:t>]</m:t>
            </m:r>
          </m:e>
          <m:sub>
            <m:r>
              <m:rPr>
                <m:sty m:val="p"/>
              </m:rPr>
              <m:t>+</m:t>
            </m:r>
          </m:sub>
        </m:sSub>
        <m:r>
          <m:rPr>
            <m:sty m:val="p"/>
          </m:rPr>
          <m:t>=</m:t>
        </m:r>
        <m:r>
          <m:rPr>
            <m:sty m:val="p"/>
          </m:rPr>
          <m:t>max</m:t>
        </m:r>
        <m:r>
          <m:rPr>
            <m:sty m:val="p"/>
          </m:rPr>
          <m:t>(</m:t>
        </m:r>
        <m:r>
          <m:t>0</m:t>
        </m:r>
        <m:r>
          <m:rPr>
            <m:sty m:val="p"/>
          </m:rPr>
          <m:t>,</m:t>
        </m:r>
        <m:r>
          <m:rPr>
            <m:sty m:val="p"/>
          </m:rPr>
          <m:t>⋅</m:t>
        </m:r>
        <m:r>
          <m:rPr>
            <m:sty m:val="p"/>
          </m:rPr>
          <m:t>)</m:t>
        </m:r>
      </m:oMath>
      <w:r>
        <w:t xml:space="preserve"> </w:t>
      </w:r>
      <w:r>
        <w:t xml:space="preserve">keeps only positive violations (Schroff et al., 2015). Minimizing</w:t>
      </w:r>
      <w:r>
        <w:t xml:space="preserve"> </w:t>
      </w:r>
      <m:oMath>
        <m:r>
          <m:t>L</m:t>
        </m:r>
      </m:oMath>
      <w:r>
        <w:t xml:space="preserve"> </w:t>
      </w:r>
      <w:r>
        <w:t xml:space="preserve">pulls same-font crops together and pushes different-font crops apart by at least</w:t>
      </w:r>
      <w:r>
        <w:t xml:space="preserve"> </w:t>
      </w:r>
      <m:oMath>
        <m:r>
          <m:t>α</m:t>
        </m:r>
      </m:oMath>
      <w:r>
        <w:t xml:space="preserve">. FaceNet established this on face identity, but it was validated only on clean, photographic faces, not on deformed glyphs. Two further results extend the rationale to the regime here. Huang and Zhou (2022) show that deep networks can decompose complex visual domains into structured feature vectors that support</w:t>
      </w:r>
      <w:r>
        <w:t xml:space="preserve"> </w:t>
      </w:r>
      <w:r>
        <w:rPr>
          <w:i/>
          <w:iCs/>
        </w:rPr>
        <w:t xml:space="preserve">continuous proximity rankings</w:t>
      </w:r>
      <w:r>
        <w:t xml:space="preserve"> </w:t>
      </w:r>
      <w:r>
        <w:t xml:space="preserve">rather than hard label buckets, and Umer et al. (2022) provide the optimization backing for tracking structural closeness on high-variance, distorted geometries. A cleaner space still helps: Wang et al. (2024) impose a non-negativity constraint on contrastive features, which yields sparse, axis-aligned embeddings, though their guarantees are also demonstrated on standard benchmarks rather than on typographic deformation.</w:t>
      </w:r>
    </w:p>
    <w:p>
      <w:pPr>
        <w:pStyle w:val="Heading3"/>
      </w:pPr>
      <w:r>
        <w:t xml:space="preserve">3.3.3 Open-Set Recognition and Rejection Scores</w:t>
      </w:r>
    </w:p>
    <w:p>
      <w:pPr>
        <w:pStyle w:val="FirstParagraph"/>
      </w:pPr>
      <w:r>
        <w:t xml:space="preserve">A metric embedding still assumes every query belongs to some trained class.</w:t>
      </w:r>
      <w:r>
        <w:t xml:space="preserve"> </w:t>
      </w:r>
      <w:r>
        <w:rPr>
          <w:b/>
          <w:bCs/>
        </w:rPr>
        <w:t xml:space="preserve">Open-set recognition</w:t>
      </w:r>
      <w:r>
        <w:t xml:space="preserve"> </w:t>
      </w:r>
      <w:r>
        <w:t xml:space="preserve">removes that assumption: it partitions inputs into</w:t>
      </w:r>
      <w:r>
        <w:t xml:space="preserve"> </w:t>
      </w:r>
      <w:r>
        <w:rPr>
          <w:b/>
          <w:bCs/>
        </w:rPr>
        <w:t xml:space="preserve">known classes</w:t>
      </w:r>
      <w:r>
        <w:t xml:space="preserve"> </w:t>
      </w:r>
      <w:r>
        <w:t xml:space="preserve">(fonts seen in training) and the</w:t>
      </w:r>
      <w:r>
        <w:t xml:space="preserve"> </w:t>
      </w:r>
      <w:r>
        <w:rPr>
          <w:b/>
          <w:bCs/>
        </w:rPr>
        <w:t xml:space="preserve">unknown class</w:t>
      </w:r>
      <w:r>
        <w:t xml:space="preserve"> </w:t>
      </w:r>
      <w:r>
        <w:t xml:space="preserve">(anything else), and must reject the unknown instead of forcing it into a known bucket. The formal hazard is</w:t>
      </w:r>
      <w:r>
        <w:t xml:space="preserve"> </w:t>
      </w:r>
      <w:r>
        <w:rPr>
          <w:b/>
          <w:bCs/>
        </w:rPr>
        <w:t xml:space="preserve">open-space risk</w:t>
      </w:r>
      <w:r>
        <w:t xml:space="preserve"> </w:t>
      </w:r>
      <m:oMath>
        <m:sSub>
          <m:e>
            <m:r>
              <m:t>R</m:t>
            </m:r>
          </m:e>
          <m:sub>
            <m:r>
              <m:t>O</m:t>
            </m:r>
          </m:sub>
        </m:sSub>
        <m:r>
          <m:rPr>
            <m:sty m:val="p"/>
          </m:rPr>
          <m:t>(</m:t>
        </m:r>
        <m:r>
          <m:t>f</m:t>
        </m:r>
        <m:r>
          <m:rPr>
            <m:sty m:val="p"/>
          </m:rPr>
          <m:t>)</m:t>
        </m:r>
      </m:oMath>
      <w:r>
        <w:t xml:space="preserve">, which is roughly the fraction of the large</w:t>
      </w:r>
      <w:r>
        <w:t xml:space="preserve"> </w:t>
      </w:r>
      <w:r>
        <w:t xml:space="preserve">“open space”</w:t>
      </w:r>
      <w:r>
        <w:t xml:space="preserve"> </w:t>
      </w:r>
      <w:r>
        <w:t xml:space="preserve">far from any training example that a recognizer nonetheless labels as a known font. Because a bounded amount of training data cannot fence off an unbounded space, minimizing</w:t>
      </w:r>
      <w:r>
        <w:t xml:space="preserve"> </w:t>
      </w:r>
      <m:oMath>
        <m:sSub>
          <m:e>
            <m:r>
              <m:t>R</m:t>
            </m:r>
          </m:e>
          <m:sub>
            <m:r>
              <m:t>O</m:t>
            </m:r>
          </m:sub>
        </m:sSub>
        <m:r>
          <m:rPr>
            <m:sty m:val="p"/>
          </m:rPr>
          <m:t>(</m:t>
        </m:r>
        <m:r>
          <m:t>f</m:t>
        </m:r>
        <m:r>
          <m:rPr>
            <m:sty m:val="p"/>
          </m:rPr>
          <m:t>)</m:t>
        </m:r>
      </m:oMath>
      <w:r>
        <w:t xml:space="preserve"> </w:t>
      </w:r>
      <w:r>
        <w:t xml:space="preserve">requires a</w:t>
      </w:r>
      <w:r>
        <w:t xml:space="preserve"> </w:t>
      </w:r>
      <w:r>
        <w:rPr>
          <w:b/>
          <w:bCs/>
        </w:rPr>
        <w:t xml:space="preserve">rejection score</w:t>
      </w:r>
      <w:r>
        <w:t xml:space="preserve"> </w:t>
      </w:r>
      <w:r>
        <w:t xml:space="preserve">(a scalar that summarizes how confidently an input belongs to any known class), compared against a</w:t>
      </w:r>
      <w:r>
        <w:t xml:space="preserve"> </w:t>
      </w:r>
      <w:r>
        <w:rPr>
          <w:b/>
          <w:bCs/>
        </w:rPr>
        <w:t xml:space="preserve">threshold</w:t>
      </w:r>
      <w:r>
        <w:t xml:space="preserve"> </w:t>
      </w:r>
      <w:r>
        <w:t xml:space="preserve">below which the input is declared unknown (Lu et al., 2025). Figure 4 depicts this geometry.</w:t>
      </w:r>
    </w:p>
    <w:p>
      <w:pPr>
        <w:pStyle w:val="BodyText"/>
        <w:keepNext/>
      </w:pPr>
      <w:r>
        <w:rPr>
          <w:b/>
          <w:bCs/>
        </w:rPr>
        <w:t xml:space="preserve">Figure 4</w:t>
      </w:r>
    </w:p>
    <w:p>
      <w:pPr>
        <w:pStyle w:val="BodyText"/>
        <w:keepNext/>
      </w:pPr>
      <w:r>
        <w:rPr>
          <w:i/>
          <w:iCs/>
        </w:rPr>
        <w:t xml:space="preserve">Embedding Space with Known-Font Clusters and an Open-Set Rejection Boundary</w:t>
      </w:r>
    </w:p>
    <w:p>
      <w:pPr>
        <w:pStyle w:val="CaptionedFigure"/>
      </w:pPr>
      <w:r>
        <w:drawing>
          <wp:inline>
            <wp:extent cx="5334000" cy="5912458"/>
            <wp:effectExtent b="0" l="0" r="0" t="0"/>
            <wp:docPr descr="Two-dimensional embedding scatter showing compact known-font clusters enclosed by a rejection boundary, with a hallucinated out-of-palette crop falling outside all clusters" title="" id="46" name="Picture"/>
            <a:graphic>
              <a:graphicData uri="http://schemas.openxmlformats.org/drawingml/2006/picture">
                <pic:pic>
                  <pic:nvPicPr>
                    <pic:cNvPr descr="assets/figures/embedding_space.png" id="47" name="Picture"/>
                    <pic:cNvPicPr>
                      <a:picLocks noChangeArrowheads="1" noChangeAspect="1"/>
                    </pic:cNvPicPr>
                  </pic:nvPicPr>
                  <pic:blipFill>
                    <a:blip r:embed="rId45"/>
                    <a:stretch>
                      <a:fillRect/>
                    </a:stretch>
                  </pic:blipFill>
                  <pic:spPr bwMode="auto">
                    <a:xfrm>
                      <a:off x="0" y="0"/>
                      <a:ext cx="5334000" cy="5912458"/>
                    </a:xfrm>
                    <a:prstGeom prst="rect">
                      <a:avLst/>
                    </a:prstGeom>
                    <a:noFill/>
                    <a:ln w="9525">
                      <a:noFill/>
                      <a:headEnd/>
                      <a:tailEnd/>
                    </a:ln>
                  </pic:spPr>
                </pic:pic>
              </a:graphicData>
            </a:graphic>
          </wp:inline>
        </w:drawing>
      </w:r>
    </w:p>
    <w:p>
      <w:pPr>
        <w:pStyle w:val="BodyText"/>
      </w:pPr>
      <w:r>
        <w:t xml:space="preserve">As shown in Figure 4, known typefaces form compact clusters while a hallucinated, out-of-palette crop lands in the open region beyond the rejection boundary, which is the case a threshold on the rejection score is meant to catch.</w:t>
      </w:r>
    </w:p>
    <w:p>
      <w:pPr>
        <w:pStyle w:val="BodyText"/>
      </w:pPr>
      <w:r>
        <w:t xml:space="preserve">The rejection score can be read at several points in the network. Many scores start from the</w:t>
      </w:r>
      <w:r>
        <w:t xml:space="preserve"> </w:t>
      </w:r>
      <w:r>
        <w:rPr>
          <w:b/>
          <w:bCs/>
        </w:rPr>
        <w:t xml:space="preserve">logits</w:t>
      </w:r>
      <w:r>
        <w:t xml:space="preserve"> </w:t>
      </w:r>
      <w:r>
        <w:t xml:space="preserve">(the raw, pre-normalization outputs</w:t>
      </w:r>
      <w:r>
        <w:t xml:space="preserve"> </w:t>
      </w:r>
      <m:oMath>
        <m:sSub>
          <m:e>
            <m:r>
              <m:t>f</m:t>
            </m:r>
          </m:e>
          <m:sub>
            <m:r>
              <m:t>i</m:t>
            </m:r>
          </m:sub>
        </m:sSub>
        <m:r>
          <m:rPr>
            <m:sty m:val="p"/>
          </m:rPr>
          <m:t>(</m:t>
        </m:r>
        <m:r>
          <m:t>x</m:t>
        </m:r>
        <m:r>
          <m:rPr>
            <m:sty m:val="p"/>
          </m:rPr>
          <m:t>)</m:t>
        </m:r>
      </m:oMath>
      <w:r>
        <w:t xml:space="preserve"> </w:t>
      </w:r>
      <w:r>
        <w:t xml:space="preserve">of the classification layer for each class</w:t>
      </w:r>
      <w:r>
        <w:t xml:space="preserve"> </w:t>
      </w:r>
      <m:oMath>
        <m:r>
          <m:t>i</m:t>
        </m:r>
      </m:oMath>
      <w:r>
        <w:t xml:space="preserve">), which the</w:t>
      </w:r>
      <w:r>
        <w:t xml:space="preserve"> </w:t>
      </w:r>
      <w:r>
        <w:rPr>
          <w:b/>
          <w:bCs/>
        </w:rPr>
        <w:t xml:space="preserve">softmax</w:t>
      </w:r>
      <w:r>
        <w:t xml:space="preserve"> </w:t>
      </w:r>
      <w:r>
        <w:t xml:space="preserve">function converts to a probability distribution,</w:t>
      </w:r>
    </w:p>
    <w:p>
      <w:pPr>
        <w:pStyle w:val="BodyText"/>
      </w:pPr>
      <m:oMathPara>
        <m:oMathParaPr>
          <m:jc m:val="center"/>
        </m:oMathParaPr>
        <m:oMath>
          <m:r>
            <m:t>σ</m:t>
          </m:r>
          <m:r>
            <m:rPr>
              <m:sty m:val="p"/>
            </m:rPr>
            <m:t>(</m:t>
          </m:r>
          <m:r>
            <m:t>z</m:t>
          </m:r>
          <m:sSub>
            <m:e>
              <m:r>
                <m:rPr>
                  <m:sty m:val="p"/>
                </m:rPr>
                <m:t>)</m:t>
              </m:r>
            </m:e>
            <m:sub>
              <m:r>
                <m:t>i</m:t>
              </m:r>
            </m:sub>
          </m:sSub>
          <m:r>
            <m:rPr>
              <m:sty m:val="p"/>
            </m:rPr>
            <m:t>=</m:t>
          </m:r>
          <m:f>
            <m:fPr>
              <m:type m:val="bar"/>
            </m:fPr>
            <m:num>
              <m:sSup>
                <m:e>
                  <m:r>
                    <m:t>e</m:t>
                  </m:r>
                </m:e>
                <m:sup>
                  <m:sSub>
                    <m:e>
                      <m:r>
                        <m:t>z</m:t>
                      </m:r>
                    </m:e>
                    <m:sub>
                      <m:r>
                        <m:t>i</m:t>
                      </m:r>
                    </m:sub>
                  </m:sSub>
                </m:sup>
              </m:sSup>
            </m:num>
            <m:den>
              <m:nary>
                <m:naryPr>
                  <m:chr m:val="∑"/>
                  <m:limLoc m:val="undOvr"/>
                  <m:subHide m:val="off"/>
                  <m:supHide m:val="on"/>
                </m:naryPr>
                <m:sub>
                  <m:r>
                    <m:t>j</m:t>
                  </m:r>
                </m:sub>
                <m:sup>
                  <m:r>
                    <m:t>​</m:t>
                  </m:r>
                </m:sup>
                <m:e>
                  <m:sSup>
                    <m:e>
                      <m:r>
                        <m:t>e</m:t>
                      </m:r>
                    </m:e>
                    <m:sup>
                      <m:sSub>
                        <m:e>
                          <m:r>
                            <m:t>z</m:t>
                          </m:r>
                        </m:e>
                        <m:sub>
                          <m:r>
                            <m:t>j</m:t>
                          </m:r>
                        </m:sub>
                      </m:sSub>
                    </m:sup>
                  </m:sSup>
                </m:e>
              </m:nary>
            </m:den>
          </m:f>
          <m:r>
            <m:rPr>
              <m:sty m:val="p"/>
            </m:rPr>
            <m:t>,</m:t>
          </m:r>
          <m:r>
            <m:t>  </m:t>
          </m:r>
          <m:r>
            <m:rPr>
              <m:sty m:val="p"/>
            </m:rPr>
            <m:t>(</m:t>
          </m:r>
          <m:r>
            <m:t>7</m:t>
          </m:r>
          <m:r>
            <m:rPr>
              <m:sty m:val="p"/>
            </m:rPr>
            <m:t>)</m:t>
          </m:r>
        </m:oMath>
      </m:oMathPara>
    </w:p>
    <w:p>
      <w:pPr>
        <w:pStyle w:val="FirstParagraph"/>
      </w:pPr>
      <w:r>
        <w:t xml:space="preserve">where</w:t>
      </w:r>
      <w:r>
        <w:t xml:space="preserve"> </w:t>
      </w:r>
      <m:oMath>
        <m:sSub>
          <m:e>
            <m:r>
              <m:t>z</m:t>
            </m:r>
          </m:e>
          <m:sub>
            <m:r>
              <m:t>i</m:t>
            </m:r>
          </m:sub>
        </m:sSub>
      </m:oMath>
      <w:r>
        <w:t xml:space="preserve"> </w:t>
      </w:r>
      <w:r>
        <w:t xml:space="preserve">is the logit for class</w:t>
      </w:r>
      <w:r>
        <w:t xml:space="preserve"> </w:t>
      </w:r>
      <m:oMath>
        <m:r>
          <m:t>i</m:t>
        </m:r>
      </m:oMath>
      <w:r>
        <w:t xml:space="preserve"> </w:t>
      </w:r>
      <w:r>
        <w:t xml:space="preserve">and the denominator sums over all classes so the outputs total one. Softmax confidence alone is a poor rejection score because networks are overconfident off-manifold; the recent literature therefore reads richer signals. Hofmann et al. (2024) compute an</w:t>
      </w:r>
      <w:r>
        <w:t xml:space="preserve"> </w:t>
      </w:r>
      <w:r>
        <w:rPr>
          <w:b/>
          <w:bCs/>
        </w:rPr>
        <w:t xml:space="preserve">energy score</w:t>
      </w:r>
      <w:r>
        <w:t xml:space="preserve">,</w:t>
      </w:r>
    </w:p>
    <w:p>
      <w:pPr>
        <w:pStyle w:val="BodyText"/>
      </w:pPr>
      <m:oMathPara>
        <m:oMathParaPr>
          <m:jc m:val="center"/>
        </m:oMathParaPr>
        <m:oMath>
          <m:r>
            <m:t>E</m:t>
          </m:r>
          <m:r>
            <m:rPr>
              <m:sty m:val="p"/>
            </m:rPr>
            <m:t>(</m:t>
          </m:r>
          <m:r>
            <m:t>x</m:t>
          </m:r>
          <m:r>
            <m:rPr>
              <m:sty m:val="p"/>
            </m:rPr>
            <m:t>)</m:t>
          </m:r>
          <m:r>
            <m:rPr>
              <m:sty m:val="p"/>
            </m:rPr>
            <m:t>=</m:t>
          </m:r>
          <m:r>
            <m:rPr>
              <m:sty m:val="p"/>
            </m:rPr>
            <m:t>−</m:t>
          </m:r>
          <m:r>
            <m:t>T</m:t>
          </m:r>
          <m:r>
            <m:rPr>
              <m:sty m:val="p"/>
            </m:rPr>
            <m:t>⋅</m:t>
          </m:r>
          <m:r>
            <m:rPr>
              <m:sty m:val="p"/>
            </m:rPr>
            <m:t>log</m:t>
          </m:r>
          <m:nary>
            <m:naryPr>
              <m:chr m:val="∑"/>
              <m:limLoc m:val="undOvr"/>
              <m:subHide m:val="off"/>
              <m:supHide m:val="on"/>
            </m:naryPr>
            <m:sub>
              <m:r>
                <m:t>i</m:t>
              </m:r>
            </m:sub>
            <m:sup>
              <m:r>
                <m:t>​</m:t>
              </m:r>
            </m:sup>
            <m:e>
              <m:r>
                <m:rPr>
                  <m:sty m:val="p"/>
                </m:rPr>
                <m:t>exp</m:t>
              </m:r>
            </m:e>
          </m:nary>
          <m:r>
            <m:t>​</m:t>
          </m:r>
          <m:d>
            <m:dPr>
              <m:begChr m:val="("/>
              <m:sepChr m:val=""/>
              <m:endChr m:val=")"/>
              <m:grow/>
            </m:dPr>
            <m:e>
              <m:sSub>
                <m:e>
                  <m:r>
                    <m:t>f</m:t>
                  </m:r>
                </m:e>
                <m:sub>
                  <m:r>
                    <m:t>i</m:t>
                  </m:r>
                </m:sub>
              </m:sSub>
              <m:r>
                <m:rPr>
                  <m:sty m:val="p"/>
                </m:rPr>
                <m:t>(</m:t>
              </m:r>
              <m:r>
                <m:t>x</m:t>
              </m:r>
              <m:r>
                <m:rPr>
                  <m:sty m:val="p"/>
                </m:rPr>
                <m:t>)</m:t>
              </m:r>
              <m:r>
                <m:rPr>
                  <m:sty m:val="p"/>
                </m:rPr>
                <m:t>/</m:t>
              </m:r>
              <m:r>
                <m:t>T</m:t>
              </m:r>
            </m:e>
          </m:d>
          <m:r>
            <m:rPr>
              <m:sty m:val="p"/>
            </m:rPr>
            <m:t>,</m:t>
          </m:r>
          <m:r>
            <m:t>  </m:t>
          </m:r>
          <m:r>
            <m:rPr>
              <m:sty m:val="p"/>
            </m:rPr>
            <m:t>(</m:t>
          </m:r>
          <m:r>
            <m:t>8</m:t>
          </m:r>
          <m:r>
            <m:rPr>
              <m:sty m:val="p"/>
            </m:rPr>
            <m:t>)</m:t>
          </m:r>
        </m:oMath>
      </m:oMathPara>
    </w:p>
    <w:p>
      <w:pPr>
        <w:pStyle w:val="FirstParagraph"/>
      </w:pPr>
      <w:r>
        <w:t xml:space="preserve">where</w:t>
      </w:r>
      <w:r>
        <w:t xml:space="preserve"> </w:t>
      </w:r>
      <m:oMath>
        <m:r>
          <m:t>T</m:t>
        </m:r>
      </m:oMath>
      <w:r>
        <w:t xml:space="preserve"> </w:t>
      </w:r>
      <w:r>
        <w:t xml:space="preserve">is a temperature constant and the sum runs over class logits; low energy indicates an in-distribution input and high energy flags the unknown, and they sharpen the boundary by mining hard outliers near it. Djurisic et al. (2024) keep the decision in logit space but rescale the whole logit vector by a feature-derived scalar before thresholding, and this requires no retraining. Karunanayake et al. (2025) argue that the</w:t>
      </w:r>
      <w:r>
        <w:t xml:space="preserve"> </w:t>
      </w:r>
      <w:r>
        <w:rPr>
          <w:i/>
          <w:iCs/>
        </w:rPr>
        <w:t xml:space="preserve">ranking</w:t>
      </w:r>
      <w:r>
        <w:t xml:space="preserve"> </w:t>
      </w:r>
      <w:r>
        <w:t xml:space="preserve">of the runner-up classes is itself diagnostic, and far more deterministic for known inputs than for unknown ones. This idea maps directly onto a Top-K font shortlist, where the order of the second- and third-place fonts signals a hallucinated glyph. The limitation that ties all four together is that every one of these scores is validated on natural-image out-of-distribution benchmarks (CIFAR, ImageNet). None has been tested on</w:t>
      </w:r>
      <w:r>
        <w:t xml:space="preserve"> </w:t>
      </w:r>
      <w:r>
        <w:rPr>
          <w:i/>
          <w:iCs/>
        </w:rPr>
        <w:t xml:space="preserve">typographic</w:t>
      </w:r>
      <w:r>
        <w:t xml:space="preserve"> </w:t>
      </w:r>
      <w:r>
        <w:t xml:space="preserve">out-of-distribution input, the probabilistic warping and variable kerning this thesis targets. Whether these scores transfer to font hallucination over a localized palette is the question the methodology sets out to answer.</w:t>
      </w:r>
    </w:p>
    <w:p>
      <w:pPr>
        <w:pStyle w:val="Heading2"/>
      </w:pPr>
      <w:r>
        <w:t xml:space="preserve">3.4 Existing Technologies &amp; Frameworks</w:t>
      </w:r>
    </w:p>
    <w:p>
      <w:pPr>
        <w:pStyle w:val="FirstParagraph"/>
      </w:pPr>
      <w:r>
        <w:t xml:space="preserve">The theory of the previous section is realized through concrete software tools and neural architectures. This section surveys the ones the methodology builds on. Because every framework should be judged on both sides, each is paired with what it does well</w:t>
      </w:r>
      <w:r>
        <w:t xml:space="preserve"> </w:t>
      </w:r>
      <w:r>
        <w:rPr>
          <w:i/>
          <w:iCs/>
        </w:rPr>
        <w:t xml:space="preserve">and</w:t>
      </w:r>
      <w:r>
        <w:t xml:space="preserve"> </w:t>
      </w:r>
      <w:r>
        <w:t xml:space="preserve">where it falls short on this thesis’s deformed-glyph regime. The tools divide into a</w:t>
      </w:r>
      <w:r>
        <w:t xml:space="preserve"> </w:t>
      </w:r>
      <w:r>
        <w:rPr>
          <w:i/>
          <w:iCs/>
        </w:rPr>
        <w:t xml:space="preserve">representation</w:t>
      </w:r>
      <w:r>
        <w:t xml:space="preserve"> </w:t>
      </w:r>
      <w:r>
        <w:t xml:space="preserve">stack (a library, a backbone architecture, a frozen encoder, and a parameter-efficient adaptation method) and a</w:t>
      </w:r>
      <w:r>
        <w:t xml:space="preserve"> </w:t>
      </w:r>
      <w:r>
        <w:rPr>
          <w:i/>
          <w:iCs/>
        </w:rPr>
        <w:t xml:space="preserve">measurement</w:t>
      </w:r>
      <w:r>
        <w:t xml:space="preserve"> </w:t>
      </w:r>
      <w:r>
        <w:t xml:space="preserve">stack (structural-similarity metrics), followed by the generative process that produces the input distribution in the first place.</w:t>
      </w:r>
    </w:p>
    <w:p>
      <w:pPr>
        <w:pStyle w:val="Heading3"/>
      </w:pPr>
      <w:r>
        <w:t xml:space="preserve">3.4.1 PyTorch and the Vision Transformer Backbone</w:t>
      </w:r>
    </w:p>
    <w:p>
      <w:pPr>
        <w:pStyle w:val="FirstParagraph"/>
      </w:pPr>
      <w:r>
        <w:t xml:space="preserve">A deep-learning</w:t>
      </w:r>
      <w:r>
        <w:t xml:space="preserve"> </w:t>
      </w:r>
      <w:r>
        <w:rPr>
          <w:b/>
          <w:bCs/>
        </w:rPr>
        <w:t xml:space="preserve">framework</w:t>
      </w:r>
      <w:r>
        <w:t xml:space="preserve"> </w:t>
      </w:r>
      <w:r>
        <w:t xml:space="preserve">is a software library that supplies the building blocks (tensor operations, automatic differentiation, and pre-built layers) for defining and training networks.</w:t>
      </w:r>
      <w:r>
        <w:t xml:space="preserve"> </w:t>
      </w:r>
      <w:r>
        <w:rPr>
          <w:b/>
          <w:bCs/>
        </w:rPr>
        <w:t xml:space="preserve">PyTorch</w:t>
      </w:r>
      <w:r>
        <w:t xml:space="preserve"> </w:t>
      </w:r>
      <w:r>
        <w:t xml:space="preserve">is the framework adopted here; its central strength is a</w:t>
      </w:r>
      <w:r>
        <w:t xml:space="preserve"> </w:t>
      </w:r>
      <w:r>
        <w:rPr>
          <w:b/>
          <w:bCs/>
        </w:rPr>
        <w:t xml:space="preserve">dynamic computation graph</w:t>
      </w:r>
      <w:r>
        <w:t xml:space="preserve">, which means the network structure is defined on the fly as code executes, together with</w:t>
      </w:r>
      <w:r>
        <w:t xml:space="preserve"> </w:t>
      </w:r>
      <w:r>
        <w:rPr>
          <w:b/>
          <w:bCs/>
        </w:rPr>
        <w:t xml:space="preserve">autograd</w:t>
      </w:r>
      <w:r>
        <w:t xml:space="preserve">, which automatically computes the gradients that optimization needs. This flexibility makes PyTorch well suited to research prototyping, but it is deliberately domain-agnostic: it provides no built-in typographic priors, so all font-specific structure must be supplied by the model and data the researcher constructs.</w:t>
      </w:r>
    </w:p>
    <w:p>
      <w:pPr>
        <w:pStyle w:val="BodyText"/>
      </w:pPr>
      <w:r>
        <w:t xml:space="preserve">The backbone architecture is the</w:t>
      </w:r>
      <w:r>
        <w:t xml:space="preserve"> </w:t>
      </w:r>
      <w:r>
        <w:rPr>
          <w:b/>
          <w:bCs/>
        </w:rPr>
        <w:t xml:space="preserve">Vision Transformer (ViT)</w:t>
      </w:r>
      <w:r>
        <w:t xml:space="preserve">, which processes an image not through convolution but by splitting it into a grid of fixed-size</w:t>
      </w:r>
      <w:r>
        <w:t xml:space="preserve"> </w:t>
      </w:r>
      <w:r>
        <w:rPr>
          <w:b/>
          <w:bCs/>
        </w:rPr>
        <w:t xml:space="preserve">patches</w:t>
      </w:r>
      <w:r>
        <w:t xml:space="preserve">, flattening each patch into a</w:t>
      </w:r>
      <w:r>
        <w:t xml:space="preserve"> </w:t>
      </w:r>
      <w:r>
        <w:rPr>
          <w:b/>
          <w:bCs/>
        </w:rPr>
        <w:t xml:space="preserve">patch embedding</w:t>
      </w:r>
      <w:r>
        <w:t xml:space="preserve"> </w:t>
      </w:r>
      <w:r>
        <w:t xml:space="preserve">(a vector), and letting the patches interact through</w:t>
      </w:r>
      <w:r>
        <w:t xml:space="preserve"> </w:t>
      </w:r>
      <w:r>
        <w:rPr>
          <w:b/>
          <w:bCs/>
        </w:rPr>
        <w:t xml:space="preserve">self-attention</w:t>
      </w:r>
      <w:r>
        <w:t xml:space="preserve">. Self-attention, introduced by Vaswani et al. (2017), lets every element of a sequence weigh the relevance of every other element. Each patch embedding is projected into three vectors, a</w:t>
      </w:r>
      <w:r>
        <w:t xml:space="preserve"> </w:t>
      </w:r>
      <w:r>
        <w:rPr>
          <w:b/>
          <w:bCs/>
        </w:rPr>
        <w:t xml:space="preserve">query</w:t>
      </w:r>
      <w:r>
        <w:t xml:space="preserve"> </w:t>
      </w:r>
      <m:oMath>
        <m:r>
          <m:t>Q</m:t>
        </m:r>
      </m:oMath>
      <w:r>
        <w:t xml:space="preserve">, a</w:t>
      </w:r>
      <w:r>
        <w:t xml:space="preserve"> </w:t>
      </w:r>
      <w:r>
        <w:rPr>
          <w:b/>
          <w:bCs/>
        </w:rPr>
        <w:t xml:space="preserve">key</w:t>
      </w:r>
      <w:r>
        <w:t xml:space="preserve"> </w:t>
      </w:r>
      <m:oMath>
        <m:r>
          <m:t>K</m:t>
        </m:r>
      </m:oMath>
      <w:r>
        <w:t xml:space="preserve">, and a</w:t>
      </w:r>
      <w:r>
        <w:t xml:space="preserve"> </w:t>
      </w:r>
      <w:r>
        <w:rPr>
          <w:b/>
          <w:bCs/>
        </w:rPr>
        <w:t xml:space="preserve">value</w:t>
      </w:r>
      <w:r>
        <w:t xml:space="preserve"> </w:t>
      </w:r>
      <m:oMath>
        <m:r>
          <m:t>V</m:t>
        </m:r>
      </m:oMath>
      <w:r>
        <w:t xml:space="preserve">, and the operation is</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t>​</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e>
          </m:d>
          <m:r>
            <m:t>V</m:t>
          </m:r>
          <m:r>
            <m:rPr>
              <m:sty m:val="p"/>
            </m:rPr>
            <m:t>,</m:t>
          </m:r>
          <m:r>
            <m:t>  </m:t>
          </m:r>
          <m:r>
            <m:rPr>
              <m:sty m:val="p"/>
            </m:rPr>
            <m:t>(</m:t>
          </m:r>
          <m:r>
            <m:t>9</m:t>
          </m:r>
          <m:r>
            <m:rPr>
              <m:sty m:val="p"/>
            </m:rPr>
            <m:t>)</m:t>
          </m:r>
        </m:oMath>
      </m:oMathPara>
    </w:p>
    <w:p>
      <w:pPr>
        <w:pStyle w:val="FirstParagraph"/>
      </w:pPr>
      <w:r>
        <w:t xml:space="preserve">where</w:t>
      </w:r>
      <w:r>
        <w:t xml:space="preserve"> </w:t>
      </w:r>
      <m:oMath>
        <m:r>
          <m:t>Q</m:t>
        </m:r>
        <m:sSup>
          <m:e>
            <m:r>
              <m:t>K</m:t>
            </m:r>
          </m:e>
          <m:sup>
            <m:r>
              <m:rPr>
                <m:sty m:val="p"/>
              </m:rPr>
              <m:t>⊤</m:t>
            </m:r>
          </m:sup>
        </m:sSup>
      </m:oMath>
      <w:r>
        <w:t xml:space="preserve"> </w:t>
      </w:r>
      <w:r>
        <w:t xml:space="preserve">scores how well each query matches each key,</w:t>
      </w:r>
      <w:r>
        <w:t xml:space="preserve"> </w:t>
      </w:r>
      <m:oMath>
        <m:sSub>
          <m:e>
            <m:r>
              <m:t>d</m:t>
            </m:r>
          </m:e>
          <m:sub>
            <m:r>
              <m:t>k</m:t>
            </m:r>
          </m:sub>
        </m:sSub>
      </m:oMath>
      <w:r>
        <w:t xml:space="preserve"> </w:t>
      </w:r>
      <w:r>
        <w:t xml:space="preserve">is the key dimension whose square root rescales the scores to keep them numerically stable, softmax turns the scores into weights summing to one, and</w:t>
      </w:r>
      <w:r>
        <w:t xml:space="preserve"> </w:t>
      </w:r>
      <m:oMath>
        <m:r>
          <m:t>V</m:t>
        </m:r>
      </m:oMath>
      <w:r>
        <w:t xml:space="preserve"> </w:t>
      </w:r>
      <w:r>
        <w:t xml:space="preserve">carries the aggregated content. Figure 5 depicts this patch-embedding-and-attention flow.</w:t>
      </w:r>
    </w:p>
    <w:p>
      <w:pPr>
        <w:pStyle w:val="BodyText"/>
        <w:keepNext/>
      </w:pPr>
      <w:r>
        <w:rPr>
          <w:b/>
          <w:bCs/>
        </w:rPr>
        <w:t xml:space="preserve">Figure 5</w:t>
      </w:r>
    </w:p>
    <w:p>
      <w:pPr>
        <w:pStyle w:val="BodyText"/>
        <w:keepNext/>
      </w:pPr>
      <w:r>
        <w:rPr>
          <w:i/>
          <w:iCs/>
        </w:rPr>
        <w:t xml:space="preserve">Vision Transformer Patch Embedding and Self-Attention</w:t>
      </w:r>
    </w:p>
    <w:p>
      <w:pPr>
        <w:pStyle w:val="CaptionedFigure"/>
        <w:keepNext/>
      </w:pPr>
      <w:r>
        <w:drawing>
          <wp:inline>
            <wp:extent cx="5334000" cy="2900235"/>
            <wp:effectExtent b="0" l="0" r="0" t="0"/>
            <wp:docPr descr="Schematic of an image split into patches, each linearly embedded and passed through multi-head self-attention that links distant patches" title="" id="51" name="Picture"/>
            <a:graphic>
              <a:graphicData uri="http://schemas.openxmlformats.org/drawingml/2006/picture">
                <pic:pic>
                  <pic:nvPicPr>
                    <pic:cNvPr descr="assets/figures/vit_attention.png" id="52" name="Picture"/>
                    <pic:cNvPicPr>
                      <a:picLocks noChangeArrowheads="1" noChangeAspect="1"/>
                    </pic:cNvPicPr>
                  </pic:nvPicPr>
                  <pic:blipFill>
                    <a:blip r:embed="rId50"/>
                    <a:stretch>
                      <a:fillRect/>
                    </a:stretch>
                  </pic:blipFill>
                  <pic:spPr bwMode="auto">
                    <a:xfrm>
                      <a:off x="0" y="0"/>
                      <a:ext cx="5334000" cy="2900235"/>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Adapted from Vaswani et al. (2017) and Wang, Lv, et al. (2025).</w:t>
      </w:r>
    </w:p>
    <w:p>
      <w:pPr>
        <w:pStyle w:val="BodyText"/>
      </w:pPr>
      <w:r>
        <w:t xml:space="preserve">As shown in Figure 5, self-attention links spatially distant patches directly, which is why Wang, Lv, et al. (2025) use a ViT to parse long-range document layout that fixed convolutional receptive fields cannot span. The limitation is twofold: self-attention is</w:t>
      </w:r>
      <w:r>
        <w:t xml:space="preserve"> </w:t>
      </w:r>
      <w:r>
        <w:rPr>
          <w:b/>
          <w:bCs/>
        </w:rPr>
        <w:t xml:space="preserve">data-hungry</w:t>
      </w:r>
      <w:r>
        <w:t xml:space="preserve"> </w:t>
      </w:r>
      <w:r>
        <w:t xml:space="preserve">and needs large training sets to generalize, and its all-pairs comparison has</w:t>
      </w:r>
      <w:r>
        <w:t xml:space="preserve"> </w:t>
      </w:r>
      <w:r>
        <w:rPr>
          <w:b/>
          <w:bCs/>
        </w:rPr>
        <w:t xml:space="preserve">quadratic cost</w:t>
      </w:r>
      <w:r>
        <w:t xml:space="preserve"> </w:t>
      </w:r>
      <w:r>
        <w:t xml:space="preserve">in the number of patches, which makes high-resolution inputs expensive.</w:t>
      </w:r>
    </w:p>
    <w:p>
      <w:pPr>
        <w:pStyle w:val="Heading3"/>
      </w:pPr>
      <w:r>
        <w:t xml:space="preserve">3.4.2 Self-Supervised Frozen Encoders</w:t>
      </w:r>
    </w:p>
    <w:p>
      <w:pPr>
        <w:pStyle w:val="FirstParagraph"/>
      </w:pPr>
      <w:r>
        <w:t xml:space="preserve">Training a ViT from scratch is the data-hungry step this thesis wants to avoid.</w:t>
      </w:r>
      <w:r>
        <w:t xml:space="preserve"> </w:t>
      </w:r>
      <w:r>
        <w:rPr>
          <w:b/>
          <w:bCs/>
        </w:rPr>
        <w:t xml:space="preserve">DINOv2</w:t>
      </w:r>
      <w:r>
        <w:t xml:space="preserve"> </w:t>
      </w:r>
      <w:r>
        <w:t xml:space="preserve">(Oquab et al., 2024) is a ViT trained by self-supervised distillation to produce</w:t>
      </w:r>
      <w:r>
        <w:t xml:space="preserve"> </w:t>
      </w:r>
      <w:r>
        <w:rPr>
          <w:i/>
          <w:iCs/>
        </w:rPr>
        <w:t xml:space="preserve">all-purpose</w:t>
      </w:r>
      <w:r>
        <w:t xml:space="preserve"> </w:t>
      </w:r>
      <w:r>
        <w:t xml:space="preserve">visual features that transfer to fine-grained classification and retrieval with no fine-tuning. Used as a</w:t>
      </w:r>
      <w:r>
        <w:t xml:space="preserve"> </w:t>
      </w:r>
      <w:r>
        <w:rPr>
          <w:b/>
          <w:bCs/>
        </w:rPr>
        <w:t xml:space="preserve">frozen encoder</w:t>
      </w:r>
      <w:r>
        <w:t xml:space="preserve">, with its weights held fixed while only downstream components are trained, it lets the framework read patch-level embeddings from a glyph crop without building a font-specific network from scratch, and Sheikh et al. (2024) show the same frozen-DINO family extract layout structure with no labels at all. Its weakness is that these features are not clean: Darcet et al. (2024) identify high-norm</w:t>
      </w:r>
      <w:r>
        <w:t xml:space="preserve"> </w:t>
      </w:r>
      <w:r>
        <w:rPr>
          <w:b/>
          <w:bCs/>
        </w:rPr>
        <w:t xml:space="preserve">artifact tokens</w:t>
      </w:r>
      <w:r>
        <w:t xml:space="preserve"> </w:t>
      </w:r>
      <w:r>
        <w:t xml:space="preserve">that self-supervised ViTs repurpose for internal computation in low-information image regions, which corrupts the feature map. Their fix is</w:t>
      </w:r>
      <w:r>
        <w:t xml:space="preserve"> </w:t>
      </w:r>
      <w:r>
        <w:rPr>
          <w:b/>
          <w:bCs/>
        </w:rPr>
        <w:t xml:space="preserve">register tokens</w:t>
      </w:r>
      <w:r>
        <w:t xml:space="preserve"> </w:t>
      </w:r>
      <w:r>
        <w:t xml:space="preserve">(extra dedicated tokens that absorb this internal computation), which restore smooth attention and feature maps. That repair matters directly for glyph crops, whose informative signal is a few thin strokes on empty ground; yet, like the backbone itself, registers are validated only on natural images, never on re-rendered type.</w:t>
      </w:r>
    </w:p>
    <w:p>
      <w:pPr>
        <w:pStyle w:val="Heading3"/>
      </w:pPr>
      <w:r>
        <w:t xml:space="preserve">3.4.3 Parameter-Efficient Fine-Tuning</w:t>
      </w:r>
    </w:p>
    <w:p>
      <w:pPr>
        <w:pStyle w:val="FirstParagraph"/>
      </w:pPr>
      <w:r>
        <w:t xml:space="preserve">A frozen encoder trades adaptation for economy: its weights never move, so it cannot specialize to type. Full fine-tuning restores that specialization but at prohibitive cost, updating all of the backbone’s parameters (87.2 million for a ViT-B/14) and storing a full copy per task.</w:t>
      </w:r>
      <w:r>
        <w:t xml:space="preserve"> </w:t>
      </w:r>
      <w:r>
        <w:rPr>
          <w:b/>
          <w:bCs/>
        </w:rPr>
        <w:t xml:space="preserve">Parameter-efficient fine-tuning (PEFT)</w:t>
      </w:r>
      <w:r>
        <w:t xml:space="preserve"> </w:t>
      </w:r>
      <w:r>
        <w:t xml:space="preserve">is the middle path, adapting a large pre-trained model to a new task by training only a small set of new parameters while the original weights stay frozen. The dominant PEFT method is</w:t>
      </w:r>
      <w:r>
        <w:t xml:space="preserve"> </w:t>
      </w:r>
      <w:r>
        <w:rPr>
          <w:b/>
          <w:bCs/>
        </w:rPr>
        <w:t xml:space="preserve">Low-Rank Adaptation (LoRA)</w:t>
      </w:r>
      <w:r>
        <w:t xml:space="preserve">, which rests on the observation that the</w:t>
      </w:r>
      <w:r>
        <w:t xml:space="preserve"> </w:t>
      </w:r>
      <w:r>
        <w:rPr>
          <w:i/>
          <w:iCs/>
        </w:rPr>
        <w:t xml:space="preserve">update</w:t>
      </w:r>
      <w:r>
        <w:t xml:space="preserve"> </w:t>
      </w:r>
      <w:r>
        <w:t xml:space="preserve">a model needs for a new task has low intrinsic rank. Rather than learn a full weight-update matrix</w:t>
      </w:r>
      <w:r>
        <w:t xml:space="preserve"> </w:t>
      </w:r>
      <m:oMath>
        <m:r>
          <m:rPr>
            <m:sty m:val="p"/>
          </m:rPr>
          <m:t>Δ</m:t>
        </m:r>
        <m:r>
          <m:t>W</m:t>
        </m:r>
      </m:oMath>
      <w:r>
        <w:t xml:space="preserve"> </w:t>
      </w:r>
      <w:r>
        <w:t xml:space="preserve">for a layer, LoRA factors it into two thin matrices:</w:t>
      </w:r>
    </w:p>
    <w:p>
      <w:pPr>
        <w:pStyle w:val="BodyText"/>
      </w:pPr>
      <m:oMathPara>
        <m:oMathParaPr>
          <m:jc m:val="center"/>
        </m:oMathParaPr>
        <m:oMath>
          <m:sSup>
            <m:e>
              <m:r>
                <m:t>W</m:t>
              </m:r>
            </m:e>
            <m:sup>
              <m:r>
                <m:rPr>
                  <m:sty m:val="p"/>
                </m:rPr>
                <m:t>′</m:t>
              </m:r>
            </m:sup>
          </m:sSup>
          <m:r>
            <m:rPr>
              <m:sty m:val="p"/>
            </m:rPr>
            <m:t>=</m:t>
          </m:r>
          <m:sSub>
            <m:e>
              <m:r>
                <m:t>W</m:t>
              </m:r>
            </m:e>
            <m:sub>
              <m:r>
                <m:t>0</m:t>
              </m:r>
            </m:sub>
          </m:sSub>
          <m:r>
            <m:rPr>
              <m:sty m:val="p"/>
            </m:rPr>
            <m:t>+</m:t>
          </m:r>
          <m:r>
            <m:rPr>
              <m:sty m:val="p"/>
            </m:rPr>
            <m:t>Δ</m:t>
          </m:r>
          <m:r>
            <m:t>W</m:t>
          </m:r>
          <m:r>
            <m:rPr>
              <m:sty m:val="p"/>
            </m:rPr>
            <m:t>=</m:t>
          </m:r>
          <m:sSub>
            <m:e>
              <m:r>
                <m:t>W</m:t>
              </m:r>
            </m:e>
            <m:sub>
              <m:r>
                <m:t>0</m:t>
              </m:r>
            </m:sub>
          </m:sSub>
          <m:r>
            <m:rPr>
              <m:sty m:val="p"/>
            </m:rPr>
            <m:t>+</m:t>
          </m:r>
          <m:f>
            <m:fPr>
              <m:type m:val="bar"/>
            </m:fPr>
            <m:num>
              <m:r>
                <m:t>α</m:t>
              </m:r>
            </m:num>
            <m:den>
              <m:r>
                <m:t>r</m:t>
              </m:r>
            </m:den>
          </m:f>
          <m:r>
            <m:t> </m:t>
          </m:r>
          <m:r>
            <m:t>B</m:t>
          </m:r>
          <m:r>
            <m:t>A</m:t>
          </m:r>
          <m:r>
            <m:rPr>
              <m:sty m:val="p"/>
            </m:rPr>
            <m:t>,</m:t>
          </m:r>
          <m:r>
            <m:t>  </m:t>
          </m:r>
          <m:r>
            <m:rPr>
              <m:sty m:val="p"/>
            </m:rPr>
            <m:t>(</m:t>
          </m:r>
          <m:r>
            <m:t>10</m:t>
          </m:r>
          <m:r>
            <m:rPr>
              <m:sty m:val="p"/>
            </m:rPr>
            <m:t>)</m:t>
          </m:r>
        </m:oMath>
      </m:oMathPara>
    </w:p>
    <w:p>
      <w:pPr>
        <w:pStyle w:val="FirstParagraph"/>
      </w:pPr>
      <w:r>
        <w:t xml:space="preserve">where</w:t>
      </w:r>
      <w:r>
        <w:t xml:space="preserve"> </w:t>
      </w:r>
      <m:oMath>
        <m:sSub>
          <m:e>
            <m:r>
              <m:t>W</m:t>
            </m:r>
          </m:e>
          <m:sub>
            <m:r>
              <m:t>0</m:t>
            </m:r>
          </m:sub>
        </m:sSub>
      </m:oMath>
      <w:r>
        <w:t xml:space="preserve"> </w:t>
      </w:r>
      <w:r>
        <w:t xml:space="preserve">is the frozen pre-trained weight matrix,</w:t>
      </w:r>
      <w:r>
        <w:t xml:space="preserve"> </w:t>
      </w:r>
      <m:oMath>
        <m:r>
          <m:t>A</m:t>
        </m:r>
      </m:oMath>
      <w:r>
        <w:t xml:space="preserve"> </w:t>
      </w:r>
      <w:r>
        <w:t xml:space="preserve">and</w:t>
      </w:r>
      <w:r>
        <w:t xml:space="preserve"> </w:t>
      </w:r>
      <m:oMath>
        <m:r>
          <m:t>B</m:t>
        </m:r>
      </m:oMath>
      <w:r>
        <w:t xml:space="preserve"> </w:t>
      </w:r>
      <w:r>
        <w:t xml:space="preserve">are the trainable low-rank factors (with</w:t>
      </w:r>
      <w:r>
        <w:t xml:space="preserve"> </w:t>
      </w:r>
      <m:oMath>
        <m:r>
          <m:t>A</m:t>
        </m:r>
        <m:r>
          <m:rPr>
            <m:sty m:val="p"/>
          </m:rPr>
          <m:t>∈</m:t>
        </m:r>
        <m:sSup>
          <m:e>
            <m:r>
              <m:rPr>
                <m:scr m:val="double-struck"/>
                <m:sty m:val="p"/>
              </m:rPr>
              <m:t>R</m:t>
            </m:r>
          </m:e>
          <m:sup>
            <m:r>
              <m:t>r</m:t>
            </m:r>
            <m:r>
              <m:rPr>
                <m:sty m:val="p"/>
              </m:rPr>
              <m:t>×</m:t>
            </m:r>
            <m:r>
              <m:t>k</m:t>
            </m:r>
          </m:sup>
        </m:sSup>
      </m:oMath>
      <w:r>
        <w:t xml:space="preserve">,</w:t>
      </w:r>
      <w:r>
        <w:t xml:space="preserve"> </w:t>
      </w:r>
      <m:oMath>
        <m:r>
          <m:t>B</m:t>
        </m:r>
        <m:r>
          <m:rPr>
            <m:sty m:val="p"/>
          </m:rPr>
          <m:t>∈</m:t>
        </m:r>
        <m:sSup>
          <m:e>
            <m:r>
              <m:rPr>
                <m:scr m:val="double-struck"/>
                <m:sty m:val="p"/>
              </m:rPr>
              <m:t>R</m:t>
            </m:r>
          </m:e>
          <m:sup>
            <m:r>
              <m:t>d</m:t>
            </m:r>
            <m:r>
              <m:rPr>
                <m:sty m:val="p"/>
              </m:rPr>
              <m:t>×</m:t>
            </m:r>
            <m:r>
              <m:t>r</m:t>
            </m:r>
          </m:sup>
        </m:sSup>
      </m:oMath>
      <w:r>
        <w:t xml:space="preserve">),</w:t>
      </w:r>
      <w:r>
        <w:t xml:space="preserve"> </w:t>
      </w:r>
      <m:oMath>
        <m:r>
          <m:t>r</m:t>
        </m:r>
      </m:oMath>
      <w:r>
        <w:t xml:space="preserve"> </w:t>
      </w:r>
      <w:r>
        <w:t xml:space="preserve">is the</w:t>
      </w:r>
      <w:r>
        <w:t xml:space="preserve"> </w:t>
      </w:r>
      <w:r>
        <w:rPr>
          <w:b/>
          <w:bCs/>
        </w:rPr>
        <w:t xml:space="preserve">rank</w:t>
      </w:r>
      <w:r>
        <w:t xml:space="preserve"> </w:t>
      </w:r>
      <w:r>
        <w:t xml:space="preserve">(a small integer, e.g. </w:t>
      </w:r>
      <m:oMath>
        <m:r>
          <m:t>r</m:t>
        </m:r>
        <m:r>
          <m:rPr>
            <m:sty m:val="p"/>
          </m:rPr>
          <m:t>=</m:t>
        </m:r>
        <m:r>
          <m:t>8</m:t>
        </m:r>
      </m:oMath>
      <w:r>
        <w:t xml:space="preserve">, that bounds how much the update can express), and</w:t>
      </w:r>
      <w:r>
        <w:t xml:space="preserve"> </w:t>
      </w:r>
      <m:oMath>
        <m:r>
          <m:t>α</m:t>
        </m:r>
      </m:oMath>
      <w:r>
        <w:t xml:space="preserve"> </w:t>
      </w:r>
      <w:r>
        <w:t xml:space="preserve">is a</w:t>
      </w:r>
      <w:r>
        <w:t xml:space="preserve"> </w:t>
      </w:r>
      <w:r>
        <w:rPr>
          <w:b/>
          <w:bCs/>
        </w:rPr>
        <w:t xml:space="preserve">scaling factor</w:t>
      </w:r>
      <w:r>
        <w:t xml:space="preserve"> </w:t>
      </w:r>
      <w:r>
        <w:t xml:space="preserve">that controls the update’s magnitude. Because</w:t>
      </w:r>
      <w:r>
        <w:t xml:space="preserve"> </w:t>
      </w:r>
      <m:oMath>
        <m:r>
          <m:t>r</m:t>
        </m:r>
      </m:oMath>
      <w:r>
        <w:t xml:space="preserve"> </w:t>
      </w:r>
      <w:r>
        <w:t xml:space="preserve">is far smaller than the layer’s dimensions, the product</w:t>
      </w:r>
      <w:r>
        <w:t xml:space="preserve"> </w:t>
      </w:r>
      <m:oMath>
        <m:r>
          <m:t>B</m:t>
        </m:r>
        <m:r>
          <m:t>A</m:t>
        </m:r>
      </m:oMath>
      <w:r>
        <w:t xml:space="preserve"> </w:t>
      </w:r>
      <w:r>
        <w:t xml:space="preserve">reconstructs a full-size update from a tiny number of parameters. Chen et al. (2026) adapt a frozen DINOv2 ViT-B/14 to font classification this way with</w:t>
      </w:r>
      <w:r>
        <w:t xml:space="preserve"> </w:t>
      </w:r>
      <m:oMath>
        <m:r>
          <m:t>r</m:t>
        </m:r>
        <m:r>
          <m:rPr>
            <m:sty m:val="p"/>
          </m:rPr>
          <m:t>=</m:t>
        </m:r>
        <m:r>
          <m:t>8</m:t>
        </m:r>
      </m:oMath>
      <w:r>
        <w:t xml:space="preserve"> </w:t>
      </w:r>
      <w:r>
        <w:t xml:space="preserve">and</w:t>
      </w:r>
      <w:r>
        <w:t xml:space="preserve"> </w:t>
      </w:r>
      <m:oMath>
        <m:r>
          <m:t>α</m:t>
        </m:r>
        <m:r>
          <m:rPr>
            <m:sty m:val="p"/>
          </m:rPr>
          <m:t>=</m:t>
        </m:r>
        <m:r>
          <m:t>16</m:t>
        </m:r>
      </m:oMath>
      <w:r>
        <w:t xml:space="preserve">, training roughly 150,000 parameters — about 0.2% of the backbone — and reach approximately 86% Top-1 accuracy across 394 Google Font variants, with the trained factors mergeable back into</w:t>
      </w:r>
      <w:r>
        <w:t xml:space="preserve"> </w:t>
      </w:r>
      <m:oMath>
        <m:sSub>
          <m:e>
            <m:r>
              <m:t>W</m:t>
            </m:r>
          </m:e>
          <m:sub>
            <m:r>
              <m:t>0</m:t>
            </m:r>
          </m:sub>
        </m:sSub>
      </m:oMath>
      <w:r>
        <w:t xml:space="preserve"> </w:t>
      </w:r>
      <w:r>
        <w:t xml:space="preserve">so inference incurs no added cost. The strength is decisive economy: the frozen backbone preserves its general visual knowledge while a negligible adapter specializes it, avoiding both the compute of full fine-tuning and the label-free ceiling of a purely frozen encoder. The limitations are equally direct and shape this thesis’s design. LoRA adaptation is</w:t>
      </w:r>
      <w:r>
        <w:t xml:space="preserve"> </w:t>
      </w:r>
      <w:r>
        <w:rPr>
          <w:b/>
          <w:bCs/>
        </w:rPr>
        <w:t xml:space="preserve">supervised and closed-set</w:t>
      </w:r>
      <w:r>
        <w:t xml:space="preserve"> </w:t>
      </w:r>
      <w:r>
        <w:t xml:space="preserve">— Chen et al. train on labeled synthetic renders over a fixed 394-class catalogue — and their model, trained exclusively on pristine synthetic type, is self-reported to fail on photographs and heavily styled graphics; its residual errors concentrate between near-identical weight variants of the same family (family-level accuracy falls to 40.2%), which the authors attribute to detail lost at the 224×224 input resolution. PEFT thus offers a cheap route to a</w:t>
      </w:r>
      <w:r>
        <w:t xml:space="preserve"> </w:t>
      </w:r>
      <w:r>
        <w:rPr>
          <w:i/>
          <w:iCs/>
        </w:rPr>
        <w:t xml:space="preserve">specialized</w:t>
      </w:r>
      <w:r>
        <w:t xml:space="preserve"> </w:t>
      </w:r>
      <w:r>
        <w:t xml:space="preserve">typographic encoder, but one whose closed-set, clean-glyph training is the very regime this thesis’s open-set, deformation-robust framing is built to move beyond.</w:t>
      </w:r>
    </w:p>
    <w:p>
      <w:pPr>
        <w:pStyle w:val="Heading3"/>
      </w:pPr>
      <w:r>
        <w:t xml:space="preserve">3.4.4 Structural-Similarity Metrics</w:t>
      </w:r>
    </w:p>
    <w:p>
      <w:pPr>
        <w:pStyle w:val="FirstParagraph"/>
      </w:pPr>
      <w:r>
        <w:t xml:space="preserve">To score how well a predicted font matches a crop, the framework needs a</w:t>
      </w:r>
      <w:r>
        <w:t xml:space="preserve"> </w:t>
      </w:r>
      <w:r>
        <w:rPr>
          <w:b/>
          <w:bCs/>
        </w:rPr>
        <w:t xml:space="preserve">structural-similarity metric</w:t>
      </w:r>
      <w:r>
        <w:t xml:space="preserve">, a measure of perceptual, structural agreement rather than pixel-by-pixel identity. The original one is the</w:t>
      </w:r>
      <w:r>
        <w:t xml:space="preserve"> </w:t>
      </w:r>
      <w:r>
        <w:rPr>
          <w:b/>
          <w:bCs/>
        </w:rPr>
        <w:t xml:space="preserve">Structural Similarity Index (SSIM)</w:t>
      </w:r>
      <w:r>
        <w:t xml:space="preserve"> </w:t>
      </w:r>
      <w:r>
        <w:t xml:space="preserve">of Wang et al. (2004), which models similarity as a product of luminance, contrast, and structure terms:</w:t>
      </w:r>
    </w:p>
    <w:p>
      <w:pPr>
        <w:pStyle w:val="BodyText"/>
      </w:pPr>
      <m:oMathPara>
        <m:oMathParaPr>
          <m:jc m:val="center"/>
        </m:oMathParaPr>
        <m:oMath>
          <m:r>
            <m:rPr>
              <m:nor/>
              <m:sty m:val="p"/>
            </m:rPr>
            <m:t>SSIM</m:t>
          </m:r>
          <m:r>
            <m:rPr>
              <m:sty m:val="p"/>
            </m:rPr>
            <m:t>(</m:t>
          </m:r>
          <m:r>
            <m:t>x</m:t>
          </m:r>
          <m:r>
            <m:rPr>
              <m:sty m:val="p"/>
            </m:rPr>
            <m:t>,</m:t>
          </m:r>
          <m:r>
            <m:t>y</m:t>
          </m:r>
          <m:r>
            <m:rPr>
              <m:sty m:val="p"/>
            </m:rPr>
            <m:t>)</m:t>
          </m:r>
          <m:r>
            <m:rPr>
              <m:sty m:val="p"/>
            </m:rPr>
            <m:t>=</m:t>
          </m:r>
          <m:f>
            <m:fPr>
              <m:type m:val="bar"/>
            </m:fPr>
            <m:num>
              <m:r>
                <m:rPr>
                  <m:sty m:val="p"/>
                </m:rPr>
                <m:t>(</m:t>
              </m:r>
              <m:r>
                <m:t>2</m:t>
              </m:r>
              <m:sSub>
                <m:e>
                  <m:r>
                    <m:t>μ</m:t>
                  </m:r>
                </m:e>
                <m:sub>
                  <m:r>
                    <m:t>x</m:t>
                  </m:r>
                </m:sub>
              </m:sSub>
              <m:sSub>
                <m:e>
                  <m:r>
                    <m:t>μ</m:t>
                  </m:r>
                </m:e>
                <m:sub>
                  <m:r>
                    <m:t>y</m:t>
                  </m:r>
                </m:sub>
              </m:sSub>
              <m:r>
                <m:rPr>
                  <m:sty m:val="p"/>
                </m:rPr>
                <m:t>+</m:t>
              </m:r>
              <m:sSub>
                <m:e>
                  <m:r>
                    <m:t>C</m:t>
                  </m:r>
                </m:e>
                <m:sub>
                  <m:r>
                    <m:t>1</m:t>
                  </m:r>
                </m:sub>
              </m:sSub>
              <m:r>
                <m:rPr>
                  <m:sty m:val="p"/>
                </m:rPr>
                <m:t>)</m:t>
              </m:r>
              <m:r>
                <m:rPr>
                  <m:sty m:val="p"/>
                </m:rPr>
                <m:t>(</m:t>
              </m:r>
              <m:r>
                <m:t>2</m:t>
              </m:r>
              <m:sSub>
                <m:e>
                  <m:r>
                    <m:t>σ</m:t>
                  </m:r>
                </m:e>
                <m:sub>
                  <m:r>
                    <m:t>x</m:t>
                  </m:r>
                  <m:r>
                    <m:t>y</m:t>
                  </m:r>
                </m:sub>
              </m:sSub>
              <m:r>
                <m:rPr>
                  <m:sty m:val="p"/>
                </m:rPr>
                <m:t>+</m:t>
              </m:r>
              <m:sSub>
                <m:e>
                  <m:r>
                    <m:t>C</m:t>
                  </m:r>
                </m:e>
                <m:sub>
                  <m:r>
                    <m:t>2</m:t>
                  </m:r>
                </m:sub>
              </m:sSub>
              <m:r>
                <m:rPr>
                  <m:sty m:val="p"/>
                </m:rPr>
                <m:t>)</m:t>
              </m:r>
            </m:num>
            <m:den>
              <m:r>
                <m:rPr>
                  <m:sty m:val="p"/>
                </m:rPr>
                <m:t>(</m:t>
              </m:r>
              <m:sSubSup>
                <m:e>
                  <m:r>
                    <m:t>μ</m:t>
                  </m:r>
                </m:e>
                <m:sub>
                  <m:r>
                    <m:t>x</m:t>
                  </m:r>
                </m:sub>
                <m:sup>
                  <m:r>
                    <m:t>2</m:t>
                  </m:r>
                </m:sup>
              </m:sSubSup>
              <m:r>
                <m:rPr>
                  <m:sty m:val="p"/>
                </m:rPr>
                <m:t>+</m:t>
              </m:r>
              <m:sSubSup>
                <m:e>
                  <m:r>
                    <m:t>μ</m:t>
                  </m:r>
                </m:e>
                <m:sub>
                  <m:r>
                    <m:t>y</m:t>
                  </m:r>
                </m:sub>
                <m:sup>
                  <m:r>
                    <m:t>2</m:t>
                  </m:r>
                </m:sup>
              </m:sSubSup>
              <m:r>
                <m:rPr>
                  <m:sty m:val="p"/>
                </m:rPr>
                <m:t>+</m:t>
              </m:r>
              <m:sSub>
                <m:e>
                  <m:r>
                    <m:t>C</m:t>
                  </m:r>
                </m:e>
                <m:sub>
                  <m:r>
                    <m:t>1</m:t>
                  </m:r>
                </m:sub>
              </m:sSub>
              <m:r>
                <m:rPr>
                  <m:sty m:val="p"/>
                </m:rPr>
                <m:t>)</m:t>
              </m:r>
              <m:r>
                <m:rPr>
                  <m:sty m:val="p"/>
                </m:rPr>
                <m:t>(</m:t>
              </m:r>
              <m:sSubSup>
                <m:e>
                  <m:r>
                    <m:t>σ</m:t>
                  </m:r>
                </m:e>
                <m:sub>
                  <m:r>
                    <m:t>x</m:t>
                  </m:r>
                </m:sub>
                <m:sup>
                  <m:r>
                    <m:t>2</m:t>
                  </m:r>
                </m:sup>
              </m:sSubSup>
              <m:r>
                <m:rPr>
                  <m:sty m:val="p"/>
                </m:rPr>
                <m:t>+</m:t>
              </m:r>
              <m:sSubSup>
                <m:e>
                  <m:r>
                    <m:t>σ</m:t>
                  </m:r>
                </m:e>
                <m:sub>
                  <m:r>
                    <m:t>y</m:t>
                  </m:r>
                </m:sub>
                <m:sup>
                  <m:r>
                    <m:t>2</m:t>
                  </m:r>
                </m:sup>
              </m:sSubSup>
              <m:r>
                <m:rPr>
                  <m:sty m:val="p"/>
                </m:rPr>
                <m:t>+</m:t>
              </m:r>
              <m:sSub>
                <m:e>
                  <m:r>
                    <m:t>C</m:t>
                  </m:r>
                </m:e>
                <m:sub>
                  <m:r>
                    <m:t>2</m:t>
                  </m:r>
                </m:sub>
              </m:sSub>
              <m:r>
                <m:rPr>
                  <m:sty m:val="p"/>
                </m:rPr>
                <m:t>)</m:t>
              </m:r>
            </m:den>
          </m:f>
          <m:r>
            <m:rPr>
              <m:sty m:val="p"/>
            </m:rPr>
            <m:t>,</m:t>
          </m:r>
          <m:r>
            <m:t>  </m:t>
          </m:r>
          <m:r>
            <m:rPr>
              <m:sty m:val="p"/>
            </m:rPr>
            <m:t>(</m:t>
          </m:r>
          <m:r>
            <m:t>11</m:t>
          </m:r>
          <m:r>
            <m:rPr>
              <m:sty m:val="p"/>
            </m:rPr>
            <m:t>)</m:t>
          </m:r>
        </m:oMath>
      </m:oMathPara>
    </w:p>
    <w:p>
      <w:pPr>
        <w:pStyle w:val="FirstParagraph"/>
      </w:pPr>
      <w:r>
        <w:t xml:space="preserve">where</w:t>
      </w:r>
      <w:r>
        <w:t xml:space="preserve"> </w:t>
      </w:r>
      <m:oMath>
        <m:sSub>
          <m:e>
            <m:r>
              <m:t>μ</m:t>
            </m:r>
          </m:e>
          <m:sub>
            <m:r>
              <m:t>x</m:t>
            </m:r>
          </m:sub>
        </m:sSub>
        <m:r>
          <m:rPr>
            <m:sty m:val="p"/>
          </m:rPr>
          <m:t>,</m:t>
        </m:r>
        <m:sSub>
          <m:e>
            <m:r>
              <m:t>μ</m:t>
            </m:r>
          </m:e>
          <m:sub>
            <m:r>
              <m:t>y</m:t>
            </m:r>
          </m:sub>
        </m:sSub>
      </m:oMath>
      <w:r>
        <w:t xml:space="preserve"> </w:t>
      </w:r>
      <w:r>
        <w:t xml:space="preserve">are the mean intensities of the two image windows</w:t>
      </w:r>
      <w:r>
        <w:t xml:space="preserve"> </w:t>
      </w:r>
      <m:oMath>
        <m:r>
          <m:t>x</m:t>
        </m:r>
      </m:oMath>
      <w:r>
        <w:t xml:space="preserve"> </w:t>
      </w:r>
      <w:r>
        <w:t xml:space="preserve">and</w:t>
      </w:r>
      <w:r>
        <w:t xml:space="preserve"> </w:t>
      </w:r>
      <m:oMath>
        <m:r>
          <m:t>y</m:t>
        </m:r>
      </m:oMath>
      <w:r>
        <w:t xml:space="preserve">,</w:t>
      </w:r>
      <w:r>
        <w:t xml:space="preserve"> </w:t>
      </w:r>
      <m:oMath>
        <m:sSubSup>
          <m:e>
            <m:r>
              <m:t>σ</m:t>
            </m:r>
          </m:e>
          <m:sub>
            <m:r>
              <m:t>x</m:t>
            </m:r>
          </m:sub>
          <m:sup>
            <m:r>
              <m:t>2</m:t>
            </m:r>
          </m:sup>
        </m:sSubSup>
        <m:r>
          <m:rPr>
            <m:sty m:val="p"/>
          </m:rPr>
          <m:t>,</m:t>
        </m:r>
        <m:sSubSup>
          <m:e>
            <m:r>
              <m:t>σ</m:t>
            </m:r>
          </m:e>
          <m:sub>
            <m:r>
              <m:t>y</m:t>
            </m:r>
          </m:sub>
          <m:sup>
            <m:r>
              <m:t>2</m:t>
            </m:r>
          </m:sup>
        </m:sSubSup>
      </m:oMath>
      <w:r>
        <w:t xml:space="preserve"> </w:t>
      </w:r>
      <w:r>
        <w:t xml:space="preserve">their variances,</w:t>
      </w:r>
      <w:r>
        <w:t xml:space="preserve"> </w:t>
      </w:r>
      <m:oMath>
        <m:sSub>
          <m:e>
            <m:r>
              <m:t>σ</m:t>
            </m:r>
          </m:e>
          <m:sub>
            <m:r>
              <m:t>x</m:t>
            </m:r>
            <m:r>
              <m:t>y</m:t>
            </m:r>
          </m:sub>
        </m:sSub>
      </m:oMath>
      <w:r>
        <w:t xml:space="preserve"> </w:t>
      </w:r>
      <w:r>
        <w:t xml:space="preserve">their covariance, and</w:t>
      </w:r>
      <w:r>
        <w:t xml:space="preserve"> </w:t>
      </w:r>
      <m:oMath>
        <m:sSub>
          <m:e>
            <m:r>
              <m:t>C</m:t>
            </m:r>
          </m:e>
          <m:sub>
            <m:r>
              <m:t>1</m:t>
            </m:r>
          </m:sub>
        </m:sSub>
        <m:r>
          <m:rPr>
            <m:sty m:val="p"/>
          </m:rPr>
          <m:t>,</m:t>
        </m:r>
        <m:sSub>
          <m:e>
            <m:r>
              <m:t>C</m:t>
            </m:r>
          </m:e>
          <m:sub>
            <m:r>
              <m:t>2</m:t>
            </m:r>
          </m:sub>
        </m:sSub>
      </m:oMath>
      <w:r>
        <w:t xml:space="preserve"> </w:t>
      </w:r>
      <w:r>
        <w:t xml:space="preserve">small constants that prevent division by zero. SSIM is interpretable and computationally light, but classical pixel-SSIM collapses under</w:t>
      </w:r>
      <w:r>
        <w:t xml:space="preserve"> </w:t>
      </w:r>
      <w:r>
        <w:rPr>
          <w:b/>
          <w:bCs/>
        </w:rPr>
        <w:t xml:space="preserve">geometric misalignment</w:t>
      </w:r>
      <w:r>
        <w:t xml:space="preserve"> </w:t>
      </w:r>
      <w:r>
        <w:t xml:space="preserve">(when the two images are warped or shifted relative to each other), which is the normal case for a hallucinated glyph. Figure 6 illustrates the re-render-and-compare protocol this metric serves.</w:t>
      </w:r>
    </w:p>
    <w:p>
      <w:pPr>
        <w:pStyle w:val="BodyText"/>
        <w:keepNext/>
      </w:pPr>
      <w:r>
        <w:rPr>
          <w:b/>
          <w:bCs/>
        </w:rPr>
        <w:t xml:space="preserve">Figure 6</w:t>
      </w:r>
    </w:p>
    <w:p>
      <w:pPr>
        <w:pStyle w:val="BodyText"/>
        <w:keepNext/>
      </w:pPr>
      <w:r>
        <w:rPr>
          <w:i/>
          <w:iCs/>
        </w:rPr>
        <w:t xml:space="preserve">Structural-Similarity Re-Render-and-Compare Pipeline</w:t>
      </w:r>
    </w:p>
    <w:p>
      <w:pPr>
        <w:pStyle w:val="CaptionedFigure"/>
      </w:pPr>
      <w:r>
        <w:drawing>
          <wp:inline>
            <wp:extent cx="5334000" cy="1979692"/>
            <wp:effectExtent b="0" l="0" r="0" t="0"/>
            <wp:docPr descr="Pipeline rendering a predicted font to a clean glyph, then scoring its structural similarity against the deformed input crop" title="" id="57" name="Picture"/>
            <a:graphic>
              <a:graphicData uri="http://schemas.openxmlformats.org/drawingml/2006/picture">
                <pic:pic>
                  <pic:nvPicPr>
                    <pic:cNvPr descr="assets/figures/ssim_pipeline.png" id="58" name="Picture"/>
                    <pic:cNvPicPr>
                      <a:picLocks noChangeArrowheads="1" noChangeAspect="1"/>
                    </pic:cNvPicPr>
                  </pic:nvPicPr>
                  <pic:blipFill>
                    <a:blip r:embed="rId56"/>
                    <a:stretch>
                      <a:fillRect/>
                    </a:stretch>
                  </pic:blipFill>
                  <pic:spPr bwMode="auto">
                    <a:xfrm>
                      <a:off x="0" y="0"/>
                      <a:ext cx="5334000" cy="1979692"/>
                    </a:xfrm>
                    <a:prstGeom prst="rect">
                      <a:avLst/>
                    </a:prstGeom>
                    <a:noFill/>
                    <a:ln w="9525">
                      <a:noFill/>
                      <a:headEnd/>
                      <a:tailEnd/>
                    </a:ln>
                  </pic:spPr>
                </pic:pic>
              </a:graphicData>
            </a:graphic>
          </wp:inline>
        </w:drawing>
      </w:r>
    </w:p>
    <w:p>
      <w:pPr>
        <w:pStyle w:val="BodyText"/>
      </w:pPr>
      <w:r>
        <w:t xml:space="preserve">As shown in Figure 6, the predicted typeface is re-rendered and scored against the input crop, which is where classical SSIM’s alignment assumption breaks. Two deep successors address this: Zhang et al. (2024) compute</w:t>
      </w:r>
      <w:r>
        <w:t xml:space="preserve"> </w:t>
      </w:r>
      <w:r>
        <w:rPr>
          <w:b/>
          <w:bCs/>
        </w:rPr>
        <w:t xml:space="preserve">DeepSSIM</w:t>
      </w:r>
      <w:r>
        <w:t xml:space="preserve"> </w:t>
      </w:r>
      <w:r>
        <w:t xml:space="preserve">over deep feature maps with an attention-calibration step, which keeps the score valid under geometric misalignment, and Li et al. (2025) build</w:t>
      </w:r>
      <w:r>
        <w:t xml:space="preserve"> </w:t>
      </w:r>
      <w:r>
        <w:rPr>
          <w:b/>
          <w:bCs/>
        </w:rPr>
        <w:t xml:space="preserve">SAMScore</w:t>
      </w:r>
      <w:r>
        <w:t xml:space="preserve"> </w:t>
      </w:r>
      <w:r>
        <w:t xml:space="preserve">on segmentation-model embeddings to measure whether a transformed image preserves source</w:t>
      </w:r>
      <w:r>
        <w:t xml:space="preserve"> </w:t>
      </w:r>
      <w:r>
        <w:rPr>
          <w:i/>
          <w:iCs/>
        </w:rPr>
        <w:t xml:space="preserve">content structure</w:t>
      </w:r>
      <w:r>
        <w:t xml:space="preserve">. Both are deformation-robust in principle, but both were validated on natural-image translation tasks, never on re-rendered glyphs. That untested transfer is what this thesis must confront.</w:t>
      </w:r>
    </w:p>
    <w:p>
      <w:pPr>
        <w:pStyle w:val="Heading3"/>
      </w:pPr>
      <w:r>
        <w:t xml:space="preserve">3.4.5 Latent Diffusion as the Generative Source</w:t>
      </w:r>
    </w:p>
    <w:p>
      <w:pPr>
        <w:pStyle w:val="FirstParagraph"/>
      </w:pPr>
      <w:r>
        <w:t xml:space="preserve">Finally, the input distribution itself originates from</w:t>
      </w:r>
      <w:r>
        <w:t xml:space="preserve"> </w:t>
      </w:r>
      <w:r>
        <w:rPr>
          <w:b/>
          <w:bCs/>
        </w:rPr>
        <w:t xml:space="preserve">latent diffusion</w:t>
      </w:r>
      <w:r>
        <w:t xml:space="preserve">, the class of generative models that synthesize images by iteratively denoising a compressed latent representation. Kondo et al. (2024) show that interpolating in this latent space natively emits novel, unclassified glyph geometries with fluid visual traits, which is peer-reviewed evidence that typographic deformation is intrinsic to the model class. Its strength as a generator is its weakness for this thesis: the process is uncontrolled with respect to font identity and produces glyphs that belong to no catalogued typeface. Diffusion is therefore the source of the problem this framework must handle, not a solution to it. That is why the thesis treats its deformed output as the input distribution, which the following chapter’s pipeline is built to handle.</w:t>
      </w:r>
    </w:p>
    <w:p>
      <w:pPr>
        <w:pStyle w:val="Heading2"/>
      </w:pPr>
      <w:r>
        <w:t xml:space="preserve">3.5 Problem Context</w:t>
      </w:r>
    </w:p>
    <w:p>
      <w:pPr>
        <w:pStyle w:val="FirstParagraph"/>
      </w:pPr>
      <w:r>
        <w:t xml:space="preserve">Having assembled the concepts, theory, and tooling, this section states why no existing solution suffices on the input distribution this thesis targets: the</w:t>
      </w:r>
      <w:r>
        <w:t xml:space="preserve"> </w:t>
      </w:r>
      <w:r>
        <w:rPr>
          <w:b/>
          <w:bCs/>
        </w:rPr>
        <w:t xml:space="preserve">in-the-wild GenAI crop</w:t>
      </w:r>
      <w:r>
        <w:t xml:space="preserve">, a fragment of text lifted from a generative-AI image whose glyphs are probabilistically deformed rather than pristine. Each mature tool works well on the distribution it was built for and fails on this one.</w:t>
      </w:r>
    </w:p>
    <w:p>
      <w:pPr>
        <w:pStyle w:val="BodyText"/>
      </w:pPr>
      <w:r>
        <w:t xml:space="preserve">Classical OCR and closed-boundary layout analysis are the first casualty. Ponnuru et al. (2024) digitize smudged, handwritten prescriptions at a 98% accuracy baseline, which shows that traditional pipelines handle</w:t>
      </w:r>
      <w:r>
        <w:t xml:space="preserve"> </w:t>
      </w:r>
      <w:r>
        <w:rPr>
          <w:i/>
          <w:iCs/>
        </w:rPr>
        <w:t xml:space="preserve">environmental</w:t>
      </w:r>
      <w:r>
        <w:t xml:space="preserve"> </w:t>
      </w:r>
      <w:r>
        <w:t xml:space="preserve">noise on anatomically correct text with ease; but their adaptive-thresholding and bounding-box machinery presupposes rigid glyph geometry, which the topological warping of hallucinated type dissolves. The DeepFont-style</w:t>
      </w:r>
      <w:r>
        <w:t xml:space="preserve"> </w:t>
      </w:r>
      <w:r>
        <w:rPr>
          <w:rStyle w:val="VerbatimChar"/>
        </w:rPr>
        <w:t xml:space="preserve">font-classify</w:t>
      </w:r>
      <w:r>
        <w:t xml:space="preserve"> </w:t>
      </w:r>
      <w:r>
        <w:t xml:space="preserve">baseline established in Section 3.2 fails for a different reason: trained on clean synthetic glyphs, it is</w:t>
      </w:r>
      <w:r>
        <w:t xml:space="preserve"> </w:t>
      </w:r>
      <w:r>
        <w:rPr>
          <w:b/>
          <w:bCs/>
        </w:rPr>
        <w:t xml:space="preserve">pristine over-fit</w:t>
      </w:r>
      <w:r>
        <w:t xml:space="preserve"> </w:t>
      </w:r>
      <w:r>
        <w:t xml:space="preserve">(tuned so tightly to geometrically exact vectors that deformed input falls off its learned manifold) and</w:t>
      </w:r>
      <w:r>
        <w:t xml:space="preserve"> </w:t>
      </w:r>
      <w:r>
        <w:rPr>
          <w:b/>
          <w:bCs/>
        </w:rPr>
        <w:t xml:space="preserve">closed-set</w:t>
      </w:r>
      <w:r>
        <w:t xml:space="preserve"> </w:t>
      </w:r>
      <w:r>
        <w:t xml:space="preserve">(it assumes every query belongs to a catalogued class and is therefore forced to return some known font even when the true typeface is absent). The measurement tools inherit the same brittleness: classical pixel-SSIM (Section 3.4) demands</w:t>
      </w:r>
      <w:r>
        <w:t xml:space="preserve"> </w:t>
      </w:r>
      <w:r>
        <w:rPr>
          <w:b/>
          <w:bCs/>
        </w:rPr>
        <w:t xml:space="preserve">pixel registration</w:t>
      </w:r>
      <w:r>
        <w:t xml:space="preserve">, an exact per-pixel correspondence between the two images, which warped, re-kerned glyphs break outright. A general vision-language model is no escape either; Li, Song, et al. (2025) show that state-of-the-art VLMs get lost in font recognition, derailed by the word’s semantic content instead of reading its visual texture. Even the closest typographic precedent falls short: the L2@k and cos@k font-fidelity metrics of Jiang et al. (2025), computed over the very Storia-AI classifier this thesis adopts as its baseline, assume an</w:t>
      </w:r>
      <w:r>
        <w:t xml:space="preserve"> </w:t>
      </w:r>
      <w:r>
        <w:rPr>
          <w:i/>
          <w:iCs/>
        </w:rPr>
        <w:t xml:space="preserve">undeformed</w:t>
      </w:r>
      <w:r>
        <w:t xml:space="preserve"> </w:t>
      </w:r>
      <w:r>
        <w:t xml:space="preserve">input glyph and so cannot faithfully score a hallucinated crop. That the deformation is endemic rather than incidental is settled by Liu et al. (2024), who find that an uncorrected generative pipeline renders text correctly less than 20% of the time, which is the empirical size of the problem this thesis exploits.</w:t>
      </w:r>
    </w:p>
    <w:p>
      <w:pPr>
        <w:pStyle w:val="BodyText"/>
      </w:pPr>
      <w:r>
        <w:t xml:space="preserve">These failures converge on a single</w:t>
      </w:r>
      <w:r>
        <w:t xml:space="preserve"> </w:t>
      </w:r>
      <w:r>
        <w:rPr>
          <w:b/>
          <w:bCs/>
        </w:rPr>
        <w:t xml:space="preserve">consolidated gap</w:t>
      </w:r>
      <w:r>
        <w:t xml:space="preserve">. No existing framework couples an attention-isolated text crop → a deformation-robust, frozen-ViT metric embedding → open-set font-identity ranking with a calibrated Top-K over a</w:t>
      </w:r>
      <w:r>
        <w:t xml:space="preserve"> </w:t>
      </w:r>
      <w:r>
        <w:rPr>
          <w:b/>
          <w:bCs/>
        </w:rPr>
        <w:t xml:space="preserve">localized open-set palette</w:t>
      </w:r>
      <w:r>
        <w:t xml:space="preserve"> </w:t>
      </w:r>
      <w:r>
        <w:t xml:space="preserve">(the top 50 to 100 Google Fonts) on the GenAI-deformed input distribution. Figure 7 previews the end-to-end framework this thesis assembles to fill that gap.</w:t>
      </w:r>
    </w:p>
    <w:p>
      <w:pPr>
        <w:pStyle w:val="BodyText"/>
        <w:keepNext/>
      </w:pPr>
      <w:r>
        <w:rPr>
          <w:b/>
          <w:bCs/>
        </w:rPr>
        <w:t xml:space="preserve">Figure 7</w:t>
      </w:r>
    </w:p>
    <w:p>
      <w:pPr>
        <w:pStyle w:val="BodyText"/>
        <w:keepNext/>
      </w:pPr>
      <w:r>
        <w:rPr>
          <w:i/>
          <w:iCs/>
        </w:rPr>
        <w:t xml:space="preserve">End-to-End Architecture of the Proposed Font-Style Recognition Framework</w:t>
      </w:r>
    </w:p>
    <w:p>
      <w:pPr>
        <w:pStyle w:val="CaptionedFigure"/>
      </w:pPr>
      <w:r>
        <w:drawing>
          <wp:inline>
            <wp:extent cx="5334000" cy="6733568"/>
            <wp:effectExtent b="0" l="0" r="0" t="0"/>
            <wp:docPr descr="Flowchart of the proposed pipeline: a GenAI image feeds attention-based crop isolation, then a frozen Vision Transformer encoder, then a metric-embedding head, then open-set ranking with a calibrated Top-K shortlist over the localized Google-Fonts palette" title="" id="63" name="Picture"/>
            <a:graphic>
              <a:graphicData uri="http://schemas.openxmlformats.org/drawingml/2006/picture">
                <pic:pic>
                  <pic:nvPicPr>
                    <pic:cNvPr descr="assets/figures/system_pipeline.png" id="64" name="Picture"/>
                    <pic:cNvPicPr>
                      <a:picLocks noChangeArrowheads="1" noChangeAspect="1"/>
                    </pic:cNvPicPr>
                  </pic:nvPicPr>
                  <pic:blipFill>
                    <a:blip r:embed="rId62"/>
                    <a:stretch>
                      <a:fillRect/>
                    </a:stretch>
                  </pic:blipFill>
                  <pic:spPr bwMode="auto">
                    <a:xfrm>
                      <a:off x="0" y="0"/>
                      <a:ext cx="5334000" cy="6733568"/>
                    </a:xfrm>
                    <a:prstGeom prst="rect">
                      <a:avLst/>
                    </a:prstGeom>
                    <a:noFill/>
                    <a:ln w="9525">
                      <a:noFill/>
                      <a:headEnd/>
                      <a:tailEnd/>
                    </a:ln>
                  </pic:spPr>
                </pic:pic>
              </a:graphicData>
            </a:graphic>
          </wp:inline>
        </w:drawing>
      </w:r>
    </w:p>
    <w:p>
      <w:pPr>
        <w:pStyle w:val="BodyText"/>
      </w:pPr>
      <w:r>
        <w:t xml:space="preserve">As shown in Figure 7, an isolated crop flows through the frozen-ViT encoder into a metric embedding, where an open-set rejection score and a calibrated Top-K produce a ranked shortlist over the localized Google-Fonts palette. This is the coupling that the preceding tools, taken one at a time, leave unbuilt.</w:t>
      </w:r>
    </w:p>
    <w:p>
      <w:pPr>
        <w:pStyle w:val="BodyText"/>
      </w:pPr>
      <w:r>
        <w:t xml:space="preserve">Having established the typographic, deep-learning, metric-learning, and open-set foundations, along with the specific technical gap they leave open, the next chapter details the synthetic-degradation pipeline that manufactures deformed training data, the model architecture that embeds and ranks each crop, and the evaluation protocol that measures the framework against a human-proxy baseline.</w:t>
      </w:r>
    </w:p>
    <w:p>
      <w:r>
        <w:br w:type="page"/>
      </w:r>
    </w:p>
    <w:p>
      <w:pPr>
        <w:pStyle w:val="Heading1"/>
      </w:pPr>
      <w:r>
        <w:t xml:space="preserve">Chapter 4: Methodology</w:t>
      </w:r>
    </w:p>
    <w:p>
      <w:pPr>
        <w:pStyle w:val="Heading2"/>
      </w:pPr>
      <w:r>
        <w:t xml:space="preserve">4.1 Research Environment and Respondents</w:t>
      </w:r>
    </w:p>
    <w:p>
      <w:pPr>
        <w:pStyle w:val="FirstParagraph"/>
      </w:pPr>
      <w:r>
        <w:t xml:space="preserve">This study is conducted entirely in a computational environment. It does not survey a human population. Instead, it studies typographic artifacts: the units of analysis are</w:t>
      </w:r>
      <w:r>
        <w:t xml:space="preserve"> </w:t>
      </w:r>
      <w:r>
        <w:rPr>
          <w:i/>
          <w:iCs/>
        </w:rPr>
        <w:t xml:space="preserve">fonts</w:t>
      </w:r>
      <w:r>
        <w:t xml:space="preserve"> </w:t>
      </w:r>
      <w:r>
        <w:t xml:space="preserve">and the</w:t>
      </w:r>
      <w:r>
        <w:t xml:space="preserve"> </w:t>
      </w:r>
      <w:r>
        <w:rPr>
          <w:i/>
          <w:iCs/>
        </w:rPr>
        <w:t xml:space="preserve">rendered text-crop images</w:t>
      </w:r>
      <w:r>
        <w:t xml:space="preserve"> </w:t>
      </w:r>
      <w:r>
        <w:t xml:space="preserve">derived from them. The study addresses typographic hallucination in generative AI images, and no clean, labeled corpus of such hallucinated text exists at the scale a metric-learning model needs. The researchers therefore generate the primary dataset themselves, from a curated open-source font palette, rather than downloading one ready-made. This follows the precedent of DeepFont, which also built a targeted synthetic dataset of rendered glyphs to train a deep visual font recognizer (Wang et al., 2015).</w:t>
      </w:r>
    </w:p>
    <w:p>
      <w:pPr>
        <w:pStyle w:val="Heading3"/>
      </w:pPr>
      <w:r>
        <w:t xml:space="preserve">Digital Source and Trusted Environment</w:t>
      </w:r>
    </w:p>
    <w:p>
      <w:pPr>
        <w:pStyle w:val="FirstParagraph"/>
      </w:pPr>
      <w:r>
        <w:t xml:space="preserve">The font palette comes from Google Fonts (https://fonts.google.com; source repository https://github.com/google/fonts), the open-source typeface library maintained by Google LLC. Google Fonts is a trusted environment for three reasons. First, its typefaces are released under permissive open licenses, predominantly the SIL Open Font License. Every typeface can therefore be freely rendered, degraded, and redistributed, without the licensing restrictions that commercial font catalogues carry. Second, the collection is curated and version-controlled. Each typeface has a stable identity and a traceable history, which a reproducible dataset requires. Third, these typefaces are among the most widely used on the web. A model trained on them therefore maps hallucinated text back onto a palette that designers can actually reuse for free. From this library the study selects the top 50 to 100 fonts, following the platform’s own popularity ranking and chosen to span the four structural family classes established in Section 3.2.1: serif, sans-serif, display, and monospace.</w:t>
      </w:r>
    </w:p>
    <w:p>
      <w:pPr>
        <w:pStyle w:val="BodyText"/>
      </w:pPr>
      <w:r>
        <w:t xml:space="preserve">The palette is deliberately small, and the decision rests on both the design of the framework and the published evidence on large catalogues. On the design side: the system performs open-set recognition, in which the set of known fonts is intentionally finite and every input outside that set is routed to an</w:t>
      </w:r>
      <w:r>
        <w:t xml:space="preserve"> </w:t>
      </w:r>
      <w:r>
        <w:t xml:space="preserve">“unknown”</w:t>
      </w:r>
      <w:r>
        <w:t xml:space="preserve"> </w:t>
      </w:r>
      <w:r>
        <w:t xml:space="preserve">verdict. The space of possible fonts is effectively unbounded and cannot be enumerated (Lu et al., 2025). A small, well-chosen known set is therefore the premise of the design, not a limitation of it. On the evidence side: enlarging a font catalogue buys coverage, but not robustness. The Storia-AI classifier covers 3,474 fonts — the largest reference embedding in the field — yet it still overfits to pristine glyphs and breaks down under generative deformation (Jiang et al., 2025). Chen et al. (2026) observed the same pattern at a smaller scale: expanding their model to 394 font variants dropped family-level accuracy to 40.2%, because most of the added fonts were near-identical weight variants that the model constantly confused with one another. A curated palette that leaves out such near-duplicates avoids this failure directly. Trimming the palette also excludes the typographic long tail of rare and ornamental faces. Those faces are the hardest to recognize and the ones diffusion models hallucinate most severely (Zhuang et al., 2025). A smaller palette additionally keeps the number of training images per font high, because a fixed rendering budget spread over fewer classes yields more examples of each. Finally, the study’s reconstruction goal only requires the fonts designers actually reuse — and the popularity ranking surfaces exactly those.</w:t>
      </w:r>
    </w:p>
    <w:p>
      <w:pPr>
        <w:pStyle w:val="BodyText"/>
      </w:pPr>
      <w:r>
        <w:t xml:space="preserve">A second, external repository defines the study’s comparative baseline: Storia-AI’s Google Font Classifier (the</w:t>
      </w:r>
      <w:r>
        <w:t xml:space="preserve"> </w:t>
      </w:r>
      <w:r>
        <w:rPr>
          <w:rStyle w:val="VerbatimChar"/>
        </w:rPr>
        <w:t xml:space="preserve">font-classify/</w:t>
      </w:r>
      <w:r>
        <w:t xml:space="preserve"> </w:t>
      </w:r>
      <w:r>
        <w:t xml:space="preserve">sandbox), a pre-trained classifier over 3,474 Google Fonts. It was chosen because it is the field’s reference embedding for font identity, adopted as the fidelity backbone in recent typographic work (Jiang et al., 2025). Benchmarking against it lets the study show, on a recognized standard, how weights fitted to pristine glyphs degrade when the input is deformed by generative AI.</w:t>
      </w:r>
    </w:p>
    <w:p>
      <w:pPr>
        <w:pStyle w:val="Heading3"/>
      </w:pPr>
      <w:r>
        <w:t xml:space="preserve">Respondents: The Entities Being Studied</w:t>
      </w:r>
    </w:p>
    <w:p>
      <w:pPr>
        <w:pStyle w:val="FirstParagraph"/>
      </w:pPr>
      <w:r>
        <w:t xml:space="preserve">Because the data concern non-human objects, there are no human respondents in the primary sense. The entities being studied are of two linked kinds:</w:t>
      </w:r>
    </w:p>
    <w:p>
      <w:pPr>
        <w:numPr>
          <w:ilvl w:val="0"/>
          <w:numId w:val="1003"/>
        </w:numPr>
      </w:pPr>
      <w:r>
        <w:rPr>
          <w:b/>
          <w:bCs/>
        </w:rPr>
        <w:t xml:space="preserve">Fonts (typefaces).</w:t>
      </w:r>
      <w:r>
        <w:t xml:space="preserve"> </w:t>
      </w:r>
      <w:r>
        <w:t xml:space="preserve">The 50 to 100 selected Google Fonts are the population of typographic identities the system must recognize. Each font is one class label in the recognition problem. Each is characterized by the measurable structural traits defined in Chapter 3: x-height, terminal form, stroke contrast, and counter shape.</w:t>
      </w:r>
    </w:p>
    <w:p>
      <w:pPr>
        <w:numPr>
          <w:ilvl w:val="0"/>
          <w:numId w:val="1003"/>
        </w:numPr>
      </w:pPr>
      <w:r>
        <w:rPr>
          <w:b/>
          <w:bCs/>
        </w:rPr>
        <w:t xml:space="preserve">Rendered text-crop images.</w:t>
      </w:r>
      <w:r>
        <w:t xml:space="preserve"> </w:t>
      </w:r>
      <w:r>
        <w:t xml:space="preserve">From each font, the pipeline renders clean word crops and then applies the degradation operator of Section 3.2.3 to produce hallucinated variants. These grayscale image crops, standardized to a fixed input resolution (Section 4.3.1), are the individual</w:t>
      </w:r>
      <w:r>
        <w:t xml:space="preserve"> </w:t>
      </w:r>
      <w:r>
        <w:t xml:space="preserve">“profiles”</w:t>
      </w:r>
      <w:r>
        <w:t xml:space="preserve"> </w:t>
      </w:r>
      <w:r>
        <w:t xml:space="preserve">the model actually consumes. Each degraded crop is one instance, and its ground-truth label is the font it was rendered from.</w:t>
      </w:r>
    </w:p>
    <w:p>
      <w:pPr>
        <w:pStyle w:val="FirstParagraph"/>
      </w:pPr>
      <w:r>
        <w:t xml:space="preserve">The</w:t>
      </w:r>
      <w:r>
        <w:t xml:space="preserve"> </w:t>
      </w:r>
      <w:r>
        <w:rPr>
          <w:b/>
          <w:bCs/>
        </w:rPr>
        <w:t xml:space="preserve">unit of analysis is the isolated text crop</w:t>
      </w:r>
      <w:r>
        <w:t xml:space="preserve">, not the full image. A real deployment receives a whole generative-AI image, which may contain several pieces of text in different fonts. An upstream step must therefore locate and cut out each piece before recognition can begin. That localization is handled by a standard off-the-shelf text detector, and it is treated as a boundary of the study rather than a contribution: this study does not train, tune, or evaluate the localizer, and it reports no detection metrics. Every crop the localizer emits is classified independently by the recognition engine — and the recognition engine is where the thesis’s contribution lies. Fixing the crop as the unit of analysis keeps the dataset, the metrics of Section 4.2, and the human-proxy baseline all defined at the same level.</w:t>
      </w:r>
    </w:p>
    <w:p>
      <w:pPr>
        <w:pStyle w:val="BodyText"/>
      </w:pPr>
      <w:r>
        <w:t xml:space="preserve">A small human element enters only at the evaluation stage, and strictly as a benchmark rather than a study population. A three-person consensus panel establishes a human-proxy ground truth over a held-out set of 100 real generative-AI text boxes. This panel provides the accuracy floor against which the automated system is compared (Section 4.10); its composition and screening criteria are specified there. The raters are practicing typography and design professionals, and gathering them for a supervised, face-to-face labeling session would be impractical. The panel therefore works in a</w:t>
      </w:r>
      <w:r>
        <w:t xml:space="preserve"> </w:t>
      </w:r>
      <w:r>
        <w:rPr>
          <w:b/>
          <w:bCs/>
        </w:rPr>
        <w:t xml:space="preserve">remote, asynchronous online environment</w:t>
      </w:r>
      <w:r>
        <w:t xml:space="preserve">: each rater completes the rating exercise independently through a web-based form, at their own pace, with no shared session and no contact between raters. This distributed setup protects rater independence by construction, because no rater can see another’s judgments before submitting. It also keeps the environment reproducible, because every rater receives the identical instrument over the identical set of crops. The administration of the form is detailed in Section 4.2.3. Apart from this panel, the study’s respondents are entirely typographic artifacts.</w:t>
      </w:r>
    </w:p>
    <w:p>
      <w:pPr>
        <w:pStyle w:val="Heading2"/>
      </w:pPr>
      <w:r>
        <w:t xml:space="preserve">4.2 Research Instrument or Sources of Data</w:t>
      </w:r>
    </w:p>
    <w:p>
      <w:pPr>
        <w:pStyle w:val="FirstParagraph"/>
      </w:pPr>
      <w:r>
        <w:t xml:space="preserve">This study works on typographic artifacts rather than human respondents, so its</w:t>
      </w:r>
      <w:r>
        <w:t xml:space="preserve"> </w:t>
      </w:r>
      <w:r>
        <w:t xml:space="preserve">“instruments”</w:t>
      </w:r>
      <w:r>
        <w:t xml:space="preserve"> </w:t>
      </w:r>
      <w:r>
        <w:t xml:space="preserve">are not questionnaires or surveys. They are the software apparatus that manufactures, measures, and adjudicates the data. Four instruments are used. The first is a researcher-made synthetic-data pipeline that produces the training and validation corpus. The second is a set of standardized evaluation metrics that score the model’s output. The third is a researcher-made rating rubric through which a human panel fixes ground truth on real generative crops. The fourth is a web application that exercises the trained model in real time. The first three supply and assess data; the fourth is the interactive artifact through which the system is demonstrated and stress-tested.</w:t>
      </w:r>
    </w:p>
    <w:p>
      <w:pPr>
        <w:pStyle w:val="Heading3"/>
      </w:pPr>
      <w:r>
        <w:t xml:space="preserve">4.2.1 Synthetic-Data Generation Pipeline (Researcher-Made)</w:t>
      </w:r>
    </w:p>
    <w:p>
      <w:pPr>
        <w:pStyle w:val="FirstParagraph"/>
      </w:pPr>
      <w:r>
        <w:t xml:space="preserve">The primary instrument is a rendering-and-degradation pipeline built by the researchers. Its purpose is to generate a large, fully labeled corpus of text-crop images — a corpus with no in-the-wild equivalent at the scale metric learning requires. It follows the synthetic-corpus precedent of DeepFont (Wang et al., 2015) and the more recent DINOv2-based font pipeline of Chen et al. (2026). The pipeline has two stages. The rendering stage draws clean word crops from the selected Google Fonts palette. The degradation stage applies the operator</w:t>
      </w:r>
      <w:r>
        <w:t xml:space="preserve"> </w:t>
      </w:r>
      <m:oMath>
        <m:r>
          <m:t>D</m:t>
        </m:r>
      </m:oMath>
      <w:r>
        <w:t xml:space="preserve"> </w:t>
      </w:r>
      <w:r>
        <w:t xml:space="preserve">defined in Section 3.2.3 — elastic warp, Gaussian blur and noise, and kerning jitter — to turn each clean crop into a hallucinated look-alike.</w:t>
      </w:r>
    </w:p>
    <w:p>
      <w:pPr>
        <w:pStyle w:val="BodyText"/>
      </w:pPr>
      <w:r>
        <w:t xml:space="preserve">The pipeline is valid to the extent that its manufactured deformations resemble the deformations found in real text-to-image output. This is its</w:t>
      </w:r>
      <w:r>
        <w:t xml:space="preserve"> </w:t>
      </w:r>
      <w:r>
        <w:rPr>
          <w:b/>
          <w:bCs/>
        </w:rPr>
        <w:t xml:space="preserve">construct validity</w:t>
      </w:r>
      <w:r>
        <w:t xml:space="preserve">, and it rests on the correspondence between the degradation parameters and the failure mechanisms the generative literature documents: cross-character attention smearing (Gillani et al., 2025), multi-instance entanglement (Du et al., 2025), and continuous latent-manifold mutation (Kondo et al., 2024). Its</w:t>
      </w:r>
      <w:r>
        <w:t xml:space="preserve"> </w:t>
      </w:r>
      <w:r>
        <w:rPr>
          <w:b/>
          <w:bCs/>
        </w:rPr>
        <w:t xml:space="preserve">reliability</w:t>
      </w:r>
      <w:r>
        <w:t xml:space="preserve"> </w:t>
      </w:r>
      <w:r>
        <w:t xml:space="preserve">is procedural. Rendering and degradation are deterministic once the random seed is fixed, so any crop in the dataset can be regenerated bit-for-bit, and the degradation intensity of every image is logged alongside it. The pipeline is researcher-made rather than a standardized dataset — but its determinism means any third party who runs the same code with the same seed obtains the same data.</w:t>
      </w:r>
    </w:p>
    <w:p>
      <w:pPr>
        <w:pStyle w:val="Heading3"/>
      </w:pPr>
      <w:r>
        <w:t xml:space="preserve">4.2.2 Standardized Evaluation Metrics</w:t>
      </w:r>
    </w:p>
    <w:p>
      <w:pPr>
        <w:pStyle w:val="FirstParagraph"/>
      </w:pPr>
      <w:r>
        <w:t xml:space="preserve">The model is scored with four metrics, all taken from the published literature rather than invented for this study, so their validity is already established. The first measures recognition accuracy: how often the true font appears in the model’s top one and top three guesses, the</w:t>
      </w:r>
      <w:r>
        <w:t xml:space="preserve"> </w:t>
      </w:r>
      <w:r>
        <w:rPr>
          <w:b/>
          <w:bCs/>
        </w:rPr>
        <w:t xml:space="preserve">Top-1 and Top-3 (Top-K) protocol</w:t>
      </w:r>
      <w:r>
        <w:t xml:space="preserve"> </w:t>
      </w:r>
      <w:r>
        <w:t xml:space="preserve">that DeepFont made the field standard (Wang et al., 2015). The second measures visual closeness. The predicted font is re-rendered with the same text, and the re-rendering is compared against the input crop using</w:t>
      </w:r>
      <w:r>
        <w:t xml:space="preserve"> </w:t>
      </w:r>
      <w:r>
        <w:rPr>
          <w:b/>
          <w:bCs/>
        </w:rPr>
        <w:t xml:space="preserve">structural similarity</w:t>
      </w:r>
      <w:r>
        <w:t xml:space="preserve">: the classical SSIM of Wang et al. (2004), plus its modern successors DeepSSIM (Zhang et al., 2024) and SAMScore (Li, Chen, et al., 2025), which stay reliable when the two images are warped out of alignment — exactly the condition hallucinated text creates. The third quantifies confidence:</w:t>
      </w:r>
      <w:r>
        <w:t xml:space="preserve"> </w:t>
      </w:r>
      <w:r>
        <w:rPr>
          <w:b/>
          <w:bCs/>
        </w:rPr>
        <w:t xml:space="preserve">rank-calibrated conformal prediction</w:t>
      </w:r>
      <w:r>
        <w:t xml:space="preserve"> </w:t>
      </w:r>
      <w:r>
        <w:t xml:space="preserve">(Shi et al., 2024; Ding et al., 2025) turns the shortlist into a prediction set with a formal statistical guarantee of containing the true font. The fourth weighs how bad each error is: the</w:t>
      </w:r>
      <w:r>
        <w:t xml:space="preserve"> </w:t>
      </w:r>
      <w:r>
        <w:rPr>
          <w:b/>
          <w:bCs/>
        </w:rPr>
        <w:t xml:space="preserve">embedding-centroid cosine severity index</w:t>
      </w:r>
      <w:r>
        <w:t xml:space="preserve"> </w:t>
      </w:r>
      <w:r>
        <w:t xml:space="preserve">of Chen et al. (2026), which measures how far, in style terms, a wrong answer lands from the right one — distinguishing a near-miss within the same typographic family from a cross-family blunder. Because all four instruments come from peer-reviewed sources, their validity and reliability are inherited from the literature rather than re-established here.</w:t>
      </w:r>
    </w:p>
    <w:p>
      <w:pPr>
        <w:pStyle w:val="Heading3"/>
      </w:pPr>
      <w:r>
        <w:t xml:space="preserve">4.2.3 Human-Proxy Consensus Rubric (Researcher-Made)</w:t>
      </w:r>
    </w:p>
    <w:p>
      <w:pPr>
        <w:pStyle w:val="FirstParagraph"/>
      </w:pPr>
      <w:r>
        <w:t xml:space="preserve">Real generative crops carry no font metadata, so something must fix their ground truth. That something is a researcher-made rating instrument, administered to a three-person expert panel.</w:t>
      </w:r>
    </w:p>
    <w:p>
      <w:pPr>
        <w:pStyle w:val="BodyText"/>
      </w:pPr>
      <w:r>
        <w:rPr>
          <w:b/>
          <w:bCs/>
        </w:rPr>
        <w:t xml:space="preserve">How the instrument is delivered.</w:t>
      </w:r>
      <w:r>
        <w:t xml:space="preserve"> </w:t>
      </w:r>
      <w:r>
        <w:t xml:space="preserve">The rating exercise runs asynchronously as a web-based form rather than in a supervised session (the remote environment justified in Section 4.1). Each crop is shown individually, beside a reference sheet of the entire palette rendered as labeled specimens. Raters therefore match each crop against a fixed, visible option set instead of recalling fonts from memory. Each rater works at their own pace, blind to the other raters and blind to the model’s predictions, which guards against anchoring. The form’s two screens — an instructions page and the per-crop rating item — are reproduced in the appendices. The layout is deliberately platform-neutral, so any standard web-form service can deliver it without altering the instrument.</w:t>
      </w:r>
    </w:p>
    <w:p>
      <w:pPr>
        <w:pStyle w:val="BodyText"/>
      </w:pPr>
      <w:r>
        <w:rPr>
          <w:b/>
          <w:bCs/>
        </w:rPr>
        <w:t xml:space="preserve">What each rater judges.</w:t>
      </w:r>
      <w:r>
        <w:t xml:space="preserve"> </w:t>
      </w:r>
      <w:r>
        <w:t xml:space="preserve">For each of the [N = 100] real generative-AI text boxes, the rater makes two required judgments. The first is the font label: the closest palette font, or an</w:t>
      </w:r>
      <w:r>
        <w:t xml:space="preserve"> </w:t>
      </w:r>
      <w:r>
        <w:t xml:space="preserve">“unknown / hallucinated”</w:t>
      </w:r>
      <w:r>
        <w:t xml:space="preserve"> </w:t>
      </w:r>
      <w:r>
        <w:t xml:space="preserve">verdict when no palette font matches. A label becomes ground truth only when at least two of the three raters agree. The second is a coherence judgment: does the crop appear to be set in one typeface throughout, or in more than one? A</w:t>
      </w:r>
      <w:r>
        <w:t xml:space="preserve"> </w:t>
      </w:r>
      <w:r>
        <w:t xml:space="preserve">“cannot tell”</w:t>
      </w:r>
      <w:r>
        <w:t xml:space="preserve"> </w:t>
      </w:r>
      <w:r>
        <w:t xml:space="preserve">option is available, and the same blind protocol and two-of-three consensus rule apply. This second question serves a specific purpose. It turns the single-typeface assumption of Section 4.4.2 from a premise into a measured quantity — the actual prevalence of font-incoherent text in real generative output — and its consensus answers double as the ground truth against which the pipeline’s homogeneity check is validated (Section 4.10.2).</w:t>
      </w:r>
    </w:p>
    <w:p>
      <w:pPr>
        <w:pStyle w:val="BodyText"/>
      </w:pPr>
      <w:r>
        <w:rPr>
          <w:b/>
          <w:bCs/>
        </w:rPr>
        <w:t xml:space="preserve">Validity and reliability.</w:t>
      </w:r>
      <w:r>
        <w:t xml:space="preserve"> </w:t>
      </w:r>
      <w:r>
        <w:t xml:space="preserve">The instrument’s</w:t>
      </w:r>
      <w:r>
        <w:t xml:space="preserve"> </w:t>
      </w:r>
      <w:r>
        <w:rPr>
          <w:b/>
          <w:bCs/>
        </w:rPr>
        <w:t xml:space="preserve">content validity</w:t>
      </w:r>
      <w:r>
        <w:t xml:space="preserve"> </w:t>
      </w:r>
      <w:r>
        <w:t xml:space="preserve">comes from the panel’s expertise: raters are screened for typographic training, under criteria specified in Section 4.10. Its</w:t>
      </w:r>
      <w:r>
        <w:t xml:space="preserve"> </w:t>
      </w:r>
      <w:r>
        <w:rPr>
          <w:b/>
          <w:bCs/>
        </w:rPr>
        <w:t xml:space="preserve">reliability</w:t>
      </w:r>
      <w:r>
        <w:t xml:space="preserve"> </w:t>
      </w:r>
      <w:r>
        <w:t xml:space="preserve">is quantified by inter-rater agreement, reported as a Fleiss’</w:t>
      </w:r>
      <w:r>
        <w:t xml:space="preserve"> </w:t>
      </w:r>
      <m:oMath>
        <m:r>
          <m:t>κ</m:t>
        </m:r>
      </m:oMath>
      <w:r>
        <w:t xml:space="preserve"> </w:t>
      </w:r>
      <w:r>
        <w:t xml:space="preserve">of [κ = X.XX] once the rating exercise has run. The two-of-three consensus rule is the instrument’s built-in safeguard against any single rater’s idiosyncrasy.</w:t>
      </w:r>
    </w:p>
    <w:p>
      <w:pPr>
        <w:pStyle w:val="Heading3"/>
      </w:pPr>
      <w:r>
        <w:t xml:space="preserve">4.2.4 Web Application (Interactive Testing Instrument)</w:t>
      </w:r>
    </w:p>
    <w:p>
      <w:pPr>
        <w:pStyle w:val="FirstParagraph"/>
      </w:pPr>
      <w:r>
        <w:t xml:space="preserve">The fourth instrument is a web application built on top of the trained model, so that the system can be exercised in real time rather than only in batch evaluation. A user uploads a generative-AI image through the browser, the backend runs the inference engine, and the interface returns the Top-K Google Fonts shortlist or an</w:t>
      </w:r>
      <w:r>
        <w:t xml:space="preserve"> </w:t>
      </w:r>
      <w:r>
        <w:t xml:space="preserve">“unknown”</w:t>
      </w:r>
      <w:r>
        <w:t xml:space="preserve"> </w:t>
      </w:r>
      <w:r>
        <w:t xml:space="preserve">verdict. The application accepts raster images in PNG (.png), JPEG (.jpg, .jpeg), or WebP (.webp) format, up to 10 MB. These are the formats current text-to-image generators export, and the forms in which their output circulates as screenshots and web re-shares. Vector formats such as SVG are refused, because typographic hallucination is a raster artifact with no vector equivalent. Animated and photographic formats (GIF, HEIC) fall outside the study’s scope of directly generated still images. The instrument serves two methodological purposes. It is the demonstration artifact that the build-method evaluation of Section 4.10 requires. It is also a qualitative probe: it surfaces failure cases on ad hoc, in-the-wild inputs that the fixed test set may not contain. Its design, framework choices, and development process are detailed in Sections 4.5 through 4.8.</w:t>
      </w:r>
    </w:p>
    <w:p>
      <w:pPr>
        <w:pStyle w:val="Heading2"/>
      </w:pPr>
      <w:r>
        <w:t xml:space="preserve">4.3 Research Procedure</w:t>
      </w:r>
    </w:p>
    <w:p>
      <w:pPr>
        <w:pStyle w:val="FirstParagraph"/>
      </w:pPr>
      <w:r>
        <w:t xml:space="preserve">This section specifies how the data are gathered and treated. Section 4.3.1 defines the dataset schema, the variables, and the properties of the image and text data. Section 4.3.2 describes the preprocessing, augmentation, and adaptation applied before training, and closes with the validation strategy that guards against overfitting.</w:t>
      </w:r>
    </w:p>
    <w:p>
      <w:pPr>
        <w:pStyle w:val="Heading3"/>
      </w:pPr>
      <w:r>
        <w:t xml:space="preserve">4.3.1 Gathering of Data</w:t>
      </w:r>
    </w:p>
    <w:p>
      <w:pPr>
        <w:pStyle w:val="FirstParagraph"/>
      </w:pPr>
      <w:r>
        <w:rPr>
          <w:b/>
          <w:bCs/>
        </w:rPr>
        <w:t xml:space="preserve">Data schema.</w:t>
      </w:r>
      <w:r>
        <w:t xml:space="preserve"> </w:t>
      </w:r>
      <w:r>
        <w:t xml:space="preserve">The corpus is a table of image instances, one row per rendered crop, with the fields listed in Table 1. Each row pairs an image file with the metadata needed to train on it, stratify it, and audit it afterward.</w:t>
      </w:r>
    </w:p>
    <w:p>
      <w:pPr>
        <w:pStyle w:val="BodyText"/>
        <w:keepNext/>
      </w:pPr>
      <w:r>
        <w:rPr>
          <w:b/>
          <w:bCs/>
        </w:rPr>
        <w:t xml:space="preserve">Table 1</w:t>
      </w:r>
    </w:p>
    <w:p>
      <w:pPr>
        <w:pStyle w:val="BodyText"/>
        <w:keepNext/>
      </w:pPr>
      <w:r>
        <w:rPr>
          <w:i/>
          <w:iCs/>
        </w:rPr>
        <w:t xml:space="preserve">Schema of the Synthetic Text-Crop Dataset</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image_id</w:t>
            </w:r>
          </w:p>
        </w:tc>
        <w:tc>
          <w:tcPr/>
          <w:p>
            <w:pPr>
              <w:pStyle w:val="Compact"/>
            </w:pPr>
            <w:r>
              <w:t xml:space="preserve">string</w:t>
            </w:r>
          </w:p>
        </w:tc>
        <w:tc>
          <w:tcPr/>
          <w:p>
            <w:pPr>
              <w:pStyle w:val="Compact"/>
            </w:pPr>
            <w:r>
              <w:t xml:space="preserve">Unique identifier for the crop</w:t>
            </w:r>
          </w:p>
        </w:tc>
      </w:tr>
      <w:tr>
        <w:tc>
          <w:tcPr/>
          <w:p>
            <w:pPr>
              <w:pStyle w:val="Compact"/>
            </w:pPr>
            <w:r>
              <w:rPr>
                <w:rStyle w:val="VerbatimChar"/>
              </w:rPr>
              <w:t xml:space="preserve">image_path</w:t>
            </w:r>
          </w:p>
        </w:tc>
        <w:tc>
          <w:tcPr/>
          <w:p>
            <w:pPr>
              <w:pStyle w:val="Compact"/>
            </w:pPr>
            <w:r>
              <w:t xml:space="preserve">string</w:t>
            </w:r>
          </w:p>
        </w:tc>
        <w:tc>
          <w:tcPr/>
          <w:p>
            <w:pPr>
              <w:pStyle w:val="Compact"/>
            </w:pPr>
            <w:r>
              <w:t xml:space="preserve">Path to the rendered PNG</w:t>
            </w:r>
          </w:p>
        </w:tc>
      </w:tr>
      <w:tr>
        <w:tc>
          <w:tcPr/>
          <w:p>
            <w:pPr>
              <w:pStyle w:val="Compact"/>
            </w:pPr>
            <w:r>
              <w:rPr>
                <w:rStyle w:val="VerbatimChar"/>
              </w:rPr>
              <w:t xml:space="preserve">font_id</w:t>
            </w:r>
          </w:p>
        </w:tc>
        <w:tc>
          <w:tcPr/>
          <w:p>
            <w:pPr>
              <w:pStyle w:val="Compact"/>
            </w:pPr>
            <w:r>
              <w:t xml:space="preserve">categorical</w:t>
            </w:r>
          </w:p>
        </w:tc>
        <w:tc>
          <w:tcPr/>
          <w:p>
            <w:pPr>
              <w:pStyle w:val="Compact"/>
            </w:pPr>
            <w:r>
              <w:t xml:space="preserve">Google Fonts family and weight (the class label)</w:t>
            </w:r>
          </w:p>
        </w:tc>
      </w:tr>
      <w:tr>
        <w:tc>
          <w:tcPr/>
          <w:p>
            <w:pPr>
              <w:pStyle w:val="Compact"/>
            </w:pPr>
            <w:r>
              <w:rPr>
                <w:rStyle w:val="VerbatimChar"/>
              </w:rPr>
              <w:t xml:space="preserve">family_class</w:t>
            </w:r>
          </w:p>
        </w:tc>
        <w:tc>
          <w:tcPr/>
          <w:p>
            <w:pPr>
              <w:pStyle w:val="Compact"/>
            </w:pPr>
            <w:r>
              <w:t xml:space="preserve">categorical</w:t>
            </w:r>
          </w:p>
        </w:tc>
        <w:tc>
          <w:tcPr/>
          <w:p>
            <w:pPr>
              <w:pStyle w:val="Compact"/>
            </w:pPr>
            <w:r>
              <w:t xml:space="preserve">Serif, Sans-serif, Display, or Monospace</w:t>
            </w:r>
          </w:p>
        </w:tc>
      </w:tr>
      <w:tr>
        <w:tc>
          <w:tcPr/>
          <w:p>
            <w:pPr>
              <w:pStyle w:val="Compact"/>
            </w:pPr>
            <w:r>
              <w:rPr>
                <w:rStyle w:val="VerbatimChar"/>
              </w:rPr>
              <w:t xml:space="preserve">word_text</w:t>
            </w:r>
          </w:p>
        </w:tc>
        <w:tc>
          <w:tcPr/>
          <w:p>
            <w:pPr>
              <w:pStyle w:val="Compact"/>
            </w:pPr>
            <w:r>
              <w:t xml:space="preserve">string</w:t>
            </w:r>
          </w:p>
        </w:tc>
        <w:tc>
          <w:tcPr/>
          <w:p>
            <w:pPr>
              <w:pStyle w:val="Compact"/>
            </w:pPr>
            <w:r>
              <w:t xml:space="preserve">The rendered English word(s)</w:t>
            </w:r>
          </w:p>
        </w:tc>
      </w:tr>
      <w:tr>
        <w:tc>
          <w:tcPr/>
          <w:p>
            <w:pPr>
              <w:pStyle w:val="Compact"/>
            </w:pPr>
            <w:r>
              <w:rPr>
                <w:rStyle w:val="VerbatimChar"/>
              </w:rPr>
              <w:t xml:space="preserve">warp_level</w:t>
            </w:r>
          </w:p>
        </w:tc>
        <w:tc>
          <w:tcPr/>
          <w:p>
            <w:pPr>
              <w:pStyle w:val="Compact"/>
            </w:pPr>
            <w:r>
              <w:t xml:space="preserve">float</w:t>
            </w:r>
          </w:p>
        </w:tc>
        <w:tc>
          <w:tcPr/>
          <w:p>
            <w:pPr>
              <w:pStyle w:val="Compact"/>
            </w:pPr>
            <w:r>
              <w:t xml:space="preserve">Elastic-warp intensity</w:t>
            </w:r>
            <w:r>
              <w:t xml:space="preserve"> </w:t>
            </w:r>
            <m:oMath>
              <m:sSub>
                <m:e>
                  <m:r>
                    <m:t>θ</m:t>
                  </m:r>
                </m:e>
                <m:sub>
                  <m:r>
                    <m:rPr>
                      <m:nor/>
                      <m:sty m:val="p"/>
                    </m:rPr>
                    <m:t>warp</m:t>
                  </m:r>
                </m:sub>
              </m:sSub>
            </m:oMath>
          </w:p>
        </w:tc>
      </w:tr>
      <w:tr>
        <w:tc>
          <w:tcPr/>
          <w:p>
            <w:pPr>
              <w:pStyle w:val="Compact"/>
            </w:pPr>
            <w:r>
              <w:rPr>
                <w:rStyle w:val="VerbatimChar"/>
              </w:rPr>
              <w:t xml:space="preserve">blur_level</w:t>
            </w:r>
          </w:p>
        </w:tc>
        <w:tc>
          <w:tcPr/>
          <w:p>
            <w:pPr>
              <w:pStyle w:val="Compact"/>
            </w:pPr>
            <w:r>
              <w:t xml:space="preserve">float</w:t>
            </w:r>
          </w:p>
        </w:tc>
        <w:tc>
          <w:tcPr/>
          <w:p>
            <w:pPr>
              <w:pStyle w:val="Compact"/>
            </w:pPr>
            <w:r>
              <w:t xml:space="preserve">Gaussian blur/noise intensity</w:t>
            </w:r>
            <w:r>
              <w:t xml:space="preserve"> </w:t>
            </w:r>
            <m:oMath>
              <m:sSub>
                <m:e>
                  <m:r>
                    <m:t>θ</m:t>
                  </m:r>
                </m:e>
                <m:sub>
                  <m:r>
                    <m:rPr>
                      <m:nor/>
                      <m:sty m:val="p"/>
                    </m:rPr>
                    <m:t>blur</m:t>
                  </m:r>
                </m:sub>
              </m:sSub>
            </m:oMath>
          </w:p>
        </w:tc>
      </w:tr>
      <w:tr>
        <w:tc>
          <w:tcPr/>
          <w:p>
            <w:pPr>
              <w:pStyle w:val="Compact"/>
            </w:pPr>
            <w:r>
              <w:rPr>
                <w:rStyle w:val="VerbatimChar"/>
              </w:rPr>
              <w:t xml:space="preserve">kern_level</w:t>
            </w:r>
          </w:p>
        </w:tc>
        <w:tc>
          <w:tcPr/>
          <w:p>
            <w:pPr>
              <w:pStyle w:val="Compact"/>
            </w:pPr>
            <w:r>
              <w:t xml:space="preserve">float</w:t>
            </w:r>
          </w:p>
        </w:tc>
        <w:tc>
          <w:tcPr/>
          <w:p>
            <w:pPr>
              <w:pStyle w:val="Compact"/>
            </w:pPr>
            <w:r>
              <w:t xml:space="preserve">Kerning-jitter intensity</w:t>
            </w:r>
            <w:r>
              <w:t xml:space="preserve"> </w:t>
            </w:r>
            <m:oMath>
              <m:sSub>
                <m:e>
                  <m:r>
                    <m:t>θ</m:t>
                  </m:r>
                </m:e>
                <m:sub>
                  <m:r>
                    <m:rPr>
                      <m:nor/>
                      <m:sty m:val="p"/>
                    </m:rPr>
                    <m:t>kern</m:t>
                  </m:r>
                </m:sub>
              </m:sSub>
            </m:oMath>
          </w:p>
        </w:tc>
      </w:tr>
      <w:tr>
        <w:tc>
          <w:tcPr/>
          <w:p>
            <w:pPr>
              <w:pStyle w:val="Compact"/>
            </w:pPr>
            <w:r>
              <w:rPr>
                <w:rStyle w:val="VerbatimChar"/>
              </w:rPr>
              <w:t xml:space="preserve">split</w:t>
            </w:r>
          </w:p>
        </w:tc>
        <w:tc>
          <w:tcPr/>
          <w:p>
            <w:pPr>
              <w:pStyle w:val="Compact"/>
            </w:pPr>
            <w:r>
              <w:t xml:space="preserve">categorical</w:t>
            </w:r>
          </w:p>
        </w:tc>
        <w:tc>
          <w:tcPr/>
          <w:p>
            <w:pPr>
              <w:pStyle w:val="Compact"/>
            </w:pPr>
            <w:r>
              <w:t xml:space="preserve">train, validation, or test</w:t>
            </w:r>
          </w:p>
        </w:tc>
      </w:tr>
      <w:tr>
        <w:tc>
          <w:tcPr/>
          <w:p>
            <w:pPr>
              <w:pStyle w:val="Compact"/>
            </w:pPr>
            <w:r>
              <w:rPr>
                <w:rStyle w:val="VerbatimChar"/>
              </w:rPr>
              <w:t xml:space="preserve">seed</w:t>
            </w:r>
          </w:p>
        </w:tc>
        <w:tc>
          <w:tcPr/>
          <w:p>
            <w:pPr>
              <w:pStyle w:val="Compact"/>
            </w:pPr>
            <w:r>
              <w:t xml:space="preserve">integer</w:t>
            </w:r>
          </w:p>
        </w:tc>
        <w:tc>
          <w:tcPr/>
          <w:p>
            <w:pPr>
              <w:pStyle w:val="Compact"/>
            </w:pPr>
            <w:r>
              <w:t xml:space="preserve">Random seed for exact regeneration</w:t>
            </w:r>
          </w:p>
        </w:tc>
      </w:tr>
    </w:tbl>
    <w:p>
      <w:pPr>
        <w:pStyle w:val="BodyText"/>
      </w:pPr>
      <w:r>
        <w:rPr>
          <w:i/>
          <w:iCs/>
        </w:rPr>
        <w:t xml:space="preserve">Note.</w:t>
      </w:r>
      <w:r>
        <w:t xml:space="preserve"> </w:t>
      </w:r>
      <w:r>
        <w:t xml:space="preserve">The three degradation-level fields record the parameters of the operator</w:t>
      </w:r>
      <w:r>
        <w:t xml:space="preserve"> </w:t>
      </w:r>
      <m:oMath>
        <m:r>
          <m:t>D</m:t>
        </m:r>
      </m:oMath>
      <w:r>
        <w:t xml:space="preserve"> </w:t>
      </w:r>
      <w:r>
        <w:t xml:space="preserve">from Section 3.2.3, so each crop’s deformation is reproducible and can be analyzed after the fact.</w:t>
      </w:r>
    </w:p>
    <w:p>
      <w:pPr>
        <w:pStyle w:val="BodyText"/>
      </w:pPr>
      <w:r>
        <w:rPr>
          <w:b/>
          <w:bCs/>
        </w:rPr>
        <w:t xml:space="preserve">Variables.</w:t>
      </w:r>
      <w:r>
        <w:t xml:space="preserve"> </w:t>
      </w:r>
      <w:r>
        <w:t xml:space="preserve">The independent variables are the pixels of the rendered crop and, at a controlled level above them, the three degradation parameters (</w:t>
      </w:r>
      <m:oMath>
        <m:sSub>
          <m:e>
            <m:r>
              <m:t>θ</m:t>
            </m:r>
          </m:e>
          <m:sub>
            <m:r>
              <m:rPr>
                <m:nor/>
                <m:sty m:val="p"/>
              </m:rPr>
              <m:t>warp</m:t>
            </m:r>
          </m:sub>
        </m:sSub>
      </m:oMath>
      <w:r>
        <w:t xml:space="preserve">,</w:t>
      </w:r>
      <w:r>
        <w:t xml:space="preserve"> </w:t>
      </w:r>
      <m:oMath>
        <m:sSub>
          <m:e>
            <m:r>
              <m:t>θ</m:t>
            </m:r>
          </m:e>
          <m:sub>
            <m:r>
              <m:rPr>
                <m:nor/>
                <m:sty m:val="p"/>
              </m:rPr>
              <m:t>blur</m:t>
            </m:r>
          </m:sub>
        </m:sSub>
      </m:oMath>
      <w:r>
        <w:t xml:space="preserve">,</w:t>
      </w:r>
      <w:r>
        <w:t xml:space="preserve"> </w:t>
      </w:r>
      <m:oMath>
        <m:sSub>
          <m:e>
            <m:r>
              <m:t>θ</m:t>
            </m:r>
          </m:e>
          <m:sub>
            <m:r>
              <m:rPr>
                <m:nor/>
                <m:sty m:val="p"/>
              </m:rPr>
              <m:t>kern</m:t>
            </m:r>
          </m:sub>
        </m:sSub>
      </m:oMath>
      <w:r>
        <w:t xml:space="preserve">) that the pipeline manipulates systematically, together with the categorical</w:t>
      </w:r>
      <w:r>
        <w:t xml:space="preserve"> </w:t>
      </w:r>
      <w:r>
        <w:rPr>
          <w:rStyle w:val="VerbatimChar"/>
        </w:rPr>
        <w:t xml:space="preserve">family_class</w:t>
      </w:r>
      <w:r>
        <w:t xml:space="preserve"> </w:t>
      </w:r>
      <w:r>
        <w:t xml:space="preserve">factor used to analyze errors. The dependent variable is the font class label — one of the 50 to 100 palette fonts, plus the open-set</w:t>
      </w:r>
      <w:r>
        <w:t xml:space="preserve"> </w:t>
      </w:r>
      <w:r>
        <w:t xml:space="preserve">“unknown”</w:t>
      </w:r>
      <w:r>
        <w:t xml:space="preserve"> </w:t>
      </w:r>
      <w:r>
        <w:t xml:space="preserve">outcome for crops that belong to no palette font. Three secondary outcomes are measured from the model: the Top-K rank of the true font, the structural-distance score between the input and the re-rendered prediction, and the open-set rejection score.</w:t>
      </w:r>
    </w:p>
    <w:p>
      <w:pPr>
        <w:pStyle w:val="BodyText"/>
      </w:pPr>
      <w:r>
        <w:rPr>
          <w:b/>
          <w:bCs/>
        </w:rPr>
        <w:t xml:space="preserve">Image properties.</w:t>
      </w:r>
      <w:r>
        <w:t xml:space="preserve"> </w:t>
      </w:r>
      <w:r>
        <w:t xml:space="preserve">Crops are rendered at 1024 px and downsampled to a fixed 224 × 224 input. This matches the DINOv2 ViT-B/14 backbone and the resolution used by Chen et al. (2026). Foreground and background colors are randomized during rendering, with a minimum luminance contrast of 80 (the Chen et al. precedent). The randomization serves two purposes: it prevents the model from learning color as a shortcut, and it mirrors the varied coloring of real generative text. Each crop is then reduced to single-channel luminance and replicated across three channels for ImageNet-normalized input. The encoder therefore reads grayscale structure, even though the renders it trains on vary in color. Text alignment is jittered between left, center, and right; lines wrap with roughly 20% probability; and about 575 images are rendered per font variant as the per-class volume baseline.</w:t>
      </w:r>
    </w:p>
    <w:p>
      <w:pPr>
        <w:pStyle w:val="BodyText"/>
      </w:pPr>
      <w:r>
        <w:rPr>
          <w:b/>
          <w:bCs/>
        </w:rPr>
        <w:t xml:space="preserve">Text properties.</w:t>
      </w:r>
      <w:r>
        <w:t xml:space="preserve"> </w:t>
      </w:r>
      <w:r>
        <w:t xml:space="preserve">The rendered strings are English (Latin script), drawn from a fixed list of common words. Using a fixed shared word list means the words themselves carry no information about the font, so the model cannot learn to associate vocabulary with typeface. Each crop carries one to three words, which keeps the visual field dominated by letterform structure rather than long-line layout.</w:t>
      </w:r>
    </w:p>
    <w:p>
      <w:pPr>
        <w:pStyle w:val="BodyText"/>
      </w:pPr>
      <w:r>
        <w:rPr>
          <w:b/>
          <w:bCs/>
        </w:rPr>
        <w:t xml:space="preserve">Extension beyond the precedent.</w:t>
      </w:r>
      <w:r>
        <w:t xml:space="preserve"> </w:t>
      </w:r>
      <w:r>
        <w:t xml:space="preserve">Chen et al.’s (2026) augmentation is pristine-noise only: clean renders plus Gaussian noise (</w:t>
      </w:r>
      <m:oMath>
        <m:r>
          <m:t>σ</m:t>
        </m:r>
        <m:r>
          <m:rPr>
            <m:sty m:val="p"/>
          </m:rPr>
          <m:t>=</m:t>
        </m:r>
        <m:r>
          <m:t>25.5</m:t>
        </m:r>
      </m:oMath>
      <w:r>
        <w:t xml:space="preserve">). This study’s data contribution is to add the hallucination-specific degradation operator</w:t>
      </w:r>
      <w:r>
        <w:t xml:space="preserve"> </w:t>
      </w:r>
      <m:oMath>
        <m:r>
          <m:t>D</m:t>
        </m:r>
      </m:oMath>
      <w:r>
        <w:t xml:space="preserve"> </w:t>
      </w:r>
      <w:r>
        <w:t xml:space="preserve">— elastic warp, kerning jitter, and cross-character smear — that their closed-set pipeline lacks. The corpus therefore covers the probabilistic glyph deformation that defines the target regime, which clean renders under noise never reach.</w:t>
      </w:r>
    </w:p>
    <w:p>
      <w:pPr>
        <w:pStyle w:val="BodyText"/>
      </w:pPr>
      <w:r>
        <w:rPr>
          <w:b/>
          <w:bCs/>
        </w:rPr>
        <w:t xml:space="preserve">The real-generative evaluation set.</w:t>
      </w:r>
      <w:r>
        <w:t xml:space="preserve"> </w:t>
      </w:r>
      <w:r>
        <w:t xml:space="preserve">A second, smaller body of data is</w:t>
      </w:r>
      <w:r>
        <w:t xml:space="preserve"> </w:t>
      </w:r>
      <w:r>
        <w:rPr>
          <w:i/>
          <w:iCs/>
        </w:rPr>
        <w:t xml:space="preserve">collected rather than rendered</w:t>
      </w:r>
      <w:r>
        <w:t xml:space="preserve">. Its purpose is to test the trained model on genuine in-the-wild deformation, not on the study’s own synthetic operator. It consists of [N = 100] text crops isolated from real images produced by current text-to-image generators such as DALL·E, Midjourney, and Stable Diffusion — the tools whose typographic hallucination motivates the study. Each source image passes through the same off-the-shelf localizer used at deployment (Section 4.1), and every text box the localizer emits becomes one evaluation crop. The unit of analysis is therefore identical to the synthetic corpus. These crops carry no embedded font metadata, so their ground-truth labels are fixed by the human-proxy panel (Section 4.2.3). The set is held out from training entirely (Section 4.3.2).</w:t>
      </w:r>
    </w:p>
    <w:p>
      <w:pPr>
        <w:pStyle w:val="BodyText"/>
      </w:pPr>
      <w:r>
        <w:rPr>
          <w:b/>
          <w:bCs/>
        </w:rPr>
        <w:t xml:space="preserve">Selecting the crops.</w:t>
      </w:r>
      <w:r>
        <w:t xml:space="preserve"> </w:t>
      </w:r>
      <w:r>
        <w:t xml:space="preserve">The [N = 100] crops are sampled</w:t>
      </w:r>
      <w:r>
        <w:t xml:space="preserve"> </w:t>
      </w:r>
      <w:r>
        <w:rPr>
          <w:i/>
          <w:iCs/>
        </w:rPr>
        <w:t xml:space="preserve">purposively rather than at random</w:t>
      </w:r>
      <w:r>
        <w:t xml:space="preserve">. A quota spans the two factors that drive recognition difficulty: the four structural family classes (serif, sans-serif, display, monospace) and a graded range of hallucination severity from mild to severe. The crops are gathered from more than one generator, so the benchmark is not dominated by a single tool’s failure signature. This mirrors the family-and-degradation stratification of the synthetic split (Section 4.3.2), and it ensures the human-proxy accuracy floor is estimated over the full difficulty range rather than only the easy cases.</w:t>
      </w:r>
    </w:p>
    <w:p>
      <w:pPr>
        <w:pStyle w:val="BodyText"/>
      </w:pPr>
      <w:r>
        <w:rPr>
          <w:b/>
          <w:bCs/>
        </w:rPr>
        <w:t xml:space="preserve">Why one hundred.</w:t>
      </w:r>
      <w:r>
        <w:t xml:space="preserve"> </w:t>
      </w:r>
      <w:r>
        <w:t xml:space="preserve">The set is deliberately small, because every crop must be labeled independently by all three expert raters — roughly 300 judgments in total. Its size is bounded by expert effort, not by data availability. One hundred is adequate for the set’s actual role, which is benchmark and accuracy floor rather than training data. At</w:t>
      </w:r>
      <w:r>
        <w:t xml:space="preserve"> </w:t>
      </w:r>
      <m:oMath>
        <m:r>
          <m:t>n</m:t>
        </m:r>
        <m:r>
          <m:rPr>
            <m:sty m:val="p"/>
          </m:rPr>
          <m:t>=</m:t>
        </m:r>
        <m:r>
          <m:t>100</m:t>
        </m:r>
      </m:oMath>
      <w:r>
        <w:t xml:space="preserve">, a measured accuracy carries a worst-case 95% confidence half-width of about</w:t>
      </w:r>
      <w:r>
        <w:t xml:space="preserve"> </w:t>
      </w:r>
      <m:oMath>
        <m:r>
          <m:rPr>
            <m:sty m:val="p"/>
          </m:rPr>
          <m:t>±</m:t>
        </m:r>
        <m:r>
          <m:t>10</m:t>
        </m:r>
      </m:oMath>
      <w:r>
        <w:t xml:space="preserve"> </w:t>
      </w:r>
      <w:r>
        <w:t xml:space="preserve">percentage points. The comparison this set supports — the open-set model against closed-set baselines that collapse on deformed input (Section 4.10) — targets gaps far larger than that margin. Finer-grained effects are left to the much larger synthetic test partition. The count is a planned target and may be revised upward if rater capacity allows.</w:t>
      </w:r>
    </w:p>
    <w:p>
      <w:pPr>
        <w:pStyle w:val="Heading3"/>
      </w:pPr>
      <w:r>
        <w:t xml:space="preserve">4.3.2 Treatment of Data</w:t>
      </w:r>
    </w:p>
    <w:p>
      <w:pPr>
        <w:pStyle w:val="FirstParagraph"/>
      </w:pPr>
      <w:r>
        <w:t xml:space="preserve">Before training, each crop passes through a preprocessing chain: square-pad, resize to 224 × 224, and ImageNet normalization. This chain is embedded in the model’s forward pass rather than applied as a separate offline step. Folding preprocessing into the forward method, following Chen et al. (2026), guarantees that exactly the same transforms run at training time and at inference time. That eliminates train-serve skew — the class of bug in which a model is trained on inputs prepared one way and served inputs prepared another — when the model is later called from the web application. Degradation via the operator</w:t>
      </w:r>
      <w:r>
        <w:t xml:space="preserve"> </w:t>
      </w:r>
      <m:oMath>
        <m:r>
          <m:t>D</m:t>
        </m:r>
      </m:oMath>
      <w:r>
        <w:t xml:space="preserve"> </w:t>
      </w:r>
      <w:r>
        <w:t xml:space="preserve">is applied online, as a stochastic augmentation, so the model sees each font across a whole distribution of deformation strengths within and across epochs. Following the augmentation-as-coverage argument of Plastropoulos and Tegos (2024), this pushes the model’s decision boundaries into regions that stay stable under distortion.</w:t>
      </w:r>
    </w:p>
    <w:p>
      <w:pPr>
        <w:pStyle w:val="BodyText"/>
      </w:pPr>
      <w:r>
        <w:rPr>
          <w:b/>
          <w:bCs/>
        </w:rPr>
        <w:t xml:space="preserve">Adaptation strategy.</w:t>
      </w:r>
      <w:r>
        <w:t xml:space="preserve"> </w:t>
      </w:r>
      <w:r>
        <w:t xml:space="preserve">The default configuration keeps the DINOv2 backbone frozen and trains only a lightweight metric-embedding head (Section 2.5). The reason is the deployment condition: in-the-wild generative crops arrive without font labels, so the open-set inference path must not depend on a closed-set classifier. Parameter-efficient fine-tuning — LoRA with rank</w:t>
      </w:r>
      <w:r>
        <w:t xml:space="preserve"> </w:t>
      </w:r>
      <m:oMath>
        <m:r>
          <m:t>r</m:t>
        </m:r>
        <m:r>
          <m:rPr>
            <m:sty m:val="p"/>
          </m:rPr>
          <m:t>=</m:t>
        </m:r>
        <m:r>
          <m:t>8</m:t>
        </m:r>
      </m:oMath>
      <w:r>
        <w:t xml:space="preserve">, scaling</w:t>
      </w:r>
      <w:r>
        <w:t xml:space="preserve"> </w:t>
      </w:r>
      <m:oMath>
        <m:r>
          <m:t>α</m:t>
        </m:r>
        <m:r>
          <m:rPr>
            <m:sty m:val="p"/>
          </m:rPr>
          <m:t>=</m:t>
        </m:r>
        <m:r>
          <m:t>16</m:t>
        </m:r>
      </m:oMath>
      <w:r>
        <w:t xml:space="preserve">, about 0.2% of parameters, as used by Chen et al. (2026) — is reserved for the supervised teacher model. The teacher supplies reference distributions to the label-free distillation step and nothing more. Keeping it off the inference path matters, because the teacher is a closed-set model, and placing it in the serving pipeline would reintroduce exactly the closed-set assumptions the design exists to avoid.</w:t>
      </w:r>
    </w:p>
    <w:p>
      <w:pPr>
        <w:pStyle w:val="BodyText"/>
      </w:pPr>
      <w:r>
        <w:rPr>
          <w:b/>
          <w:bCs/>
        </w:rPr>
        <w:t xml:space="preserve">Validation strategy.</w:t>
      </w:r>
      <w:r>
        <w:t xml:space="preserve"> </w:t>
      </w:r>
      <w:r>
        <w:t xml:space="preserve">The synthetic corpus is partitioned 70% / 15% / 15% into training, validation, and test sets. The split is made by</w:t>
      </w:r>
      <w:r>
        <w:t xml:space="preserve"> </w:t>
      </w:r>
      <w:r>
        <w:rPr>
          <w:rStyle w:val="VerbatimChar"/>
        </w:rPr>
        <w:t xml:space="preserve">font_id</w:t>
      </w:r>
      <w:r>
        <w:t xml:space="preserve"> </w:t>
      </w:r>
      <w:r>
        <w:t xml:space="preserve">and stratified, so that every font class and every degradation level appears in each partition in proportion to its overall frequency. Stratification prevents a rare display or monospace face from landing entirely in one partition, which would otherwise inflate or deflate its apparent accuracy. Per-class counts for the rarest faces are modest, so stratified k-fold cross-validation (</w:t>
      </w:r>
      <m:oMath>
        <m:r>
          <m:t>k</m:t>
        </m:r>
        <m:r>
          <m:rPr>
            <m:sty m:val="p"/>
          </m:rPr>
          <m:t>=</m:t>
        </m:r>
        <m:r>
          <m:t>5</m:t>
        </m:r>
      </m:oMath>
      <w:r>
        <w:t xml:space="preserve">) is used on the combined train-plus-validation data to stabilize the reported metrics. The 15% test partition stays untouched until final evaluation. Separate from this synthetic split is the real-generative test set of [N = 100] in-the-wild crops (sourced, sampled, and sized in Section 4.3.1; labeled by the human-proxy panel, Section 4.2.3). It never enters training in any form. It serves as the out-of-distribution benchmark — the final judge of whether a model trained on synthetic deformation generalizes to the real thing.</w:t>
      </w:r>
    </w:p>
    <w:p>
      <w:pPr>
        <w:pStyle w:val="Heading2"/>
      </w:pPr>
      <w:r>
        <w:t xml:space="preserve">4.4 Concept</w:t>
      </w:r>
    </w:p>
    <w:p>
      <w:pPr>
        <w:pStyle w:val="Heading3"/>
      </w:pPr>
      <w:r>
        <w:t xml:space="preserve">4.4.1 Core Concept and Vision</w:t>
      </w:r>
    </w:p>
    <w:p>
      <w:pPr>
        <w:pStyle w:val="FirstParagraph"/>
      </w:pPr>
      <w:r>
        <w:t xml:space="preserve">The system is a font-identification service for hallucinated type. Given a fragment of text lifted from a generative-AI image, it returns a ranked shortlist of the closest open-source Google Fonts — or an explicit</w:t>
      </w:r>
      <w:r>
        <w:t xml:space="preserve"> </w:t>
      </w:r>
      <w:r>
        <w:t xml:space="preserve">“unknown”</w:t>
      </w:r>
      <w:r>
        <w:t xml:space="preserve"> </w:t>
      </w:r>
      <w:r>
        <w:t xml:space="preserve">verdict when the glyph belongs to no font in its palette. Its purpose is practical reconstruction. A designer should be able to rebuild a generative image’s typography from a free, license-clear palette, instead of paying a commercial identifier to name a font that may not even be reusable. The framework is deliberately scoped: rather than matching against the entire commercial typeface universe, it trades exhaustive coverage for a tractable, localized palette of the top 50 to 100 Google Fonts. That trade is what makes free reconstruction possible. A web application built on top of the model exposes this capability interactively, so the system can be tested in real time on uploaded images.</w:t>
      </w:r>
    </w:p>
    <w:p>
      <w:pPr>
        <w:pStyle w:val="Heading3"/>
      </w:pPr>
      <w:r>
        <w:t xml:space="preserve">4.4.2 Conceptual Framework</w:t>
      </w:r>
    </w:p>
    <w:p>
      <w:pPr>
        <w:pStyle w:val="FirstParagraph"/>
      </w:pPr>
      <w:r>
        <w:t xml:space="preserve">Figure 8 organizes the framework into three enclosed bands. The bands are ordered by</w:t>
      </w:r>
      <w:r>
        <w:t xml:space="preserve"> </w:t>
      </w:r>
      <w:r>
        <w:rPr>
          <w:i/>
          <w:iCs/>
        </w:rPr>
        <w:t xml:space="preserve">when</w:t>
      </w:r>
      <w:r>
        <w:t xml:space="preserve"> </w:t>
      </w:r>
      <w:r>
        <w:t xml:space="preserve">each one happens, rather than by an input-process-output grid.</w:t>
      </w:r>
    </w:p>
    <w:p>
      <w:pPr>
        <w:pStyle w:val="BodyText"/>
      </w:pPr>
      <w:r>
        <w:t xml:space="preserve">The first band,</w:t>
      </w:r>
      <w:r>
        <w:t xml:space="preserve"> </w:t>
      </w:r>
      <w:r>
        <w:rPr>
          <w:i/>
          <w:iCs/>
        </w:rPr>
        <w:t xml:space="preserve">before deployment</w:t>
      </w:r>
      <w:r>
        <w:t xml:space="preserve">, is the work the researchers perform once. The Google Fonts palette is rendered into clean word crops whose font is known by construction. Those crops pass through the degradation operator</w:t>
      </w:r>
      <w:r>
        <w:t xml:space="preserve"> </w:t>
      </w:r>
      <m:oMath>
        <m:r>
          <m:t>D</m:t>
        </m:r>
      </m:oMath>
      <w:r>
        <w:t xml:space="preserve"> </w:t>
      </w:r>
      <w:r>
        <w:t xml:space="preserve">of Section 3.2.3, which produces hallucinated look-alikes. The resulting corpus — the clean renders together with their degraded variants — trains two models. The first is a teacher: DINOv2 with the LoRA adaptation of Section 4.3.2, fitted to the font labels. The second is the student metric head</w:t>
      </w:r>
      <w:r>
        <w:t xml:space="preserve"> </w:t>
      </w:r>
      <m:oMath>
        <m:sSub>
          <m:e>
            <m:r>
              <m:t>f</m:t>
            </m:r>
          </m:e>
          <m:sub>
            <m:r>
              <m:t>θ</m:t>
            </m:r>
          </m:sub>
        </m:sSub>
      </m:oMath>
      <w:r>
        <w:t xml:space="preserve">, which learns from two signals at once — the font labels, through the triplet objective of Chapter 3, and the teacher’s judgments, through distillation. The band closes on the trained model, meaning the learned weights</w:t>
      </w:r>
      <w:r>
        <w:t xml:space="preserve"> </w:t>
      </w:r>
      <m:oMath>
        <m:sSub>
          <m:e>
            <m:r>
              <m:t>f</m:t>
            </m:r>
          </m:e>
          <m:sub>
            <m:r>
              <m:t>θ</m:t>
            </m:r>
          </m:sub>
        </m:sSub>
      </m:oMath>
      <w:r>
        <w:t xml:space="preserve"> </w:t>
      </w:r>
      <w:r>
        <w:t xml:space="preserve">together with the calibrated match threshold</w:t>
      </w:r>
      <w:r>
        <w:t xml:space="preserve"> </w:t>
      </w:r>
      <m:oMath>
        <m:r>
          <m:t>τ</m:t>
        </m:r>
      </m:oMath>
      <w:r>
        <w:t xml:space="preserve">. Only the student ships. The teacher exists to supervise the student and is never executed on a user’s image, which is why it is drawn in the offline band and appears nowhere in the band below.</w:t>
      </w:r>
    </w:p>
    <w:p>
      <w:pPr>
        <w:pStyle w:val="BodyText"/>
      </w:pPr>
      <w:r>
        <w:t xml:space="preserve">The second band,</w:t>
      </w:r>
      <w:r>
        <w:t xml:space="preserve"> </w:t>
      </w:r>
      <w:r>
        <w:rPr>
          <w:i/>
          <w:iCs/>
        </w:rPr>
        <w:t xml:space="preserve">at use</w:t>
      </w:r>
      <w:r>
        <w:t xml:space="preserve">, is what runs for every uploaded image. The input is a raster image produced by a text-to-image generator such as DALL·E, Midjourney, or Stable Diffusion, containing rendered text whose glyphs are warped and whose spacing is uneven. An off-the-shelf text detector locates each piece of text and cuts it out. The detector is a standard component, not a contribution of this work, and the unit of analysis is the isolated crop, as stated in Section 4.1. How many text regions an image contains is a question the localizer answers; from that point on, every crop is handled independently. Each crop is resized to 224 by 224 pixels, converted to grayscale, and rescaled in brightness. It is then encoded by the frozen DINOv2 Vision Transformer and projected by the metric head into a font-style fingerprint. The final stage is a match test: the fingerprint is compared against the palette, and the outcome depends on whether the closest font falls within the threshold</w:t>
      </w:r>
      <w:r>
        <w:t xml:space="preserve"> </w:t>
      </w:r>
      <m:oMath>
        <m:r>
          <m:t>τ</m:t>
        </m:r>
      </m:oMath>
      <w:r>
        <w:t xml:space="preserve">.</w:t>
      </w:r>
    </w:p>
    <w:p>
      <w:pPr>
        <w:pStyle w:val="BodyText"/>
      </w:pPr>
      <w:r>
        <w:t xml:space="preserve">Three properties of the match test deserve to be stated plainly. First, the threshold is not chosen by hand. It is fixed during offline calibration, at the operating point of Section 4.10.2: the cutoff at which 95% of validation crops whose font truly is in the palette are accepted. Second, the test considers only the best match. A crop whose closest font clears</w:t>
      </w:r>
      <w:r>
        <w:t xml:space="preserve"> </w:t>
      </w:r>
      <m:oMath>
        <m:r>
          <m:t>τ</m:t>
        </m:r>
      </m:oMath>
      <w:r>
        <w:t xml:space="preserve"> </w:t>
      </w:r>
      <w:r>
        <w:t xml:space="preserve">is accepted, and its Top-K shortlist then lists the nearest palette fonts in order — regardless of whether the lower ranks clear</w:t>
      </w:r>
      <w:r>
        <w:t xml:space="preserve"> </w:t>
      </w:r>
      <m:oMath>
        <m:r>
          <m:t>τ</m:t>
        </m:r>
      </m:oMath>
      <w:r>
        <w:t xml:space="preserve"> </w:t>
      </w:r>
      <w:r>
        <w:t xml:space="preserve">individually, because those ranks serve as next-closest alternatives, not as independent match claims. Third, rejection is total rather than partial. A crop whose closest font falls short of</w:t>
      </w:r>
      <w:r>
        <w:t xml:space="preserve"> </w:t>
      </w:r>
      <m:oMath>
        <m:r>
          <m:t>τ</m:t>
        </m:r>
      </m:oMath>
      <w:r>
        <w:t xml:space="preserve"> </w:t>
      </w:r>
      <w:r>
        <w:t xml:space="preserve">receives an explicit</w:t>
      </w:r>
      <w:r>
        <w:t xml:space="preserve"> </w:t>
      </w:r>
      <w:r>
        <w:t xml:space="preserve">“unknown font”</w:t>
      </w:r>
      <w:r>
        <w:t xml:space="preserve"> </w:t>
      </w:r>
      <w:r>
        <w:t xml:space="preserve">verdict, in which the system names no font at all. No partial shortlist exists for such a crop, because every other font is farther away still.</w:t>
      </w:r>
    </w:p>
    <w:p>
      <w:pPr>
        <w:pStyle w:val="BodyText"/>
      </w:pPr>
      <w:r>
        <w:rPr>
          <w:b/>
          <w:bCs/>
        </w:rPr>
        <w:t xml:space="preserve">Word-level granularity and mixed typography.</w:t>
      </w:r>
      <w:r>
        <w:t xml:space="preserve"> </w:t>
      </w:r>
      <w:r>
        <w:t xml:space="preserve">The text regions of Figure 8 are delimited at word granularity: the localizer emits one bounding box per word. Behind this sits an assumption — that each word is set in a single typeface. The assumption holds for the overwhelming majority of designed text, where font changes fall</w:t>
      </w:r>
      <w:r>
        <w:t xml:space="preserve"> </w:t>
      </w:r>
      <w:r>
        <w:rPr>
          <w:i/>
          <w:iCs/>
        </w:rPr>
        <w:t xml:space="preserve">between</w:t>
      </w:r>
      <w:r>
        <w:t xml:space="preserve"> </w:t>
      </w:r>
      <w:r>
        <w:t xml:space="preserve">words (a heading face against an accent face), not inside them. Word crops therefore make the one-font-per-crop premise of the match test approximately true by construction. The assumption operates at the level of design intent. Generators learn from designed text, so the</w:t>
      </w:r>
      <w:r>
        <w:t xml:space="preserve"> </w:t>
      </w:r>
      <w:r>
        <w:rPr>
          <w:i/>
          <w:iCs/>
        </w:rPr>
        <w:t xml:space="preserve">intended</w:t>
      </w:r>
      <w:r>
        <w:t xml:space="preserve"> </w:t>
      </w:r>
      <w:r>
        <w:t xml:space="preserve">style of a word is single; style that drifts within a word is the hallucination this thesis studies — degradation around one intent, not a deliberate second typeface. How often real output violates even this intent-level reading is measured rather than presumed, through the panel’s coherence judgment (Section 4.2.3). In the interface, adjacent words that receive the same verdict are merged back into a single region, so a five-word headline still reads as one result.</w:t>
      </w:r>
    </w:p>
    <w:p>
      <w:pPr>
        <w:pStyle w:val="BodyText"/>
      </w:pPr>
      <w:r>
        <w:t xml:space="preserve">The assumption is checked rather than trusted. The ViT encoder’s forward pass already produces one token per image patch. When a crop’s patch tokens disagree about style — the signature of two typefaces sharing one box, or of a localizer box that swallowed two words — the crop is flagged as inhomogeneous, at no additional inference cost. A flagged crop is split at the boundary between the two token groups, and each half is matched on its own. A half that remains incoherent after one split receives a third verdict:</w:t>
      </w:r>
      <w:r>
        <w:t xml:space="preserve"> </w:t>
      </w:r>
      <w:r>
        <w:rPr>
          <w:b/>
          <w:bCs/>
        </w:rPr>
        <w:t xml:space="preserve">“mixed typography.”</w:t>
      </w:r>
      <w:r>
        <w:t xml:space="preserve"> </w:t>
      </w:r>
      <w:r>
        <w:t xml:space="preserve">This verdict is distinct from</w:t>
      </w:r>
      <w:r>
        <w:t xml:space="preserve"> </w:t>
      </w:r>
      <w:r>
        <w:t xml:space="preserve">“unknown.”</w:t>
      </w:r>
      <w:r>
        <w:t xml:space="preserve"> </w:t>
      </w:r>
      <w:r>
        <w:t xml:space="preserve">It reports that the crop violates the single-font premise and that no one font can honestly be assigned — instead of confidently naming the majority typeface and silently discarding the other. Attribution finer than one split, such as per-glyph styling inside an unsplittable word, is out of scope. It would require character segmentation on precisely the malformed glyphs that defeat segmenters, and a word deliberately set in two typefaces has no single reconstructable font for the template goal in any case.</w:t>
      </w:r>
    </w:p>
    <w:p>
      <w:pPr>
        <w:pStyle w:val="BodyText"/>
      </w:pPr>
      <w:r>
        <w:rPr>
          <w:b/>
          <w:bCs/>
        </w:rPr>
        <w:t xml:space="preserve">How a flagged crop is split.</w:t>
      </w:r>
      <w:r>
        <w:t xml:space="preserve"> </w:t>
      </w:r>
      <w:r>
        <w:t xml:space="preserve">The check and the split both read the encoder’s patch grid. A 224 × 224 input reaches the ViT as a 16 × 16 grid of patches, one token each. Patches that carry no ink — padding margins, gaps between letters — are excluded by their attention weight. The remaining tokens are pooled by grid column, which yields a left-to-right style profile of the word. Homogeneity is then a question of how tightly those column vectors group. When a two-group clustering separates them more widely than a dispersion cutoff — calibrated, like</w:t>
      </w:r>
      <w:r>
        <w:t xml:space="preserve"> </w:t>
      </w:r>
      <m:oMath>
        <m:r>
          <m:t>τ</m:t>
        </m:r>
      </m:oMath>
      <w:r>
        <w:t xml:space="preserve">, at an operating point on labeled data (Section 4.10.2) — the crop is flagged. The split itself demands spatial contiguity. A real boundary exists only when the two groups occupy a contiguous left run and a contiguous right run of columns. In that case the boundary column is mapped back to a pixel coordinate in the original crop, undoing the padding offset, and the cut is made with a margin of roughly half a character, so that no glyph is bisected. If the two groups are interleaved instead, the disagreement is per-letter drift, not composed typography. No boundary exists, and the crop takes the mixed-typography verdict directly — which is what prevents the system from imposing structure on noise. Each half re-enters the pipeline as an ordinary crop. The split is attempted only once: a word still incoherent after one cut is not a composition of typefaces but deformation past recovery, and</w:t>
      </w:r>
      <w:r>
        <w:t xml:space="preserve"> </w:t>
      </w:r>
      <w:r>
        <w:t xml:space="preserve">“mixed typography”</w:t>
      </w:r>
      <w:r>
        <w:t xml:space="preserve"> </w:t>
      </w:r>
      <w:r>
        <w:t xml:space="preserve">is already the honest answer for it. The added cost is negligible. The tokens exist from the original forward pass, the clustering runs over at most sixteen column vectors, and extra encoder passes arise only for the two halves of crops that were actually flagged.</w:t>
      </w:r>
    </w:p>
    <w:p>
      <w:pPr>
        <w:pStyle w:val="BodyText"/>
      </w:pPr>
      <w:r>
        <w:t xml:space="preserve">The unknown verdict deserves a precise reading, because it carries a genuine ambiguity.</w:t>
      </w:r>
      <w:r>
        <w:t xml:space="preserve"> </w:t>
      </w:r>
      <w:r>
        <w:t xml:space="preserve">“Unknown”</w:t>
      </w:r>
      <w:r>
        <w:t xml:space="preserve"> </w:t>
      </w:r>
      <w:r>
        <w:t xml:space="preserve">means the crop resembled no palette font closely enough to justify a name. Two different situations produce that outcome, and the system cannot tell them apart: the text may be set in a real typeface outside the 50-to-100-font palette, or it may be hallucinated past the point where any typeface is recoverable. Both surface identically. What the verdict does guarantee is the behavior that motivates the open-set design of Section 4.2.1 — no font is ever invented to fill the gap, which is precisely what a closed-set classifier is forced to do.</w:t>
      </w:r>
    </w:p>
    <w:p>
      <w:pPr>
        <w:pStyle w:val="BodyText"/>
      </w:pPr>
      <w:r>
        <w:t xml:space="preserve">The third band,</w:t>
      </w:r>
      <w:r>
        <w:t xml:space="preserve"> </w:t>
      </w:r>
      <w:r>
        <w:rPr>
          <w:i/>
          <w:iCs/>
        </w:rPr>
        <w:t xml:space="preserve">how we measure it</w:t>
      </w:r>
      <w:r>
        <w:t xml:space="preserve">, holds the researcher instruments of Section 4.2 rather than any part of the served system. Top-K accuracy records how often the true font appears in the shortlist. The re-render check scores the structural distance between a re-rendering of the predicted font and the original crop. The human-proxy panel supplies the accuracy floor. These run offline, over held-out evaluation sets, and produce no output the designer ever sees.</w:t>
      </w:r>
    </w:p>
    <w:p>
      <w:pPr>
        <w:pStyle w:val="BodyText"/>
        <w:keepNext/>
      </w:pPr>
      <w:r>
        <w:rPr>
          <w:b/>
          <w:bCs/>
        </w:rPr>
        <w:t xml:space="preserve">Figure 8</w:t>
      </w:r>
    </w:p>
    <w:p>
      <w:pPr>
        <w:pStyle w:val="BodyText"/>
        <w:keepNext/>
      </w:pPr>
      <w:r>
        <w:rPr>
          <w:i/>
          <w:iCs/>
        </w:rPr>
        <w:t xml:space="preserve">Conceptual Framework of the Proposed Font-Identification System</w:t>
      </w:r>
    </w:p>
    <w:p>
      <w:pPr>
        <w:pStyle w:val="CaptionedFigure"/>
      </w:pPr>
      <w:r>
        <w:drawing>
          <wp:inline>
            <wp:extent cx="5334000" cy="4109366"/>
            <wp:effectExtent b="0" l="0" r="0" t="0"/>
            <wp:docPr descr="Diagram with three enclosed horizontal bands. Top band, before deployment: the Google Fonts palette is rendered into pristine word crops, expanded by the operator D with degraded look-alikes, and the combined pristine-plus-degraded corpus trains a teacher model (DINOv2 with LoRA, offline only) and a student metric head f-theta, which learns from font labels through triplet loss and from the teacher through distillation; the band ends in the trained model, meaning the weights f-theta and the match threshold tau. A dashed arrow carries that model into the middle band, loaded once at startup. Middle band, at use: an AI-generated image from DALL-E, Midjourney, or Stable Diffusion passes through off-the-shelf text localization, which emits one bounding box per word; each word crop is then resized to 224 by 224 pixels, converted to grayscale and rescaled in brightness, encoded by the frozen DINOv2 Vision Transformer, passed through a same-font check that asks whether the crop’s patches agree on one style (splitting the crop once if not), projected by the metric head into a font-style fingerprint, and put to a match test against the threshold tau. Three verdicts follow: passing crops yield a Top-K Google Fonts shortlist, one per crop; crops whose closest font falls short of tau yield an unknown-font verdict in which no font is guessed; and crops that remain style-incoherent after one split yield a mixed-typography verdict in which no single font is assigned. Bottom band, how we measure it: Top-K accuracy, the re-render check, and the human-proxy panel, marked as researcher instruments never shown to the user. An in-figure legend defines solid arrows as the per-image path and dashed arrows as researcher-side work outside it" title="" id="80" name="Picture"/>
            <a:graphic>
              <a:graphicData uri="http://schemas.openxmlformats.org/drawingml/2006/picture">
                <pic:pic>
                  <pic:nvPicPr>
                    <pic:cNvPr descr="assets/figures/conceptual_framework.png" id="81" name="Picture"/>
                    <pic:cNvPicPr>
                      <a:picLocks noChangeArrowheads="1" noChangeAspect="1"/>
                    </pic:cNvPicPr>
                  </pic:nvPicPr>
                  <pic:blipFill>
                    <a:blip r:embed="rId79"/>
                    <a:stretch>
                      <a:fillRect/>
                    </a:stretch>
                  </pic:blipFill>
                  <pic:spPr bwMode="auto">
                    <a:xfrm>
                      <a:off x="0" y="0"/>
                      <a:ext cx="5334000" cy="4109366"/>
                    </a:xfrm>
                    <a:prstGeom prst="rect">
                      <a:avLst/>
                    </a:prstGeom>
                    <a:noFill/>
                    <a:ln w="9525">
                      <a:noFill/>
                      <a:headEnd/>
                      <a:tailEnd/>
                    </a:ln>
                  </pic:spPr>
                </pic:pic>
              </a:graphicData>
            </a:graphic>
          </wp:inline>
        </w:drawing>
      </w:r>
    </w:p>
    <w:p>
      <w:pPr>
        <w:pStyle w:val="BodyText"/>
      </w:pPr>
      <w:r>
        <w:t xml:space="preserve">The figure is read through the line convention stated in its legend. Solid arrows mark the per-image path: every step that executes when a designer submits an image. Dashed arrows mark researcher-side work outside that path, which covers both the preparation band above and the measurement band below. The two kinds of flow meet at exactly one point — where the trained model is loaded into the running system at startup. That hand-off is drawn dashed because it happens before the per-image path, not during it. The localization step stays solid because it does run live on every request, even though it is off-the-shelf and replaceable; keeping it solid keeps the thesis focused on the recognition that follows it. Two absences from the figure are deliberate. The web application does not appear, because it is a delivery surface rather than a conceptual stage; it is specified in the system architecture of Section 4.5.2 instead. The measurement band is drawn outside the per-image path for the same reason the re-render check is not a runtime step: the structural comparison of Section 4.2.2 is a validation instrument, applied by the researchers to held-out data. It neither re-ranks the shortlist nor reaches the designer. This separation is what lets the same model serve live requests while remaining fully reproducible from the researcher-controlled data pipeline.</w:t>
      </w:r>
    </w:p>
    <w:p>
      <w:pPr>
        <w:pStyle w:val="BodyText"/>
      </w:pPr>
      <w:r>
        <w:rPr>
          <w:b/>
          <w:bCs/>
        </w:rPr>
        <w:t xml:space="preserve">The framework as a step-by-step process.</w:t>
      </w:r>
      <w:r>
        <w:t xml:space="preserve"> </w:t>
      </w:r>
      <w:r>
        <w:t xml:space="preserve">For an outside researcher, the three bands of Figure 8 unfold into the following ordered procedure. Each step names its input, its operation, and its output. The section that owns a step’s parameters is cited in place, so the full detail of any step is one reference away.</w:t>
      </w:r>
    </w:p>
    <w:p>
      <w:pPr>
        <w:pStyle w:val="BodyText"/>
      </w:pPr>
      <w:r>
        <w:rPr>
          <w:i/>
          <w:iCs/>
        </w:rPr>
        <w:t xml:space="preserve">Before deployment — executed once by the researchers:</w:t>
      </w:r>
    </w:p>
    <w:p>
      <w:pPr>
        <w:pStyle w:val="Compact"/>
        <w:numPr>
          <w:ilvl w:val="0"/>
          <w:numId w:val="1004"/>
        </w:numPr>
      </w:pPr>
      <w:r>
        <w:rPr>
          <w:b/>
          <w:bCs/>
        </w:rPr>
        <w:t xml:space="preserve">Select the palette.</w:t>
      </w:r>
      <w:r>
        <w:t xml:space="preserve"> </w:t>
      </w:r>
      <w:r>
        <w:t xml:space="preserve">The top 50–100 Google Fonts are curated across the four structural family classes, under the bounding rationale of Section 4.1. Output: a fixed set of font files, each a named class.</w:t>
      </w:r>
    </w:p>
    <w:p>
      <w:pPr>
        <w:pStyle w:val="Compact"/>
        <w:numPr>
          <w:ilvl w:val="0"/>
          <w:numId w:val="1004"/>
        </w:numPr>
      </w:pPr>
      <w:r>
        <w:rPr>
          <w:b/>
          <w:bCs/>
        </w:rPr>
        <w:t xml:space="preserve">Render pristine crops.</w:t>
      </w:r>
      <w:r>
        <w:t xml:space="preserve"> </w:t>
      </w:r>
      <w:r>
        <w:t xml:space="preserve">Every palette font is rendered into word crops under the image and text properties of Section 4.3.1. Output: labeled clean images, the font of each known by construction.</w:t>
      </w:r>
    </w:p>
    <w:p>
      <w:pPr>
        <w:pStyle w:val="Compact"/>
        <w:numPr>
          <w:ilvl w:val="0"/>
          <w:numId w:val="1004"/>
        </w:numPr>
      </w:pPr>
      <w:r>
        <w:rPr>
          <w:b/>
          <w:bCs/>
        </w:rPr>
        <w:t xml:space="preserve">Degrade.</w:t>
      </w:r>
      <w:r>
        <w:t xml:space="preserve"> </w:t>
      </w:r>
      <w:r>
        <w:t xml:space="preserve">Each pristine crop passes through the operator</w:t>
      </w:r>
      <w:r>
        <w:t xml:space="preserve"> </w:t>
      </w:r>
      <m:oMath>
        <m:r>
          <m:t>D</m:t>
        </m:r>
      </m:oMath>
      <w:r>
        <w:t xml:space="preserve"> </w:t>
      </w:r>
      <w:r>
        <w:t xml:space="preserve">of Section 3.2.3 at logged intensities. Output: hallucinated look-alikes carrying the same label. The corpus holds both the pristine crops and the degraded copies, one metadata row each (Table 1).</w:t>
      </w:r>
    </w:p>
    <w:p>
      <w:pPr>
        <w:pStyle w:val="Compact"/>
        <w:numPr>
          <w:ilvl w:val="0"/>
          <w:numId w:val="1004"/>
        </w:numPr>
      </w:pPr>
      <w:r>
        <w:rPr>
          <w:b/>
          <w:bCs/>
        </w:rPr>
        <w:t xml:space="preserve">Partition.</w:t>
      </w:r>
      <w:r>
        <w:t xml:space="preserve"> </w:t>
      </w:r>
      <w:r>
        <w:t xml:space="preserve">The corpus splits 70/15/15 into training, validation, and test sets, stratified as in Section 4.3.2. The validation and test slices are not touched again until steps 8 and 11.</w:t>
      </w:r>
    </w:p>
    <w:p>
      <w:pPr>
        <w:pStyle w:val="Compact"/>
        <w:numPr>
          <w:ilvl w:val="0"/>
          <w:numId w:val="1004"/>
        </w:numPr>
      </w:pPr>
      <w:r>
        <w:rPr>
          <w:b/>
          <w:bCs/>
        </w:rPr>
        <w:t xml:space="preserve">Train the teacher.</w:t>
      </w:r>
      <w:r>
        <w:t xml:space="preserve"> </w:t>
      </w:r>
      <w:r>
        <w:t xml:space="preserve">DINOv2 with the LoRA adaptation of Section 4.3.2 is fitted to the font labels on the training slice. Output: a supervising model that never leaves this band.</w:t>
      </w:r>
    </w:p>
    <w:p>
      <w:pPr>
        <w:pStyle w:val="Compact"/>
        <w:numPr>
          <w:ilvl w:val="0"/>
          <w:numId w:val="1004"/>
        </w:numPr>
      </w:pPr>
      <w:r>
        <w:rPr>
          <w:b/>
          <w:bCs/>
        </w:rPr>
        <w:t xml:space="preserve">Train the student.</w:t>
      </w:r>
      <w:r>
        <w:t xml:space="preserve"> </w:t>
      </w:r>
      <w:r>
        <w:t xml:space="preserve">The metric head</w:t>
      </w:r>
      <w:r>
        <w:t xml:space="preserve"> </w:t>
      </w:r>
      <m:oMath>
        <m:sSub>
          <m:e>
            <m:r>
              <m:t>f</m:t>
            </m:r>
          </m:e>
          <m:sub>
            <m:r>
              <m:t>θ</m:t>
            </m:r>
          </m:sub>
        </m:sSub>
      </m:oMath>
      <w:r>
        <w:t xml:space="preserve"> </w:t>
      </w:r>
      <w:r>
        <w:t xml:space="preserve">trains on the same slice under two simultaneous signals — the triplet objective on the labels (Chapter 3), and distillation toward the teacher’s similarity judgments, which consults no labels. Output: an embedding function that maps any crop to a font-style fingerprint.</w:t>
      </w:r>
    </w:p>
    <w:p>
      <w:pPr>
        <w:pStyle w:val="Compact"/>
        <w:numPr>
          <w:ilvl w:val="0"/>
          <w:numId w:val="1004"/>
        </w:numPr>
      </w:pPr>
      <w:r>
        <w:rPr>
          <w:b/>
          <w:bCs/>
        </w:rPr>
        <w:t xml:space="preserve">Build the palette map.</w:t>
      </w:r>
      <w:r>
        <w:t xml:space="preserve"> </w:t>
      </w:r>
      <w:r>
        <w:t xml:space="preserve">Every training crop of each font is embedded by the finished student and averaged into that font’s prototype. Output: one reference fingerprint per palette font.</w:t>
      </w:r>
    </w:p>
    <w:p>
      <w:pPr>
        <w:pStyle w:val="Compact"/>
        <w:numPr>
          <w:ilvl w:val="0"/>
          <w:numId w:val="1004"/>
        </w:numPr>
      </w:pPr>
      <w:r>
        <w:rPr>
          <w:b/>
          <w:bCs/>
        </w:rPr>
        <w:t xml:space="preserve">Calibrate.</w:t>
      </w:r>
      <w:r>
        <w:t xml:space="preserve"> </w:t>
      </w:r>
      <w:r>
        <w:t xml:space="preserve">Validation crops are embedded and scored against their nearest prototypes.</w:t>
      </w:r>
      <w:r>
        <w:t xml:space="preserve"> </w:t>
      </w:r>
      <m:oMath>
        <m:r>
          <m:t>τ</m:t>
        </m:r>
      </m:oMath>
      <w:r>
        <w:t xml:space="preserve"> </w:t>
      </w:r>
      <w:r>
        <w:t xml:space="preserve">is fixed at the cutoff that accepts 95% of the crops whose font truly is in the palette — the operating point of Section 4.10.2. Output: the trained model, meaning</w:t>
      </w:r>
      <w:r>
        <w:t xml:space="preserve"> </w:t>
      </w:r>
      <m:oMath>
        <m:sSub>
          <m:e>
            <m:r>
              <m:t>f</m:t>
            </m:r>
          </m:e>
          <m:sub>
            <m:r>
              <m:t>θ</m:t>
            </m:r>
          </m:sub>
        </m:sSub>
      </m:oMath>
      <w:r>
        <w:t xml:space="preserve">, the prototypes, and</w:t>
      </w:r>
      <w:r>
        <w:t xml:space="preserve"> </w:t>
      </w:r>
      <m:oMath>
        <m:r>
          <m:t>τ</m:t>
        </m:r>
      </m:oMath>
      <w:r>
        <w:t xml:space="preserve">. The teacher is discarded.</w:t>
      </w:r>
    </w:p>
    <w:p>
      <w:pPr>
        <w:pStyle w:val="FirstParagraph"/>
      </w:pPr>
      <w:r>
        <w:rPr>
          <w:i/>
          <w:iCs/>
        </w:rPr>
        <w:t xml:space="preserve">At use — executed for every uploaded image:</w:t>
      </w:r>
    </w:p>
    <w:p>
      <w:pPr>
        <w:pStyle w:val="Compact"/>
        <w:numPr>
          <w:ilvl w:val="0"/>
          <w:numId w:val="1005"/>
        </w:numPr>
      </w:pPr>
      <w:r>
        <w:rPr>
          <w:b/>
          <w:bCs/>
        </w:rPr>
        <w:t xml:space="preserve">Ingest.</w:t>
      </w:r>
      <w:r>
        <w:t xml:space="preserve"> </w:t>
      </w:r>
      <w:r>
        <w:t xml:space="preserve">The user submits a raster image in an accepted format (Section 4.2.4). The off-the-shelf localizer emits one bounding box per word, and each word crop proceeds independently.</w:t>
      </w:r>
    </w:p>
    <w:p>
      <w:pPr>
        <w:pStyle w:val="Compact"/>
        <w:numPr>
          <w:ilvl w:val="0"/>
          <w:numId w:val="1005"/>
        </w:numPr>
      </w:pPr>
      <w:r>
        <w:rPr>
          <w:b/>
          <w:bCs/>
        </w:rPr>
        <w:t xml:space="preserve">Embed and check.</w:t>
      </w:r>
      <w:r>
        <w:t xml:space="preserve"> </w:t>
      </w:r>
      <w:r>
        <w:t xml:space="preserve">Inside the model’s forward pass, each crop is prepared (square-pad, 224², grayscale, normalize; Section 4.3.2), encoded by the frozen backbone, and projected by</w:t>
      </w:r>
      <w:r>
        <w:t xml:space="preserve"> </w:t>
      </w:r>
      <m:oMath>
        <m:sSub>
          <m:e>
            <m:r>
              <m:t>f</m:t>
            </m:r>
          </m:e>
          <m:sub>
            <m:r>
              <m:t>θ</m:t>
            </m:r>
          </m:sub>
        </m:sSub>
      </m:oMath>
      <w:r>
        <w:t xml:space="preserve"> </w:t>
      </w:r>
      <w:r>
        <w:t xml:space="preserve">into a fingerprint. The same pass yields the patch tokens for the homogeneity check described above. A flagged crop is split once, and each half re-enters this step; a half that stays incoherent exits with the mixed-typography verdict.</w:t>
      </w:r>
    </w:p>
    <w:p>
      <w:pPr>
        <w:pStyle w:val="Compact"/>
        <w:numPr>
          <w:ilvl w:val="0"/>
          <w:numId w:val="1005"/>
        </w:numPr>
      </w:pPr>
      <w:r>
        <w:rPr>
          <w:b/>
          <w:bCs/>
        </w:rPr>
        <w:t xml:space="preserve">Decide.</w:t>
      </w:r>
      <w:r>
        <w:t xml:space="preserve"> </w:t>
      </w:r>
      <w:r>
        <w:t xml:space="preserve">The fingerprint’s similarity to its nearest prototype meets the match test. At or above</w:t>
      </w:r>
      <w:r>
        <w:t xml:space="preserve"> </w:t>
      </w:r>
      <m:oMath>
        <m:r>
          <m:t>τ</m:t>
        </m:r>
      </m:oMath>
      <w:r>
        <w:t xml:space="preserve">, the crop returns its Top-3 shortlist with similarity scores and live font previews. Below</w:t>
      </w:r>
      <w:r>
        <w:t xml:space="preserve"> </w:t>
      </w:r>
      <m:oMath>
        <m:r>
          <m:t>τ</m:t>
        </m:r>
      </m:oMath>
      <w:r>
        <w:t xml:space="preserve">, it returns the unknown-font verdict. Adjacent words with the same verdict merge into one region card in the interface (Section 4.5).</w:t>
      </w:r>
    </w:p>
    <w:p>
      <w:pPr>
        <w:pStyle w:val="FirstParagraph"/>
      </w:pPr>
      <w:r>
        <w:rPr>
          <w:i/>
          <w:iCs/>
        </w:rPr>
        <w:t xml:space="preserve">How we measure it — executed offline on held-out data:</w:t>
      </w:r>
    </w:p>
    <w:p>
      <w:pPr>
        <w:pStyle w:val="Compact"/>
        <w:numPr>
          <w:ilvl w:val="0"/>
          <w:numId w:val="1006"/>
        </w:numPr>
      </w:pPr>
      <w:r>
        <w:rPr>
          <w:b/>
          <w:bCs/>
        </w:rPr>
        <w:t xml:space="preserve">Score recognition.</w:t>
      </w:r>
      <w:r>
        <w:t xml:space="preserve"> </w:t>
      </w:r>
      <w:r>
        <w:t xml:space="preserve">Top-1/Top-3 accuracy is computed on the untouched synthetic test slice and on the real-generative set, whose ground truth is the human-proxy panel consensus of Section 4.2.3.</w:t>
      </w:r>
    </w:p>
    <w:p>
      <w:pPr>
        <w:pStyle w:val="Compact"/>
        <w:numPr>
          <w:ilvl w:val="0"/>
          <w:numId w:val="1006"/>
        </w:numPr>
      </w:pPr>
      <w:r>
        <w:rPr>
          <w:b/>
          <w:bCs/>
        </w:rPr>
        <w:t xml:space="preserve">Verify predictions structurally.</w:t>
      </w:r>
      <w:r>
        <w:t xml:space="preserve"> </w:t>
      </w:r>
      <w:r>
        <w:t xml:space="preserve">The re-render check of Section 4.2.2 scores each accepted prediction against its input crop.</w:t>
      </w:r>
    </w:p>
    <w:p>
      <w:pPr>
        <w:pStyle w:val="Compact"/>
        <w:numPr>
          <w:ilvl w:val="0"/>
          <w:numId w:val="1006"/>
        </w:numPr>
      </w:pPr>
      <w:r>
        <w:rPr>
          <w:b/>
          <w:bCs/>
        </w:rPr>
        <w:t xml:space="preserve">Compare.</w:t>
      </w:r>
      <w:r>
        <w:t xml:space="preserve"> </w:t>
      </w:r>
      <w:r>
        <w:t xml:space="preserve">The closed-set baselines and the backbone comparison run under the protocol of Section 4.10.2, on the same data and the same calibration recipe.</w:t>
      </w:r>
    </w:p>
    <w:p>
      <w:pPr>
        <w:pStyle w:val="FirstParagraph"/>
      </w:pPr>
      <w:r>
        <w:t xml:space="preserve">Any researcher holding the released code, the pinned seeds and versions (Section 4.7.3), and this sequence can regenerate the corpus bit-for-bit, retrain both models, arrive at the same</w:t>
      </w:r>
      <w:r>
        <w:t xml:space="preserve"> </w:t>
      </w:r>
      <m:oMath>
        <m:r>
          <m:t>τ</m:t>
        </m:r>
      </m:oMath>
      <w:r>
        <w:t xml:space="preserve">, and reproduce the reported tables. That is the standard the framework is built to meet.</w:t>
      </w:r>
    </w:p>
    <w:p>
      <w:pPr>
        <w:pStyle w:val="Heading3"/>
      </w:pPr>
      <w:r>
        <w:t xml:space="preserve">4.4.3 Value Proposition</w:t>
      </w:r>
    </w:p>
    <w:p>
      <w:pPr>
        <w:pStyle w:val="FirstParagraph"/>
      </w:pPr>
      <w:r>
        <w:t xml:space="preserve">The design suits its problem for three reasons. First, it is open-set. A closed-set classifier must name some font for every input; this system can refuse, which matters because many generative crops correspond to no real typeface at all. Second, it is trained on the hallucination distribution itself rather than on pristine glyphs, so it does not collapse on the warped, re-kerned input that defeats commercial identifiers and clean-glyph baselines. Third, it targets a localized open-source palette, so every match it returns is immediately reusable at no cost. Recognition ends in a template the designer can rebuild from — not in a paywalled lookup.</w:t>
      </w:r>
    </w:p>
    <w:p>
      <w:pPr>
        <w:pStyle w:val="Heading3"/>
      </w:pPr>
      <w:r>
        <w:t xml:space="preserve">4.4.4 High-Level Operational Logic</w:t>
      </w:r>
    </w:p>
    <w:p>
      <w:pPr>
        <w:pStyle w:val="FirstParagraph"/>
      </w:pPr>
      <w:r>
        <w:t xml:space="preserve">From the user’s side, the interaction is simple. A designer opens the web application, uploads a generative-AI image containing text, and waits a moment while the system localizes the text, crops it, and runs each crop through the inference engine. For every detected region, the application displays a short ranked list of candidate Google Fonts, each shown as a rendered preview — or an</w:t>
      </w:r>
      <w:r>
        <w:t xml:space="preserve"> </w:t>
      </w:r>
      <w:r>
        <w:t xml:space="preserve">“unknown”</w:t>
      </w:r>
      <w:r>
        <w:t xml:space="preserve"> </w:t>
      </w:r>
      <w:r>
        <w:t xml:space="preserve">message when the system judges the glyph to fall outside its palette. The designer picks the closest match and reuses it directly in their own document. The user needs no knowledge of embeddings, thresholds, or the training pipeline. The technical machinery of Sections 4.2 and 4.3 stays hidden behind a single upload-and-review interaction.</w:t>
      </w:r>
    </w:p>
    <w:p>
      <w:pPr>
        <w:pStyle w:val="Heading2"/>
      </w:pPr>
      <w:r>
        <w:t xml:space="preserve">4.5 Analysis and Design</w:t>
      </w:r>
    </w:p>
    <w:p>
      <w:pPr>
        <w:pStyle w:val="FirstParagraph"/>
      </w:pPr>
      <w:r>
        <w:t xml:space="preserve">This section turns the concept of Section 4.4 into a specification. Section 4.5.1 states what the system must do and the qualities it must have, scoped to a local testing deployment rather than a public service. Section 4.5.2 describes the architecture that satisfies those requirements and how its parts communicate.</w:t>
      </w:r>
    </w:p>
    <w:p>
      <w:pPr>
        <w:pStyle w:val="Heading3"/>
      </w:pPr>
      <w:r>
        <w:t xml:space="preserve">4.5.1 Requirements Analysis</w:t>
      </w:r>
    </w:p>
    <w:p>
      <w:pPr>
        <w:pStyle w:val="FirstParagraph"/>
      </w:pPr>
      <w:r>
        <w:rPr>
          <w:b/>
          <w:bCs/>
        </w:rPr>
        <w:t xml:space="preserve">Functional requirements.</w:t>
      </w:r>
      <w:r>
        <w:t xml:space="preserve"> </w:t>
      </w:r>
      <w:r>
        <w:t xml:space="preserve">The system must:</w:t>
      </w:r>
    </w:p>
    <w:p>
      <w:pPr>
        <w:pStyle w:val="Compact"/>
        <w:numPr>
          <w:ilvl w:val="0"/>
          <w:numId w:val="1007"/>
        </w:numPr>
      </w:pPr>
      <w:r>
        <w:t xml:space="preserve">Accept an uploaded generative-AI image in common raster formats (PNG, JPEG) through the browser.</w:t>
      </w:r>
    </w:p>
    <w:p>
      <w:pPr>
        <w:pStyle w:val="Compact"/>
        <w:numPr>
          <w:ilvl w:val="0"/>
          <w:numId w:val="1007"/>
        </w:numPr>
      </w:pPr>
      <w:r>
        <w:t xml:space="preserve">Localize and crop each text region in the image using an off-the-shelf text detector.</w:t>
      </w:r>
    </w:p>
    <w:p>
      <w:pPr>
        <w:pStyle w:val="Compact"/>
        <w:numPr>
          <w:ilvl w:val="0"/>
          <w:numId w:val="1007"/>
        </w:numPr>
      </w:pPr>
      <w:r>
        <w:t xml:space="preserve">Preprocess each crop and embed it with the frozen DINOv2 encoder and the trained metric head.</w:t>
      </w:r>
    </w:p>
    <w:p>
      <w:pPr>
        <w:pStyle w:val="Compact"/>
        <w:numPr>
          <w:ilvl w:val="0"/>
          <w:numId w:val="1007"/>
        </w:numPr>
      </w:pPr>
      <w:r>
        <w:t xml:space="preserve">Apply the open-set decision to each crop, either rejecting it as</w:t>
      </w:r>
      <w:r>
        <w:t xml:space="preserve"> </w:t>
      </w:r>
      <w:r>
        <w:t xml:space="preserve">“unknown”</w:t>
      </w:r>
      <w:r>
        <w:t xml:space="preserve"> </w:t>
      </w:r>
      <w:r>
        <w:t xml:space="preserve">or ranking the localized palette.</w:t>
      </w:r>
    </w:p>
    <w:p>
      <w:pPr>
        <w:pStyle w:val="Compact"/>
        <w:numPr>
          <w:ilvl w:val="0"/>
          <w:numId w:val="1007"/>
        </w:numPr>
      </w:pPr>
      <w:r>
        <w:t xml:space="preserve">Return, for every detected region, a Top-K shortlist of candidate Google Fonts or an</w:t>
      </w:r>
      <w:r>
        <w:t xml:space="preserve"> </w:t>
      </w:r>
      <w:r>
        <w:t xml:space="preserve">“unknown”</w:t>
      </w:r>
      <w:r>
        <w:t xml:space="preserve"> </w:t>
      </w:r>
      <w:r>
        <w:t xml:space="preserve">verdict.</w:t>
      </w:r>
    </w:p>
    <w:p>
      <w:pPr>
        <w:pStyle w:val="Compact"/>
        <w:numPr>
          <w:ilvl w:val="0"/>
          <w:numId w:val="1007"/>
        </w:numPr>
      </w:pPr>
      <w:r>
        <w:t xml:space="preserve">Render a preview of each candidate font so the user can compare it against the source text.</w:t>
      </w:r>
    </w:p>
    <w:p>
      <w:pPr>
        <w:pStyle w:val="Compact"/>
        <w:numPr>
          <w:ilvl w:val="0"/>
          <w:numId w:val="1007"/>
        </w:numPr>
      </w:pPr>
      <w:r>
        <w:t xml:space="preserve">Expose the recognition pipeline through a REST endpoint (</w:t>
      </w:r>
      <w:r>
        <w:rPr>
          <w:rStyle w:val="VerbatimChar"/>
        </w:rPr>
        <w:t xml:space="preserve">/predict</w:t>
      </w:r>
      <w:r>
        <w:t xml:space="preserve">) that the frontend calls.</w:t>
      </w:r>
    </w:p>
    <w:p>
      <w:pPr>
        <w:pStyle w:val="Compact"/>
        <w:numPr>
          <w:ilvl w:val="0"/>
          <w:numId w:val="1007"/>
        </w:numPr>
      </w:pPr>
      <w:r>
        <w:t xml:space="preserve">Load the trained model weights once at startup and reuse them across requests.</w:t>
      </w:r>
    </w:p>
    <w:p>
      <w:pPr>
        <w:pStyle w:val="FirstParagraph"/>
      </w:pPr>
      <w:r>
        <w:rPr>
          <w:b/>
          <w:bCs/>
        </w:rPr>
        <w:t xml:space="preserve">Non-functional requirements.</w:t>
      </w:r>
      <w:r>
        <w:t xml:space="preserve"> </w:t>
      </w:r>
      <w:r>
        <w:t xml:space="preserve">The system should also:</w:t>
      </w:r>
    </w:p>
    <w:p>
      <w:pPr>
        <w:pStyle w:val="Compact"/>
        <w:numPr>
          <w:ilvl w:val="0"/>
          <w:numId w:val="1008"/>
        </w:numPr>
      </w:pPr>
      <w:r>
        <w:t xml:space="preserve">Be usable through a single upload-and-review interaction that hides the underlying model (usability).</w:t>
      </w:r>
    </w:p>
    <w:p>
      <w:pPr>
        <w:pStyle w:val="Compact"/>
        <w:numPr>
          <w:ilvl w:val="0"/>
          <w:numId w:val="1008"/>
        </w:numPr>
      </w:pPr>
      <w:r>
        <w:t xml:space="preserve">Return results at interactive latency on a single machine, targeting a response within a few seconds per image (responsiveness).</w:t>
      </w:r>
    </w:p>
    <w:p>
      <w:pPr>
        <w:pStyle w:val="Compact"/>
        <w:numPr>
          <w:ilvl w:val="0"/>
          <w:numId w:val="1008"/>
        </w:numPr>
      </w:pPr>
      <w:r>
        <w:t xml:space="preserve">Produce the same output for the same input, through deterministic preprocessing and pinned model weights and seeds (reproducibility).</w:t>
      </w:r>
    </w:p>
    <w:p>
      <w:pPr>
        <w:pStyle w:val="Compact"/>
        <w:numPr>
          <w:ilvl w:val="0"/>
          <w:numId w:val="1008"/>
        </w:numPr>
      </w:pPr>
      <w:r>
        <w:t xml:space="preserve">Run from a single Docker image on one host, with no external service dependencies at inference time beyond the bundled weights and font files (portability).</w:t>
      </w:r>
    </w:p>
    <w:p>
      <w:pPr>
        <w:pStyle w:val="Compact"/>
        <w:numPr>
          <w:ilvl w:val="0"/>
          <w:numId w:val="1008"/>
        </w:numPr>
      </w:pPr>
      <w:r>
        <w:t xml:space="preserve">Keep the localizer, encoder, metric head, and open-set decision as separable components, so any one can be replaced without rewriting the others (maintainability).</w:t>
      </w:r>
    </w:p>
    <w:p>
      <w:pPr>
        <w:pStyle w:val="Compact"/>
        <w:numPr>
          <w:ilvl w:val="0"/>
          <w:numId w:val="1008"/>
        </w:numPr>
      </w:pPr>
      <w:r>
        <w:t xml:space="preserve">Operate as a single-user local demo, with no authentication, accounts, or multi-user scaling in scope (a deliberate delimitation, consistent with Section 4.1).</w:t>
      </w:r>
    </w:p>
    <w:p>
      <w:pPr>
        <w:pStyle w:val="Compact"/>
        <w:numPr>
          <w:ilvl w:val="0"/>
          <w:numId w:val="1008"/>
        </w:numPr>
      </w:pPr>
      <w:r>
        <w:t xml:space="preserve">Report an honest</w:t>
      </w:r>
      <w:r>
        <w:t xml:space="preserve"> </w:t>
      </w:r>
      <w:r>
        <w:t xml:space="preserve">“unknown”</w:t>
      </w:r>
      <w:r>
        <w:t xml:space="preserve"> </w:t>
      </w:r>
      <w:r>
        <w:t xml:space="preserve">rather than a forced guess when the open-set score falls below threshold (transparency).</w:t>
      </w:r>
    </w:p>
    <w:p>
      <w:pPr>
        <w:pStyle w:val="Heading3"/>
      </w:pPr>
      <w:r>
        <w:t xml:space="preserve">4.5.2 System Architecture</w:t>
      </w:r>
    </w:p>
    <w:p>
      <w:pPr>
        <w:pStyle w:val="FirstParagraph"/>
      </w:pPr>
      <w:r>
        <w:t xml:space="preserve">The architecture is a layered client-server design, shown in Figure 9. It separates a thin presentation layer from a Python inference backend, and separates both from the model and font resources they depend on.</w:t>
      </w:r>
    </w:p>
    <w:p>
      <w:pPr>
        <w:pStyle w:val="BodyText"/>
        <w:keepNext/>
      </w:pPr>
      <w:r>
        <w:rPr>
          <w:b/>
          <w:bCs/>
        </w:rPr>
        <w:t xml:space="preserve">Figure 9</w:t>
      </w:r>
    </w:p>
    <w:p>
      <w:pPr>
        <w:pStyle w:val="BodyText"/>
        <w:keepNext/>
      </w:pPr>
      <w:r>
        <w:rPr>
          <w:i/>
          <w:iCs/>
        </w:rPr>
        <w:t xml:space="preserve">System Architecture of the Font-Identification Web Application</w:t>
      </w:r>
    </w:p>
    <w:p>
      <w:pPr>
        <w:pStyle w:val="CaptionedFigure"/>
      </w:pPr>
      <w:r>
        <w:drawing>
          <wp:inline>
            <wp:extent cx="5334000" cy="4938346"/>
            <wp:effectExtent b="0" l="0" r="0" t="0"/>
            <wp:docPr descr="Layered architecture diagram with a user tier (graphic designer), a client tier (React frontend), an API tier (FastAPI backend in Docker), an inference tier (PyTorch service running text localization, preprocessing, the frozen DINOv2 encoder, the metric head, and the open-set decision), and a resources tier (HuggingFace model store, offline-trained metric-head weights, and Google Fonts assets), with a request path down and a results path back up to the client" title="" id="88" name="Picture"/>
            <a:graphic>
              <a:graphicData uri="http://schemas.openxmlformats.org/drawingml/2006/picture">
                <pic:pic>
                  <pic:nvPicPr>
                    <pic:cNvPr descr="assets/figures/system_architecture.png" id="89" name="Picture"/>
                    <pic:cNvPicPr>
                      <a:picLocks noChangeArrowheads="1" noChangeAspect="1"/>
                    </pic:cNvPicPr>
                  </pic:nvPicPr>
                  <pic:blipFill>
                    <a:blip r:embed="rId87"/>
                    <a:stretch>
                      <a:fillRect/>
                    </a:stretch>
                  </pic:blipFill>
                  <pic:spPr bwMode="auto">
                    <a:xfrm>
                      <a:off x="0" y="0"/>
                      <a:ext cx="5334000" cy="4938346"/>
                    </a:xfrm>
                    <a:prstGeom prst="rect">
                      <a:avLst/>
                    </a:prstGeom>
                    <a:noFill/>
                    <a:ln w="9525">
                      <a:noFill/>
                      <a:headEnd/>
                      <a:tailEnd/>
                    </a:ln>
                  </pic:spPr>
                </pic:pic>
              </a:graphicData>
            </a:graphic>
          </wp:inline>
        </w:drawing>
      </w:r>
    </w:p>
    <w:p>
      <w:pPr>
        <w:pStyle w:val="BodyText"/>
      </w:pPr>
      <w:r>
        <w:t xml:space="preserve">As shown in Figure 9, a request flows from top to bottom, and the result returns to the client. The</w:t>
      </w:r>
      <w:r>
        <w:t xml:space="preserve"> </w:t>
      </w:r>
      <w:r>
        <w:rPr>
          <w:b/>
          <w:bCs/>
        </w:rPr>
        <w:t xml:space="preserve">client tier</w:t>
      </w:r>
      <w:r>
        <w:t xml:space="preserve"> </w:t>
      </w:r>
      <w:r>
        <w:t xml:space="preserve">is a React single-page application in the browser. It handles the image upload and renders the Top-K results gallery with font previews. It calls the</w:t>
      </w:r>
      <w:r>
        <w:t xml:space="preserve"> </w:t>
      </w:r>
      <w:r>
        <w:rPr>
          <w:b/>
          <w:bCs/>
        </w:rPr>
        <w:t xml:space="preserve">API tier</w:t>
      </w:r>
      <w:r>
        <w:t xml:space="preserve">: a FastAPI backend packaged in a Docker image, which exposes the</w:t>
      </w:r>
      <w:r>
        <w:t xml:space="preserve"> </w:t>
      </w:r>
      <w:r>
        <w:rPr>
          <w:rStyle w:val="VerbatimChar"/>
        </w:rPr>
        <w:t xml:space="preserve">/predict</w:t>
      </w:r>
      <w:r>
        <w:t xml:space="preserve"> </w:t>
      </w:r>
      <w:r>
        <w:t xml:space="preserve">endpoint, orchestrates the inference call, and loads the model weights when it starts. The API hands each request to the</w:t>
      </w:r>
      <w:r>
        <w:t xml:space="preserve"> </w:t>
      </w:r>
      <w:r>
        <w:rPr>
          <w:b/>
          <w:bCs/>
        </w:rPr>
        <w:t xml:space="preserve">inference tier</w:t>
      </w:r>
      <w:r>
        <w:t xml:space="preserve">, a PyTorch service that runs the pipeline of Section 4.4 — off-the-shelf text localization, preprocessing, the frozen DINOv2 encoder, the metric head</w:t>
      </w:r>
      <w:r>
        <w:t xml:space="preserve"> </w:t>
      </w:r>
      <m:oMath>
        <m:sSub>
          <m:e>
            <m:r>
              <m:t>f</m:t>
            </m:r>
          </m:e>
          <m:sub>
            <m:r>
              <m:t>θ</m:t>
            </m:r>
          </m:sub>
        </m:sSub>
      </m:oMath>
      <w:r>
        <w:t xml:space="preserve">, and the open-set decision that produces a Top-K shortlist or an</w:t>
      </w:r>
      <w:r>
        <w:t xml:space="preserve"> </w:t>
      </w:r>
      <w:r>
        <w:t xml:space="preserve">“unknown”</w:t>
      </w:r>
      <w:r>
        <w:t xml:space="preserve"> </w:t>
      </w:r>
      <w:r>
        <w:t xml:space="preserve">verdict per crop. The</w:t>
      </w:r>
      <w:r>
        <w:t xml:space="preserve"> </w:t>
      </w:r>
      <w:r>
        <w:rPr>
          <w:b/>
          <w:bCs/>
        </w:rPr>
        <w:t xml:space="preserve">resources tier</w:t>
      </w:r>
      <w:r>
        <w:t xml:space="preserve"> </w:t>
      </w:r>
      <w:r>
        <w:t xml:space="preserve">holds what the inference tier reads but does not compute at request time: the DINOv2 backbone and baseline weights pulled from the HuggingFace Hub, the metric-head weights trained offline, and the Google Fonts files used both as the recognition palette and to render the candidate previews.</w:t>
      </w:r>
    </w:p>
    <w:p>
      <w:pPr>
        <w:pStyle w:val="BodyText"/>
      </w:pPr>
      <w:r>
        <w:t xml:space="preserve">Two design choices in this layout matter for the rest of the chapter. First, the inference tier is the only component with startup state, and the only one specific to this thesis; the localizer above it and the font assets beside it are replaceable off-the-shelf parts. Second, the offline training that produces the metric-head weights is not part of the request path at all. It runs separately and deposits weights into the resource tier. This keeps the served system reproducible from the researcher-controlled pipeline, and it lets the model be retrained or swapped without touching the API or the frontend.</w:t>
      </w:r>
    </w:p>
    <w:p>
      <w:pPr>
        <w:pStyle w:val="Heading2"/>
      </w:pPr>
      <w:r>
        <w:t xml:space="preserve">4.6 Development Model</w:t>
      </w:r>
    </w:p>
    <w:p>
      <w:pPr>
        <w:pStyle w:val="Heading3"/>
      </w:pPr>
      <w:r>
        <w:t xml:space="preserve">4.6.1 Identification of the Model</w:t>
      </w:r>
    </w:p>
    <w:p>
      <w:pPr>
        <w:pStyle w:val="FirstParagraph"/>
      </w:pPr>
      <w:r>
        <w:t xml:space="preserve">This study follows an</w:t>
      </w:r>
      <w:r>
        <w:t xml:space="preserve"> </w:t>
      </w:r>
      <w:r>
        <w:rPr>
          <w:b/>
          <w:bCs/>
        </w:rPr>
        <w:t xml:space="preserve">iterative-incremental</w:t>
      </w:r>
      <w:r>
        <w:t xml:space="preserve"> </w:t>
      </w:r>
      <w:r>
        <w:t xml:space="preserve">development model. The system is built as a sequence of increments. Each increment runs a full Analyze, Design, Build, and Evaluate cycle, and each delivers a working slice that integrates into the growing whole. The model is shown in Figure 10.</w:t>
      </w:r>
    </w:p>
    <w:p>
      <w:pPr>
        <w:pStyle w:val="Heading3"/>
      </w:pPr>
      <w:r>
        <w:t xml:space="preserve">4.6.2 Justification</w:t>
      </w:r>
    </w:p>
    <w:p>
      <w:pPr>
        <w:pStyle w:val="FirstParagraph"/>
      </w:pPr>
      <w:r>
        <w:t xml:space="preserve">The iterative-incremental model fits this project better than a single-pass model such as Waterfall, for two reasons. First, the work is part research. The behavior of the metric embedding and the open-set threshold cannot be fully specified in advance; each increment’s evaluation — Top-K accuracy, or the rejection rate on held-out crops — feeds back into the design of the next. A model that froze the design before any results existed would not survive contact with the data. Second, the components have a natural build order. The recognizer cannot be trained without the synthetic dataset; the open-set decision cannot be tuned without a trained embedding; the web application only has something to serve once the recognizer works. Delivering these as increments keeps a working, testable artifact in hand at every stage, and it isolates risk to one increment at a time — which suits a two-person team without a dedicated QA role.</w:t>
      </w:r>
    </w:p>
    <w:p>
      <w:pPr>
        <w:pStyle w:val="Heading3"/>
      </w:pPr>
      <w:r>
        <w:t xml:space="preserve">4.6.3 Phases of the Model</w:t>
      </w:r>
    </w:p>
    <w:p>
      <w:pPr>
        <w:pStyle w:val="FirstParagraph"/>
      </w:pPr>
      <w:r>
        <w:t xml:space="preserve">The project is organized into four increments, each producing a deliverable that the next increment consumes.</w:t>
      </w:r>
    </w:p>
    <w:p>
      <w:pPr>
        <w:pStyle w:val="Compact"/>
        <w:numPr>
          <w:ilvl w:val="0"/>
          <w:numId w:val="1009"/>
        </w:numPr>
      </w:pPr>
      <w:r>
        <w:rPr>
          <w:b/>
          <w:bCs/>
        </w:rPr>
        <w:t xml:space="preserve">Increment 1: Synthetic data pipeline.</w:t>
      </w:r>
      <w:r>
        <w:t xml:space="preserve"> </w:t>
      </w:r>
      <w:r>
        <w:t xml:space="preserve">Analyze the documented deformation modes, design the rendering and degradation operator</w:t>
      </w:r>
      <w:r>
        <w:t xml:space="preserve"> </w:t>
      </w:r>
      <m:oMath>
        <m:r>
          <m:t>D</m:t>
        </m:r>
      </m:oMath>
      <w:r>
        <w:t xml:space="preserve">, build the pipeline, and evaluate the crops against the target hallucination distribution. Deliverable: a labeled corpus of pristine and degraded crops (Section 4.3.1).</w:t>
      </w:r>
    </w:p>
    <w:p>
      <w:pPr>
        <w:pStyle w:val="Compact"/>
        <w:numPr>
          <w:ilvl w:val="0"/>
          <w:numId w:val="1009"/>
        </w:numPr>
      </w:pPr>
      <w:r>
        <w:rPr>
          <w:b/>
          <w:bCs/>
        </w:rPr>
        <w:t xml:space="preserve">Increment 2: Metric embedding.</w:t>
      </w:r>
      <w:r>
        <w:t xml:space="preserve"> </w:t>
      </w:r>
      <w:r>
        <w:t xml:space="preserve">Design and build the frozen DINOv2 encoder with the trained metric head, and evaluate embedding separability across fonts and families. Deliverable: the frozen encoder plus the trained head</w:t>
      </w:r>
      <w:r>
        <w:t xml:space="preserve"> </w:t>
      </w:r>
      <m:oMath>
        <m:sSub>
          <m:e>
            <m:r>
              <m:t>f</m:t>
            </m:r>
          </m:e>
          <m:sub>
            <m:r>
              <m:t>θ</m:t>
            </m:r>
          </m:sub>
        </m:sSub>
      </m:oMath>
      <w:r>
        <w:t xml:space="preserve"> </w:t>
      </w:r>
      <w:r>
        <w:t xml:space="preserve">(Section 4.3.2).</w:t>
      </w:r>
    </w:p>
    <w:p>
      <w:pPr>
        <w:pStyle w:val="Compact"/>
        <w:numPr>
          <w:ilvl w:val="0"/>
          <w:numId w:val="1009"/>
        </w:numPr>
      </w:pPr>
      <w:r>
        <w:rPr>
          <w:b/>
          <w:bCs/>
        </w:rPr>
        <w:t xml:space="preserve">Increment 3: Open-set decision and evaluation.</w:t>
      </w:r>
      <w:r>
        <w:t xml:space="preserve"> </w:t>
      </w:r>
      <w:r>
        <w:t xml:space="preserve">Add the rejection score, the calibrated Top-K, and the structural-distance verification, then evaluate against the baselines and the human-proxy panel. Deliverable: the full recognizer with its Top-K, rejection, and metric outputs (Sections 4.2 and 4.10).</w:t>
      </w:r>
    </w:p>
    <w:p>
      <w:pPr>
        <w:pStyle w:val="Compact"/>
        <w:numPr>
          <w:ilvl w:val="0"/>
          <w:numId w:val="1009"/>
        </w:numPr>
      </w:pPr>
      <w:r>
        <w:rPr>
          <w:b/>
          <w:bCs/>
        </w:rPr>
        <w:t xml:space="preserve">Increment 4: Web application.</w:t>
      </w:r>
      <w:r>
        <w:t xml:space="preserve"> </w:t>
      </w:r>
      <w:r>
        <w:t xml:space="preserve">Wrap the recognizer in the FastAPI backend and React frontend, then evaluate it interactively on real uploaded images. Deliverable: the running demo application (Section 4.5).</w:t>
      </w:r>
    </w:p>
    <w:p>
      <w:pPr>
        <w:pStyle w:val="Heading3"/>
      </w:pPr>
      <w:r>
        <w:t xml:space="preserve">4.6.4 SDLC Diagram</w:t>
      </w:r>
    </w:p>
    <w:p>
      <w:pPr>
        <w:pStyle w:val="FirstParagraph"/>
        <w:keepNext/>
      </w:pPr>
      <w:r>
        <w:rPr>
          <w:b/>
          <w:bCs/>
        </w:rPr>
        <w:t xml:space="preserve">Figure 10</w:t>
      </w:r>
    </w:p>
    <w:p>
      <w:pPr>
        <w:pStyle w:val="BodyText"/>
        <w:keepNext/>
      </w:pPr>
      <w:r>
        <w:rPr>
          <w:i/>
          <w:iCs/>
        </w:rPr>
        <w:t xml:space="preserve">Iterative-Incremental Development Model</w:t>
      </w:r>
    </w:p>
    <w:p>
      <w:pPr>
        <w:pStyle w:val="CaptionedFigure"/>
      </w:pPr>
      <w:r>
        <w:drawing>
          <wp:inline>
            <wp:extent cx="5334000" cy="3524213"/>
            <wp:effectExtent b="0" l="0" r="0" t="0"/>
            <wp:docPr descr="Diagram of four increments (synthetic data pipeline, metric embedding, open-set and evaluation, web application) arranged left to right, each running an Analyze, Design, Build, and Evaluate cycle with a refine loop and producing a deliverable, and each deliverable integrating into a cumulative working system band beneath them" title="" id="96" name="Picture"/>
            <a:graphic>
              <a:graphicData uri="http://schemas.openxmlformats.org/drawingml/2006/picture">
                <pic:pic>
                  <pic:nvPicPr>
                    <pic:cNvPr descr="assets/figures/sdlc_model.png" id="97" name="Picture"/>
                    <pic:cNvPicPr>
                      <a:picLocks noChangeArrowheads="1" noChangeAspect="1"/>
                    </pic:cNvPicPr>
                  </pic:nvPicPr>
                  <pic:blipFill>
                    <a:blip r:embed="rId95"/>
                    <a:stretch>
                      <a:fillRect/>
                    </a:stretch>
                  </pic:blipFill>
                  <pic:spPr bwMode="auto">
                    <a:xfrm>
                      <a:off x="0" y="0"/>
                      <a:ext cx="5334000" cy="3524213"/>
                    </a:xfrm>
                    <a:prstGeom prst="rect">
                      <a:avLst/>
                    </a:prstGeom>
                    <a:noFill/>
                    <a:ln w="9525">
                      <a:noFill/>
                      <a:headEnd/>
                      <a:tailEnd/>
                    </a:ln>
                  </pic:spPr>
                </pic:pic>
              </a:graphicData>
            </a:graphic>
          </wp:inline>
        </w:drawing>
      </w:r>
    </w:p>
    <w:p>
      <w:pPr>
        <w:pStyle w:val="BodyText"/>
      </w:pPr>
      <w:r>
        <w:t xml:space="preserve">As shown in Figure 10, the four increments proceed left to right. The arrows within each increment show that development is not linear inside it: the Analyze, Design, Build, and Evaluate phases repeat, and each evaluation refines the same increment before the next one begins. The deliverables accumulate into a single working system rather than being integrated only at the end. A failure surfaced late — for example, an open-set threshold that rejects too many valid crops — can therefore be traced to the increment that introduced it.</w:t>
      </w:r>
    </w:p>
    <w:p>
      <w:pPr>
        <w:pStyle w:val="Heading2"/>
      </w:pPr>
      <w:r>
        <w:t xml:space="preserve">4.7 Development Approach</w:t>
      </w:r>
    </w:p>
    <w:p>
      <w:pPr>
        <w:pStyle w:val="Heading3"/>
      </w:pPr>
      <w:r>
        <w:t xml:space="preserve">4.7.1 Bottom-Up Construction</w:t>
      </w:r>
    </w:p>
    <w:p>
      <w:pPr>
        <w:pStyle w:val="FirstParagraph"/>
      </w:pPr>
      <w:r>
        <w:t xml:space="preserve">The system is built</w:t>
      </w:r>
      <w:r>
        <w:t xml:space="preserve"> </w:t>
      </w:r>
      <w:r>
        <w:rPr>
          <w:b/>
          <w:bCs/>
        </w:rPr>
        <w:t xml:space="preserve">bottom-up</w:t>
      </w:r>
      <w:r>
        <w:t xml:space="preserve">. Construction starts at the data and model layers and works upward to the interface, in the increment order of Section 4.6: the synthetic data pipeline first, then the metric embedding, then the open-set decision and evaluation, and only last the web application that presents them. This direction follows the dependency structure of the problem — each layer is useless to test until the one beneath it works. It also matches the runtime-versus-offline split of Figure 8, in which the offline pipeline produces trained weights that the served system later loads. The alternative, a top-down approach that starts from the user interface and stubs out the model, would have deferred the project’s central research risk — whether a deformation-robust open-set recognizer is achievable at all — until after the surface was built. That is the opposite of what the schedule can afford.</w:t>
      </w:r>
    </w:p>
    <w:p>
      <w:pPr>
        <w:pStyle w:val="Heading3"/>
      </w:pPr>
      <w:r>
        <w:t xml:space="preserve">4.7.2 Architectural Patterns</w:t>
      </w:r>
    </w:p>
    <w:p>
      <w:pPr>
        <w:pStyle w:val="FirstParagraph"/>
      </w:pPr>
      <w:r>
        <w:t xml:space="preserve">The build organizes around a few standard patterns. The application is a</w:t>
      </w:r>
      <w:r>
        <w:t xml:space="preserve"> </w:t>
      </w:r>
      <w:r>
        <w:rPr>
          <w:b/>
          <w:bCs/>
        </w:rPr>
        <w:t xml:space="preserve">layered client-server</w:t>
      </w:r>
      <w:r>
        <w:t xml:space="preserve"> </w:t>
      </w:r>
      <w:r>
        <w:t xml:space="preserve">system with a clear separation of concerns: presentation in the React client, request handling in the FastAPI service, and recognition in the PyTorch inference tier (Section 4.5.2). The client and server communicate over a</w:t>
      </w:r>
      <w:r>
        <w:t xml:space="preserve"> </w:t>
      </w:r>
      <w:r>
        <w:rPr>
          <w:b/>
          <w:bCs/>
        </w:rPr>
        <w:t xml:space="preserve">REST</w:t>
      </w:r>
      <w:r>
        <w:t xml:space="preserve"> </w:t>
      </w:r>
      <w:r>
        <w:t xml:space="preserve">interface, which keeps the frontend independent of the model internals and lets either side be developed against a fixed contract. The recognizer itself is a</w:t>
      </w:r>
      <w:r>
        <w:t xml:space="preserve"> </w:t>
      </w:r>
      <w:r>
        <w:rPr>
          <w:b/>
          <w:bCs/>
        </w:rPr>
        <w:t xml:space="preserve">modular pipeline</w:t>
      </w:r>
      <w:r>
        <w:t xml:space="preserve">: text localization, preprocessing, encoding, the metric head, and the open-set decision are separate stages with defined inputs and outputs. Any stage can be replaced — swapping the off-the-shelf localizer, for instance — without disturbing the others. Inference is</w:t>
      </w:r>
      <w:r>
        <w:t xml:space="preserve"> </w:t>
      </w:r>
      <w:r>
        <w:rPr>
          <w:b/>
          <w:bCs/>
        </w:rPr>
        <w:t xml:space="preserve">stateless</w:t>
      </w:r>
      <w:r>
        <w:t xml:space="preserve"> </w:t>
      </w:r>
      <w:r>
        <w:t xml:space="preserve">across requests: the model weights load once at startup, and each request is handled independently, which keeps the served component simple and reproducible.</w:t>
      </w:r>
    </w:p>
    <w:p>
      <w:pPr>
        <w:pStyle w:val="Heading3"/>
      </w:pPr>
      <w:r>
        <w:t xml:space="preserve">4.7.3 Coding Philosophy</w:t>
      </w:r>
    </w:p>
    <w:p>
      <w:pPr>
        <w:pStyle w:val="FirstParagraph"/>
      </w:pPr>
      <w:r>
        <w:t xml:space="preserve">Three principles guide how the code is written. The first is</w:t>
      </w:r>
      <w:r>
        <w:t xml:space="preserve"> </w:t>
      </w:r>
      <w:r>
        <w:rPr>
          <w:b/>
          <w:bCs/>
        </w:rPr>
        <w:t xml:space="preserve">reproducibility</w:t>
      </w:r>
      <w:r>
        <w:t xml:space="preserve">. Random seeds, pinned dependency versions, and fixed model weights are all recorded, so any run can be regenerated. The preprocessing transforms are embedded in the model’s forward pass, so training and serving apply identical steps and no train-serve skew can creep in (Section 4.3.2). The second is</w:t>
      </w:r>
      <w:r>
        <w:t xml:space="preserve"> </w:t>
      </w:r>
      <w:r>
        <w:rPr>
          <w:b/>
          <w:bCs/>
        </w:rPr>
        <w:t xml:space="preserve">reuse over reinvention</w:t>
      </w:r>
      <w:r>
        <w:t xml:space="preserve">. The backbone (DINOv2), the baseline classifiers, and the text localizer are taken off the shelf rather than rebuilt. Effort concentrates on the thesis’s actual contribution: the deformation-robust open-set recognizer. The third is</w:t>
      </w:r>
      <w:r>
        <w:t xml:space="preserve"> </w:t>
      </w:r>
      <w:r>
        <w:rPr>
          <w:b/>
          <w:bCs/>
        </w:rPr>
        <w:t xml:space="preserve">configuration over hard-coding</w:t>
      </w:r>
      <w:r>
        <w:t xml:space="preserve">. The palette size, degradation parameters, Top-K value, and rejection threshold are configurable settings, not constants buried in the code. This is what makes the iterative evaluation of Section 4.6 practical, since each increment can re-tune these values without a rewrite.</w:t>
      </w:r>
    </w:p>
    <w:p>
      <w:pPr>
        <w:pStyle w:val="Heading2"/>
      </w:pPr>
      <w:r>
        <w:t xml:space="preserve">4.8 Software Development and Tools</w:t>
      </w:r>
    </w:p>
    <w:p>
      <w:pPr>
        <w:pStyle w:val="FirstParagraph"/>
      </w:pPr>
      <w:r>
        <w:t xml:space="preserve">The stack is chosen against a few criteria. Every tool is free and open-source, so the system can be replicated at no licensing cost — consistent with the free-reconstruction goal of the study. Each is mature and widely supported, so documentation and community help are available. And each is the standard choice in its layer, which keeps the learning curve low for a two-person team. Because the served system is stateless and persists nothing between requests (Section 4.7.2), no database is used, and the database-connectivity criterion does not apply. Table 2 lists the tools by function, with the version used and an access link; the role each tool plays is discussed below the table.</w:t>
      </w:r>
    </w:p>
    <w:p>
      <w:pPr>
        <w:pStyle w:val="BodyText"/>
        <w:keepNext/>
      </w:pPr>
      <w:r>
        <w:rPr>
          <w:b/>
          <w:bCs/>
        </w:rPr>
        <w:t xml:space="preserve">Table 2</w:t>
      </w:r>
    </w:p>
    <w:p>
      <w:pPr>
        <w:pStyle w:val="BodyText"/>
        <w:keepNext/>
      </w:pPr>
      <w:r>
        <w:rPr>
          <w:i/>
          <w:iCs/>
        </w:rPr>
        <w:t xml:space="preserve">Software and Tools Used in the Development of the System</w:t>
      </w:r>
    </w:p>
    <w:tbl>
      <w:tblPr>
        <w:tblStyle w:val="Table"/>
        <w:tblW w:type="pct" w:w="5000"/>
        <w:tblLayout w:type="fixed"/>
        <w:tblLook w:firstRow="1" w:lastRow="0" w:firstColumn="0" w:lastColumn="0" w:noHBand="0" w:noVBand="0" w:val="0020"/>
      </w:tblPr>
      <w:tblGrid>
        <w:gridCol w:w="2084"/>
        <w:gridCol w:w="1250"/>
        <w:gridCol w:w="1875"/>
        <w:gridCol w:w="2709"/>
      </w:tblGrid>
      <w:tr>
        <w:trPr>
          <w:tblHeader w:val="on"/>
        </w:trPr>
        <w:tc>
          <w:tcPr/>
          <w:p>
            <w:pPr>
              <w:pStyle w:val="Compact"/>
            </w:pPr>
            <w:r>
              <w:t xml:space="preserve">Function</w:t>
            </w:r>
          </w:p>
        </w:tc>
        <w:tc>
          <w:tcPr/>
          <w:p>
            <w:pPr>
              <w:pStyle w:val="Compact"/>
            </w:pPr>
            <w:r>
              <w:t xml:space="preserve">Tool</w:t>
            </w:r>
          </w:p>
        </w:tc>
        <w:tc>
          <w:tcPr/>
          <w:p>
            <w:pPr>
              <w:pStyle w:val="Compact"/>
            </w:pPr>
            <w:r>
              <w:t xml:space="preserve">Version</w:t>
            </w:r>
          </w:p>
        </w:tc>
        <w:tc>
          <w:tcPr/>
          <w:p>
            <w:pPr>
              <w:pStyle w:val="Compact"/>
            </w:pPr>
            <w:r>
              <w:t xml:space="preserve">Access link</w:t>
            </w:r>
          </w:p>
        </w:tc>
      </w:tr>
      <w:tr>
        <w:tc>
          <w:tcPr/>
          <w:p>
            <w:pPr>
              <w:pStyle w:val="Compact"/>
            </w:pPr>
            <w:r>
              <w:t xml:space="preserve">Language and model</w:t>
            </w:r>
          </w:p>
        </w:tc>
        <w:tc>
          <w:tcPr/>
          <w:p>
            <w:pPr>
              <w:pStyle w:val="Compact"/>
            </w:pPr>
            <w:r>
              <w:t xml:space="preserve">Python</w:t>
            </w:r>
          </w:p>
        </w:tc>
        <w:tc>
          <w:tcPr/>
          <w:p>
            <w:pPr>
              <w:pStyle w:val="Compact"/>
            </w:pPr>
            <w:r>
              <w:t xml:space="preserve">3.13</w:t>
            </w:r>
          </w:p>
        </w:tc>
        <w:tc>
          <w:tcPr/>
          <w:p>
            <w:pPr>
              <w:pStyle w:val="Compact"/>
            </w:pPr>
            <w:r>
              <w:t xml:space="preserve">https://www.python.org</w:t>
            </w:r>
          </w:p>
        </w:tc>
      </w:tr>
      <w:tr>
        <w:tc>
          <w:tcPr/>
          <w:p>
            <w:pPr>
              <w:pStyle w:val="Compact"/>
            </w:pPr>
            <w:r>
              <w:t xml:space="preserve">Language and model</w:t>
            </w:r>
          </w:p>
        </w:tc>
        <w:tc>
          <w:tcPr/>
          <w:p>
            <w:pPr>
              <w:pStyle w:val="Compact"/>
            </w:pPr>
            <w:r>
              <w:t xml:space="preserve">PyTorch</w:t>
            </w:r>
          </w:p>
        </w:tc>
        <w:tc>
          <w:tcPr/>
          <w:p>
            <w:pPr>
              <w:pStyle w:val="Compact"/>
            </w:pPr>
            <w:r>
              <w:t xml:space="preserve">2.6</w:t>
            </w:r>
          </w:p>
        </w:tc>
        <w:tc>
          <w:tcPr/>
          <w:p>
            <w:pPr>
              <w:pStyle w:val="Compact"/>
            </w:pPr>
            <w:r>
              <w:t xml:space="preserve">https://pytorch.org</w:t>
            </w:r>
          </w:p>
        </w:tc>
      </w:tr>
      <w:tr>
        <w:tc>
          <w:tcPr/>
          <w:p>
            <w:pPr>
              <w:pStyle w:val="Compact"/>
            </w:pPr>
            <w:r>
              <w:t xml:space="preserve">Language and model</w:t>
            </w:r>
          </w:p>
        </w:tc>
        <w:tc>
          <w:tcPr/>
          <w:p>
            <w:pPr>
              <w:pStyle w:val="Compact"/>
            </w:pPr>
            <w:r>
              <w:t xml:space="preserve">Hugging Face Transformers</w:t>
            </w:r>
          </w:p>
        </w:tc>
        <w:tc>
          <w:tcPr/>
          <w:p>
            <w:pPr>
              <w:pStyle w:val="Compact"/>
            </w:pPr>
            <w:r>
              <w:t xml:space="preserve">4.49</w:t>
            </w:r>
          </w:p>
        </w:tc>
        <w:tc>
          <w:tcPr/>
          <w:p>
            <w:pPr>
              <w:pStyle w:val="Compact"/>
            </w:pPr>
            <w:r>
              <w:t xml:space="preserve">https://github.com/huggingface/transformers</w:t>
            </w:r>
          </w:p>
        </w:tc>
      </w:tr>
      <w:tr>
        <w:tc>
          <w:tcPr/>
          <w:p>
            <w:pPr>
              <w:pStyle w:val="Compact"/>
            </w:pPr>
            <w:r>
              <w:t xml:space="preserve">Language and model</w:t>
            </w:r>
          </w:p>
        </w:tc>
        <w:tc>
          <w:tcPr/>
          <w:p>
            <w:pPr>
              <w:pStyle w:val="Compact"/>
            </w:pPr>
            <w:r>
              <w:t xml:space="preserve">Hugging Face Hub</w:t>
            </w:r>
          </w:p>
        </w:tc>
        <w:tc>
          <w:tcPr/>
          <w:p>
            <w:pPr>
              <w:pStyle w:val="Compact"/>
            </w:pPr>
            <w:r>
              <w:t xml:space="preserve">0.28</w:t>
            </w:r>
          </w:p>
        </w:tc>
        <w:tc>
          <w:tcPr/>
          <w:p>
            <w:pPr>
              <w:pStyle w:val="Compact"/>
            </w:pPr>
            <w:r>
              <w:t xml:space="preserve">https://huggingface.co</w:t>
            </w:r>
          </w:p>
        </w:tc>
      </w:tr>
      <w:tr>
        <w:tc>
          <w:tcPr/>
          <w:p>
            <w:pPr>
              <w:pStyle w:val="Compact"/>
            </w:pPr>
            <w:r>
              <w:t xml:space="preserve">Language and model</w:t>
            </w:r>
          </w:p>
        </w:tc>
        <w:tc>
          <w:tcPr/>
          <w:p>
            <w:pPr>
              <w:pStyle w:val="Compact"/>
            </w:pPr>
            <w:r>
              <w:t xml:space="preserve">NumPy</w:t>
            </w:r>
          </w:p>
        </w:tc>
        <w:tc>
          <w:tcPr/>
          <w:p>
            <w:pPr>
              <w:pStyle w:val="Compact"/>
            </w:pPr>
            <w:r>
              <w:t xml:space="preserve">2.2</w:t>
            </w:r>
          </w:p>
        </w:tc>
        <w:tc>
          <w:tcPr/>
          <w:p>
            <w:pPr>
              <w:pStyle w:val="Compact"/>
            </w:pPr>
            <w:r>
              <w:t xml:space="preserve">https://numpy.org</w:t>
            </w:r>
          </w:p>
        </w:tc>
      </w:tr>
      <w:tr>
        <w:tc>
          <w:tcPr/>
          <w:p>
            <w:pPr>
              <w:pStyle w:val="Compact"/>
            </w:pPr>
            <w:r>
              <w:t xml:space="preserve">Language and model</w:t>
            </w:r>
          </w:p>
        </w:tc>
        <w:tc>
          <w:tcPr/>
          <w:p>
            <w:pPr>
              <w:pStyle w:val="Compact"/>
            </w:pPr>
            <w:r>
              <w:t xml:space="preserve">scikit-learn</w:t>
            </w:r>
          </w:p>
        </w:tc>
        <w:tc>
          <w:tcPr/>
          <w:p>
            <w:pPr>
              <w:pStyle w:val="Compact"/>
            </w:pPr>
            <w:r>
              <w:t xml:space="preserve">1.6</w:t>
            </w:r>
          </w:p>
        </w:tc>
        <w:tc>
          <w:tcPr/>
          <w:p>
            <w:pPr>
              <w:pStyle w:val="Compact"/>
            </w:pPr>
            <w:r>
              <w:t xml:space="preserve">https://scikit-learn.org</w:t>
            </w:r>
          </w:p>
        </w:tc>
      </w:tr>
      <w:tr>
        <w:tc>
          <w:tcPr/>
          <w:p>
            <w:pPr>
              <w:pStyle w:val="Compact"/>
            </w:pPr>
            <w:r>
              <w:t xml:space="preserve">Data and rendering</w:t>
            </w:r>
          </w:p>
        </w:tc>
        <w:tc>
          <w:tcPr/>
          <w:p>
            <w:pPr>
              <w:pStyle w:val="Compact"/>
            </w:pPr>
            <w:r>
              <w:t xml:space="preserve">Pillow (PIL)</w:t>
            </w:r>
          </w:p>
        </w:tc>
        <w:tc>
          <w:tcPr/>
          <w:p>
            <w:pPr>
              <w:pStyle w:val="Compact"/>
            </w:pPr>
            <w:r>
              <w:t xml:space="preserve">11.1</w:t>
            </w:r>
          </w:p>
        </w:tc>
        <w:tc>
          <w:tcPr/>
          <w:p>
            <w:pPr>
              <w:pStyle w:val="Compact"/>
            </w:pPr>
            <w:r>
              <w:t xml:space="preserve">https://python-pillow.org</w:t>
            </w:r>
          </w:p>
        </w:tc>
      </w:tr>
      <w:tr>
        <w:tc>
          <w:tcPr/>
          <w:p>
            <w:pPr>
              <w:pStyle w:val="Compact"/>
            </w:pPr>
            <w:r>
              <w:t xml:space="preserve">Data and rendering</w:t>
            </w:r>
          </w:p>
        </w:tc>
        <w:tc>
          <w:tcPr/>
          <w:p>
            <w:pPr>
              <w:pStyle w:val="Compact"/>
            </w:pPr>
            <w:r>
              <w:t xml:space="preserve">OpenCV</w:t>
            </w:r>
          </w:p>
        </w:tc>
        <w:tc>
          <w:tcPr/>
          <w:p>
            <w:pPr>
              <w:pStyle w:val="Compact"/>
            </w:pPr>
            <w:r>
              <w:t xml:space="preserve">4.11</w:t>
            </w:r>
          </w:p>
        </w:tc>
        <w:tc>
          <w:tcPr/>
          <w:p>
            <w:pPr>
              <w:pStyle w:val="Compact"/>
            </w:pPr>
            <w:r>
              <w:t xml:space="preserve">https://opencv.org</w:t>
            </w:r>
          </w:p>
        </w:tc>
      </w:tr>
      <w:tr>
        <w:tc>
          <w:tcPr/>
          <w:p>
            <w:pPr>
              <w:pStyle w:val="Compact"/>
            </w:pPr>
            <w:r>
              <w:t xml:space="preserve">Data and rendering</w:t>
            </w:r>
          </w:p>
        </w:tc>
        <w:tc>
          <w:tcPr/>
          <w:p>
            <w:pPr>
              <w:pStyle w:val="Compact"/>
            </w:pPr>
            <w:r>
              <w:t xml:space="preserve">EasyOCR</w:t>
            </w:r>
          </w:p>
        </w:tc>
        <w:tc>
          <w:tcPr/>
          <w:p>
            <w:pPr>
              <w:pStyle w:val="Compact"/>
            </w:pPr>
            <w:r>
              <w:t xml:space="preserve">1.7</w:t>
            </w:r>
          </w:p>
        </w:tc>
        <w:tc>
          <w:tcPr/>
          <w:p>
            <w:pPr>
              <w:pStyle w:val="Compact"/>
            </w:pPr>
            <w:r>
              <w:t xml:space="preserve">https://github.com/JaidedAI/EasyOCR</w:t>
            </w:r>
          </w:p>
        </w:tc>
      </w:tr>
      <w:tr>
        <w:tc>
          <w:tcPr/>
          <w:p>
            <w:pPr>
              <w:pStyle w:val="Compact"/>
            </w:pPr>
            <w:r>
              <w:t xml:space="preserve">Backend</w:t>
            </w:r>
          </w:p>
        </w:tc>
        <w:tc>
          <w:tcPr/>
          <w:p>
            <w:pPr>
              <w:pStyle w:val="Compact"/>
            </w:pPr>
            <w:r>
              <w:t xml:space="preserve">FastAPI</w:t>
            </w:r>
          </w:p>
        </w:tc>
        <w:tc>
          <w:tcPr/>
          <w:p>
            <w:pPr>
              <w:pStyle w:val="Compact"/>
            </w:pPr>
            <w:r>
              <w:t xml:space="preserve">0.115</w:t>
            </w:r>
          </w:p>
        </w:tc>
        <w:tc>
          <w:tcPr/>
          <w:p>
            <w:pPr>
              <w:pStyle w:val="Compact"/>
            </w:pPr>
            <w:r>
              <w:t xml:space="preserve">https://fastapi.tiangolo.com</w:t>
            </w:r>
          </w:p>
        </w:tc>
      </w:tr>
      <w:tr>
        <w:tc>
          <w:tcPr/>
          <w:p>
            <w:pPr>
              <w:pStyle w:val="Compact"/>
            </w:pPr>
            <w:r>
              <w:t xml:space="preserve">Backend</w:t>
            </w:r>
          </w:p>
        </w:tc>
        <w:tc>
          <w:tcPr/>
          <w:p>
            <w:pPr>
              <w:pStyle w:val="Compact"/>
            </w:pPr>
            <w:r>
              <w:t xml:space="preserve">Uvicorn</w:t>
            </w:r>
          </w:p>
        </w:tc>
        <w:tc>
          <w:tcPr/>
          <w:p>
            <w:pPr>
              <w:pStyle w:val="Compact"/>
            </w:pPr>
            <w:r>
              <w:t xml:space="preserve">0.34</w:t>
            </w:r>
          </w:p>
        </w:tc>
        <w:tc>
          <w:tcPr/>
          <w:p>
            <w:pPr>
              <w:pStyle w:val="Compact"/>
            </w:pPr>
            <w:r>
              <w:t xml:space="preserve">https://www.uvicorn.org</w:t>
            </w:r>
          </w:p>
        </w:tc>
      </w:tr>
      <w:tr>
        <w:tc>
          <w:tcPr/>
          <w:p>
            <w:pPr>
              <w:pStyle w:val="Compact"/>
            </w:pPr>
            <w:r>
              <w:t xml:space="preserve">Backend</w:t>
            </w:r>
          </w:p>
        </w:tc>
        <w:tc>
          <w:tcPr/>
          <w:p>
            <w:pPr>
              <w:pStyle w:val="Compact"/>
            </w:pPr>
            <w:r>
              <w:t xml:space="preserve">Pydantic</w:t>
            </w:r>
          </w:p>
        </w:tc>
        <w:tc>
          <w:tcPr/>
          <w:p>
            <w:pPr>
              <w:pStyle w:val="Compact"/>
            </w:pPr>
            <w:r>
              <w:t xml:space="preserve">2.10</w:t>
            </w:r>
          </w:p>
        </w:tc>
        <w:tc>
          <w:tcPr/>
          <w:p>
            <w:pPr>
              <w:pStyle w:val="Compact"/>
            </w:pPr>
            <w:r>
              <w:t xml:space="preserve">https://docs.pydantic.dev</w:t>
            </w:r>
          </w:p>
        </w:tc>
      </w:tr>
      <w:tr>
        <w:tc>
          <w:tcPr/>
          <w:p>
            <w:pPr>
              <w:pStyle w:val="Compact"/>
            </w:pPr>
            <w:r>
              <w:t xml:space="preserve">Frontend</w:t>
            </w:r>
          </w:p>
        </w:tc>
        <w:tc>
          <w:tcPr/>
          <w:p>
            <w:pPr>
              <w:pStyle w:val="Compact"/>
            </w:pPr>
            <w:r>
              <w:t xml:space="preserve">React</w:t>
            </w:r>
          </w:p>
        </w:tc>
        <w:tc>
          <w:tcPr/>
          <w:p>
            <w:pPr>
              <w:pStyle w:val="Compact"/>
            </w:pPr>
            <w:r>
              <w:t xml:space="preserve">19</w:t>
            </w:r>
          </w:p>
        </w:tc>
        <w:tc>
          <w:tcPr/>
          <w:p>
            <w:pPr>
              <w:pStyle w:val="Compact"/>
            </w:pPr>
            <w:r>
              <w:t xml:space="preserve">https://react.dev</w:t>
            </w:r>
          </w:p>
        </w:tc>
      </w:tr>
      <w:tr>
        <w:tc>
          <w:tcPr/>
          <w:p>
            <w:pPr>
              <w:pStyle w:val="Compact"/>
            </w:pPr>
            <w:r>
              <w:t xml:space="preserve">Frontend</w:t>
            </w:r>
          </w:p>
        </w:tc>
        <w:tc>
          <w:tcPr/>
          <w:p>
            <w:pPr>
              <w:pStyle w:val="Compact"/>
            </w:pPr>
            <w:r>
              <w:t xml:space="preserve">Vite</w:t>
            </w:r>
          </w:p>
        </w:tc>
        <w:tc>
          <w:tcPr/>
          <w:p>
            <w:pPr>
              <w:pStyle w:val="Compact"/>
            </w:pPr>
            <w:r>
              <w:t xml:space="preserve">6</w:t>
            </w:r>
          </w:p>
        </w:tc>
        <w:tc>
          <w:tcPr/>
          <w:p>
            <w:pPr>
              <w:pStyle w:val="Compact"/>
            </w:pPr>
            <w:r>
              <w:t xml:space="preserve">https://vite.dev</w:t>
            </w:r>
          </w:p>
        </w:tc>
      </w:tr>
      <w:tr>
        <w:tc>
          <w:tcPr/>
          <w:p>
            <w:pPr>
              <w:pStyle w:val="Compact"/>
            </w:pPr>
            <w:r>
              <w:t xml:space="preserve">Frontend</w:t>
            </w:r>
          </w:p>
        </w:tc>
        <w:tc>
          <w:tcPr/>
          <w:p>
            <w:pPr>
              <w:pStyle w:val="Compact"/>
            </w:pPr>
            <w:r>
              <w:t xml:space="preserve">Node.js</w:t>
            </w:r>
          </w:p>
        </w:tc>
        <w:tc>
          <w:tcPr/>
          <w:p>
            <w:pPr>
              <w:pStyle w:val="Compact"/>
            </w:pPr>
            <w:r>
              <w:t xml:space="preserve">22 LTS</w:t>
            </w:r>
          </w:p>
        </w:tc>
        <w:tc>
          <w:tcPr/>
          <w:p>
            <w:pPr>
              <w:pStyle w:val="Compact"/>
            </w:pPr>
            <w:r>
              <w:t xml:space="preserve">https://nodejs.org</w:t>
            </w:r>
          </w:p>
        </w:tc>
      </w:tr>
      <w:tr>
        <w:tc>
          <w:tcPr/>
          <w:p>
            <w:pPr>
              <w:pStyle w:val="Compact"/>
            </w:pPr>
            <w:r>
              <w:t xml:space="preserve">Deployment</w:t>
            </w:r>
          </w:p>
        </w:tc>
        <w:tc>
          <w:tcPr/>
          <w:p>
            <w:pPr>
              <w:pStyle w:val="Compact"/>
            </w:pPr>
            <w:r>
              <w:t xml:space="preserve">Docker</w:t>
            </w:r>
          </w:p>
        </w:tc>
        <w:tc>
          <w:tcPr/>
          <w:p>
            <w:pPr>
              <w:pStyle w:val="Compact"/>
            </w:pPr>
            <w:r>
              <w:t xml:space="preserve">27</w:t>
            </w:r>
          </w:p>
        </w:tc>
        <w:tc>
          <w:tcPr/>
          <w:p>
            <w:pPr>
              <w:pStyle w:val="Compact"/>
            </w:pPr>
            <w:r>
              <w:t xml:space="preserve">https://www.docker.com</w:t>
            </w:r>
          </w:p>
        </w:tc>
      </w:tr>
      <w:tr>
        <w:tc>
          <w:tcPr/>
          <w:p>
            <w:pPr>
              <w:pStyle w:val="Compact"/>
            </w:pPr>
            <w:r>
              <w:t xml:space="preserve">Version control</w:t>
            </w:r>
          </w:p>
        </w:tc>
        <w:tc>
          <w:tcPr/>
          <w:p>
            <w:pPr>
              <w:pStyle w:val="Compact"/>
            </w:pPr>
            <w:r>
              <w:t xml:space="preserve">Git</w:t>
            </w:r>
          </w:p>
        </w:tc>
        <w:tc>
          <w:tcPr/>
          <w:p>
            <w:pPr>
              <w:pStyle w:val="Compact"/>
            </w:pPr>
            <w:r>
              <w:t xml:space="preserve">2.47</w:t>
            </w:r>
          </w:p>
        </w:tc>
        <w:tc>
          <w:tcPr/>
          <w:p>
            <w:pPr>
              <w:pStyle w:val="Compact"/>
            </w:pPr>
            <w:r>
              <w:t xml:space="preserve">https://git-scm.com</w:t>
            </w:r>
          </w:p>
        </w:tc>
      </w:tr>
      <w:tr>
        <w:tc>
          <w:tcPr/>
          <w:p>
            <w:pPr>
              <w:pStyle w:val="Compact"/>
            </w:pPr>
            <w:r>
              <w:t xml:space="preserve">Version control</w:t>
            </w:r>
          </w:p>
        </w:tc>
        <w:tc>
          <w:tcPr/>
          <w:p>
            <w:pPr>
              <w:pStyle w:val="Compact"/>
            </w:pPr>
            <w:r>
              <w:t xml:space="preserve">GitHub</w:t>
            </w:r>
          </w:p>
        </w:tc>
        <w:tc>
          <w:tcPr/>
          <w:p>
            <w:pPr>
              <w:pStyle w:val="Compact"/>
            </w:pPr>
            <w:r>
              <w:t xml:space="preserve">(web service)</w:t>
            </w:r>
          </w:p>
        </w:tc>
        <w:tc>
          <w:tcPr/>
          <w:p>
            <w:pPr>
              <w:pStyle w:val="Compact"/>
            </w:pPr>
            <w:r>
              <w:t xml:space="preserve">https://github.com</w:t>
            </w:r>
          </w:p>
        </w:tc>
      </w:tr>
      <w:tr>
        <w:tc>
          <w:tcPr/>
          <w:p>
            <w:pPr>
              <w:pStyle w:val="Compact"/>
            </w:pPr>
            <w:r>
              <w:t xml:space="preserve">Documentation</w:t>
            </w:r>
          </w:p>
        </w:tc>
        <w:tc>
          <w:tcPr/>
          <w:p>
            <w:pPr>
              <w:pStyle w:val="Compact"/>
            </w:pPr>
            <w:r>
              <w:t xml:space="preserve">Matplotlib</w:t>
            </w:r>
          </w:p>
        </w:tc>
        <w:tc>
          <w:tcPr/>
          <w:p>
            <w:pPr>
              <w:pStyle w:val="Compact"/>
            </w:pPr>
            <w:r>
              <w:t xml:space="preserve">3.10</w:t>
            </w:r>
          </w:p>
        </w:tc>
        <w:tc>
          <w:tcPr/>
          <w:p>
            <w:pPr>
              <w:pStyle w:val="Compact"/>
            </w:pPr>
            <w:r>
              <w:t xml:space="preserve">https://matplotlib.org</w:t>
            </w:r>
          </w:p>
        </w:tc>
      </w:tr>
      <w:tr>
        <w:tc>
          <w:tcPr/>
          <w:p>
            <w:pPr>
              <w:pStyle w:val="Compact"/>
            </w:pPr>
            <w:r>
              <w:t xml:space="preserve">Documentation</w:t>
            </w:r>
          </w:p>
        </w:tc>
        <w:tc>
          <w:tcPr/>
          <w:p>
            <w:pPr>
              <w:pStyle w:val="Compact"/>
            </w:pPr>
            <w:r>
              <w:t xml:space="preserve">Pandoc</w:t>
            </w:r>
          </w:p>
        </w:tc>
        <w:tc>
          <w:tcPr/>
          <w:p>
            <w:pPr>
              <w:pStyle w:val="Compact"/>
            </w:pPr>
            <w:r>
              <w:t xml:space="preserve">3.10</w:t>
            </w:r>
          </w:p>
        </w:tc>
        <w:tc>
          <w:tcPr/>
          <w:p>
            <w:pPr>
              <w:pStyle w:val="Compact"/>
            </w:pPr>
            <w:r>
              <w:t xml:space="preserve">https://pandoc.org</w:t>
            </w:r>
          </w:p>
        </w:tc>
      </w:tr>
      <w:tr>
        <w:tc>
          <w:tcPr/>
          <w:p>
            <w:pPr>
              <w:pStyle w:val="Compact"/>
            </w:pPr>
            <w:r>
              <w:t xml:space="preserve">Documentation</w:t>
            </w:r>
          </w:p>
        </w:tc>
        <w:tc>
          <w:tcPr/>
          <w:p>
            <w:pPr>
              <w:pStyle w:val="Compact"/>
            </w:pPr>
            <w:r>
              <w:t xml:space="preserve">Visual Studio Code</w:t>
            </w:r>
          </w:p>
        </w:tc>
        <w:tc>
          <w:tcPr/>
          <w:p>
            <w:pPr>
              <w:pStyle w:val="Compact"/>
            </w:pPr>
            <w:r>
              <w:t xml:space="preserve">1.98</w:t>
            </w:r>
          </w:p>
        </w:tc>
        <w:tc>
          <w:tcPr/>
          <w:p>
            <w:pPr>
              <w:pStyle w:val="Compact"/>
            </w:pPr>
            <w:r>
              <w:t xml:space="preserve">https://code.visualstudio.com</w:t>
            </w:r>
          </w:p>
        </w:tc>
      </w:tr>
    </w:tbl>
    <w:p>
      <w:pPr>
        <w:pStyle w:val="BodyText"/>
      </w:pPr>
      <w:r>
        <w:rPr>
          <w:i/>
          <w:iCs/>
        </w:rPr>
        <w:t xml:space="preserve">Note.</w:t>
      </w:r>
      <w:r>
        <w:t xml:space="preserve"> </w:t>
      </w:r>
      <w:r>
        <w:t xml:space="preserve">Versions are current as of July 2026 and are pinned in the project’s dependency lockfiles; a replicator should confirm the latest compatible releases at the time of setup. All tools are open-source and free to use; the hosted collaboration service (GitHub) offers a no-cost tier sufficient for this project.</w:t>
      </w:r>
    </w:p>
    <w:p>
      <w:pPr>
        <w:pStyle w:val="BodyText"/>
      </w:pPr>
      <w:r>
        <w:t xml:space="preserve">In the language-and-model layer, Python is the primary language for the data pipeline, the model, and the backend, with PyTorch as the deep-learning framework for the encoder, the metric head, and training. Hugging Face Transformers loads the DINOv2 backbone and the baseline classifiers. The Hugging Face Hub pulls pre-trained weights and stores the trained metric head. NumPy carries the array and numerical operations, and scikit-learn supplies the evaluation metrics, the stratified k-fold split, and the confusion matrix. In data and rendering, Pillow renders font specimens into word-crop images, OpenCV applies the elastic warp and the other degradation operations, and EasyOCR performs the off-the-shelf text localization and cropping. The backend exposes inference through FastAPI’s</w:t>
      </w:r>
      <w:r>
        <w:t xml:space="preserve"> </w:t>
      </w:r>
      <w:r>
        <w:rPr>
          <w:rStyle w:val="VerbatimChar"/>
        </w:rPr>
        <w:t xml:space="preserve">/predict</w:t>
      </w:r>
      <w:r>
        <w:t xml:space="preserve"> </w:t>
      </w:r>
      <w:r>
        <w:t xml:space="preserve">REST endpoint, served by the Uvicorn ASGI server, with Pydantic validating request and response schemas. The frontend is a React interface for image upload and the results gallery, built by Vite on the Node.js runtime. Docker containerizes the backend for reproducible deployment, and Git and GitHub provide version control and repository hosting. The documentation toolchain uses Matplotlib to generate the thesis figures, Pandoc to export the Markdown chapters to DOCX, and Visual Studio Code as the primary editor.</w:t>
      </w:r>
    </w:p>
    <w:p>
      <w:pPr>
        <w:pStyle w:val="Heading2"/>
      </w:pPr>
      <w:r>
        <w:t xml:space="preserve">4.9 Project Management</w:t>
      </w:r>
    </w:p>
    <w:p>
      <w:pPr>
        <w:pStyle w:val="Heading3"/>
      </w:pPr>
      <w:r>
        <w:t xml:space="preserve">4.9.1 Schedule and Timeline</w:t>
      </w:r>
    </w:p>
    <w:p>
      <w:pPr>
        <w:pStyle w:val="FirstParagraph"/>
      </w:pPr>
      <w:r>
        <w:t xml:space="preserve">The project runs from June to December 2026. The schedule follows the increment order of Section 4.6, with the written chapters interleaved so that each empirical chapter is drafted as its results become available. Figure 11 shows the plan as a Gantt chart. As of the reporting date (July 10, 2026), Chapters 2 and 3 are complete and Chapter 4 is in progress; the four development increments, the results and conclusion chapters, and the final revisions follow through December.</w:t>
      </w:r>
    </w:p>
    <w:p>
      <w:pPr>
        <w:pStyle w:val="BodyText"/>
        <w:keepNext/>
      </w:pPr>
      <w:r>
        <w:rPr>
          <w:b/>
          <w:bCs/>
        </w:rPr>
        <w:t xml:space="preserve">Figure 11</w:t>
      </w:r>
    </w:p>
    <w:p>
      <w:pPr>
        <w:pStyle w:val="BodyText"/>
        <w:keepNext/>
      </w:pPr>
      <w:r>
        <w:rPr>
          <w:i/>
          <w:iCs/>
        </w:rPr>
        <w:t xml:space="preserve">Project Schedule and Timeline (June to December 2026)</w:t>
      </w:r>
    </w:p>
    <w:p>
      <w:pPr>
        <w:pStyle w:val="CaptionedFigure"/>
      </w:pPr>
      <w:r>
        <w:drawing>
          <wp:inline>
            <wp:extent cx="5334000" cy="3097550"/>
            <wp:effectExtent b="0" l="0" r="0" t="0"/>
            <wp:docPr descr="Weekly-cell Gantt grid spanning June to December 2026 with four week columns per month, tasks grouped into Writing, Development, and Closeout. Writing shows Chapter 2 and Chapter 3 completed, Chapter 4 in progress at the July 10 marker, and Chapters 5 and 6 planned. Development breaks the four increments into subtasks (palette and rendering, degradation operator, encoder and metric head, training and distillation, open-set and Top-K, evaluation and human panel, backend API, frontend and Docker). Closeout covers revisions and final defense in December" title="" id="106" name="Picture"/>
            <a:graphic>
              <a:graphicData uri="http://schemas.openxmlformats.org/drawingml/2006/picture">
                <pic:pic>
                  <pic:nvPicPr>
                    <pic:cNvPr descr="assets/figures/gantt_timeline.png" id="107" name="Picture"/>
                    <pic:cNvPicPr>
                      <a:picLocks noChangeArrowheads="1" noChangeAspect="1"/>
                    </pic:cNvPicPr>
                  </pic:nvPicPr>
                  <pic:blipFill>
                    <a:blip r:embed="rId105"/>
                    <a:stretch>
                      <a:fillRect/>
                    </a:stretch>
                  </pic:blipFill>
                  <pic:spPr bwMode="auto">
                    <a:xfrm>
                      <a:off x="0" y="0"/>
                      <a:ext cx="5334000" cy="3097550"/>
                    </a:xfrm>
                    <a:prstGeom prst="rect">
                      <a:avLst/>
                    </a:prstGeom>
                    <a:noFill/>
                    <a:ln w="9525">
                      <a:noFill/>
                      <a:headEnd/>
                      <a:tailEnd/>
                    </a:ln>
                  </pic:spPr>
                </pic:pic>
              </a:graphicData>
            </a:graphic>
          </wp:inline>
        </w:drawing>
      </w:r>
    </w:p>
    <w:p>
      <w:pPr>
        <w:pStyle w:val="BodyText"/>
      </w:pPr>
      <w:r>
        <w:t xml:space="preserve">As shown in Figure 11, the early months cover the written groundwork (Chapters 2 and 3). The middle months carry the build increments, from the synthetic data pipeline through the web application. The final months are reserved for the results and conclusion chapters and for revision ahead of the defense. The development increments deliberately overlap the empirical chapters, because Chapter 5 reports the evaluation that increment 3 produces.</w:t>
      </w:r>
    </w:p>
    <w:p>
      <w:pPr>
        <w:pStyle w:val="Heading3"/>
      </w:pPr>
      <w:r>
        <w:t xml:space="preserve">4.9.2 Responsibilities</w:t>
      </w:r>
    </w:p>
    <w:p>
      <w:pPr>
        <w:pStyle w:val="FirstParagraph"/>
      </w:pPr>
      <w:r>
        <w:t xml:space="preserve">The study is carried out by two researchers, both of whom act as researcher and developer. Table 3 divides the work. The split follows the two sides of the system: one member owns the Python model and data side, the other owns the service and interface side, and the writing is shared with cross-review.</w:t>
      </w:r>
    </w:p>
    <w:p>
      <w:pPr>
        <w:pStyle w:val="BodyText"/>
        <w:keepNext/>
      </w:pPr>
      <w:r>
        <w:rPr>
          <w:b/>
          <w:bCs/>
        </w:rPr>
        <w:t xml:space="preserve">Table 3</w:t>
      </w:r>
    </w:p>
    <w:p>
      <w:pPr>
        <w:pStyle w:val="BodyText"/>
        <w:keepNext/>
      </w:pPr>
      <w:r>
        <w:rPr>
          <w:i/>
          <w:iCs/>
        </w:rPr>
        <w:t xml:space="preserve">Division of Responsibilities</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Member</w:t>
            </w:r>
          </w:p>
        </w:tc>
        <w:tc>
          <w:tcPr/>
          <w:p>
            <w:pPr>
              <w:pStyle w:val="Compact"/>
            </w:pPr>
            <w:r>
              <w:t xml:space="preserve">Responsibilities</w:t>
            </w:r>
          </w:p>
        </w:tc>
      </w:tr>
      <w:tr>
        <w:tc>
          <w:tcPr/>
          <w:p>
            <w:pPr>
              <w:pStyle w:val="Compact"/>
            </w:pPr>
            <w:r>
              <w:t xml:space="preserve">Janritch Diputado</w:t>
            </w:r>
          </w:p>
        </w:tc>
        <w:tc>
          <w:tcPr/>
          <w:p>
            <w:pPr>
              <w:pStyle w:val="Compact"/>
            </w:pPr>
            <w:r>
              <w:t xml:space="preserve">Python scripting: synthetic data pipeline, model training, and the inference engine. Lead author of Chapter 2 (Review of Related Literature) and Chapter 3 (Technical Background).</w:t>
            </w:r>
          </w:p>
        </w:tc>
      </w:tr>
      <w:tr>
        <w:tc>
          <w:tcPr/>
          <w:p>
            <w:pPr>
              <w:pStyle w:val="Compact"/>
            </w:pPr>
            <w:r>
              <w:t xml:space="preserve">Matt Cabarrubias</w:t>
            </w:r>
          </w:p>
        </w:tc>
        <w:tc>
          <w:tcPr/>
          <w:p>
            <w:pPr>
              <w:pStyle w:val="Compact"/>
            </w:pPr>
            <w:r>
              <w:t xml:space="preserve">Backend REST API (FastAPI) and the React frontend web application. Lead author of Chapter 4 (Methodology); contributor and reviewer for Chapters 2 and 3.</w:t>
            </w:r>
          </w:p>
        </w:tc>
      </w:tr>
      <w:tr>
        <w:tc>
          <w:tcPr/>
          <w:p>
            <w:pPr>
              <w:pStyle w:val="Compact"/>
            </w:pPr>
            <w:r>
              <w:t xml:space="preserve">Both (shared)</w:t>
            </w:r>
          </w:p>
        </w:tc>
        <w:tc>
          <w:tcPr/>
          <w:p>
            <w:pPr>
              <w:pStyle w:val="Compact"/>
            </w:pPr>
            <w:r>
              <w:t xml:space="preserve">System design, integration, evaluation and human-proxy panel coordination, and preparation for the final defense.</w:t>
            </w:r>
          </w:p>
        </w:tc>
      </w:tr>
    </w:tbl>
    <w:p>
      <w:pPr>
        <w:pStyle w:val="BodyText"/>
      </w:pPr>
      <w:r>
        <w:rPr>
          <w:i/>
          <w:iCs/>
        </w:rPr>
        <w:t xml:space="preserve">Note.</w:t>
      </w:r>
      <w:r>
        <w:t xml:space="preserve"> </w:t>
      </w:r>
      <w:r>
        <w:t xml:space="preserve">Authorship is stated by lead contributor; both members reviewed and contributed to all chapters.</w:t>
      </w:r>
    </w:p>
    <w:p>
      <w:pPr>
        <w:pStyle w:val="Heading3"/>
      </w:pPr>
      <w:r>
        <w:t xml:space="preserve">4.9.3 Budget and Cost Management</w:t>
      </w:r>
    </w:p>
    <w:p>
      <w:pPr>
        <w:pStyle w:val="FirstParagraph"/>
      </w:pPr>
      <w:r>
        <w:t xml:space="preserve">The budget below estimates what it would cost another researcher or organization to replicate this study — not only the out-of-pocket cost to the current team. It therefore includes labor, since replication effort is the largest real cost, alongside compute, utilities, documentation, and contingency. Because the entire software stack is open-source (Section 4.8), the study carries no mandatory license or subscription cost. That is a deliberate outcome of the free-reconstruction design. Table 4 lists the estimate.</w:t>
      </w:r>
    </w:p>
    <w:p>
      <w:pPr>
        <w:pStyle w:val="BodyText"/>
        <w:keepNext/>
      </w:pPr>
      <w:r>
        <w:rPr>
          <w:b/>
          <w:bCs/>
        </w:rPr>
        <w:t xml:space="preserve">Table 4</w:t>
      </w:r>
    </w:p>
    <w:p>
      <w:pPr>
        <w:pStyle w:val="BodyText"/>
        <w:keepNext/>
      </w:pPr>
      <w:r>
        <w:rPr>
          <w:i/>
          <w:iCs/>
        </w:rPr>
        <w:t xml:space="preserve">Estimated Replication Budget</w:t>
      </w:r>
    </w:p>
    <w:tbl>
      <w:tblPr>
        <w:tblStyle w:val="Table"/>
        <w:tblW w:type="pct" w:w="5000"/>
        <w:tblLayout w:type="fixed"/>
        <w:tblLook w:firstRow="1" w:lastRow="0" w:firstColumn="0" w:lastColumn="0" w:noHBand="0" w:noVBand="0" w:val="0020"/>
      </w:tblPr>
      <w:tblGrid>
        <w:gridCol w:w="1584"/>
        <w:gridCol w:w="950"/>
        <w:gridCol w:w="3168"/>
        <w:gridCol w:w="2217"/>
      </w:tblGrid>
      <w:tr>
        <w:trPr>
          <w:tblHeader w:val="on"/>
        </w:trPr>
        <w:tc>
          <w:tcPr/>
          <w:p>
            <w:pPr>
              <w:pStyle w:val="Compact"/>
            </w:pPr>
            <w:r>
              <w:t xml:space="preserve">Category</w:t>
            </w:r>
          </w:p>
        </w:tc>
        <w:tc>
          <w:tcPr/>
          <w:p>
            <w:pPr>
              <w:pStyle w:val="Compact"/>
            </w:pPr>
            <w:r>
              <w:t xml:space="preserve">Item</w:t>
            </w:r>
          </w:p>
        </w:tc>
        <w:tc>
          <w:tcPr/>
          <w:p>
            <w:pPr>
              <w:pStyle w:val="Compact"/>
            </w:pPr>
            <w:r>
              <w:t xml:space="preserve">Basis / assumption</w:t>
            </w:r>
          </w:p>
        </w:tc>
        <w:tc>
          <w:tcPr/>
          <w:p>
            <w:pPr>
              <w:pStyle w:val="Compact"/>
              <w:jc w:val="right"/>
            </w:pPr>
            <w:r>
              <w:t xml:space="preserve">Amount (PHP)</w:t>
            </w:r>
          </w:p>
        </w:tc>
      </w:tr>
      <w:tr>
        <w:tc>
          <w:tcPr/>
          <w:p>
            <w:pPr>
              <w:pStyle w:val="Compact"/>
            </w:pPr>
            <w:r>
              <w:t xml:space="preserve">Labor</w:t>
            </w:r>
          </w:p>
        </w:tc>
        <w:tc>
          <w:tcPr/>
          <w:p>
            <w:pPr>
              <w:pStyle w:val="Compact"/>
            </w:pPr>
            <w:r>
              <w:t xml:space="preserve">2 researcher-developers</w:t>
            </w:r>
          </w:p>
        </w:tc>
        <w:tc>
          <w:tcPr/>
          <w:p>
            <w:pPr>
              <w:pStyle w:val="Compact"/>
            </w:pPr>
            <w:r>
              <w:t xml:space="preserve">~30 weeks × ~15 hr/week each ≈ 900 hours total, at an illustrative ₱250/hr</w:t>
            </w:r>
          </w:p>
        </w:tc>
        <w:tc>
          <w:tcPr/>
          <w:p>
            <w:pPr>
              <w:pStyle w:val="Compact"/>
              <w:jc w:val="right"/>
            </w:pPr>
            <w:r>
              <w:t xml:space="preserve">225,000</w:t>
            </w:r>
          </w:p>
        </w:tc>
      </w:tr>
      <w:tr>
        <w:tc>
          <w:tcPr/>
          <w:p>
            <w:pPr>
              <w:pStyle w:val="Compact"/>
            </w:pPr>
            <w:r>
              <w:t xml:space="preserve">Compute</w:t>
            </w:r>
          </w:p>
        </w:tc>
        <w:tc>
          <w:tcPr/>
          <w:p>
            <w:pPr>
              <w:pStyle w:val="Compact"/>
            </w:pPr>
            <w:r>
              <w:t xml:space="preserve">Cloud GPU for training and experiments</w:t>
            </w:r>
          </w:p>
        </w:tc>
        <w:tc>
          <w:tcPr/>
          <w:p>
            <w:pPr>
              <w:pStyle w:val="Compact"/>
            </w:pPr>
            <w:r>
              <w:t xml:space="preserve">~100 to 150 GPU-hours; the backbone is frozen and only the metric head trains, so free Colab/Kaggle tiers can bring this near ₱0</w:t>
            </w:r>
          </w:p>
        </w:tc>
        <w:tc>
          <w:tcPr/>
          <w:p>
            <w:pPr>
              <w:pStyle w:val="Compact"/>
              <w:jc w:val="right"/>
            </w:pPr>
            <w:r>
              <w:t xml:space="preserve">5,000</w:t>
            </w:r>
          </w:p>
        </w:tc>
      </w:tr>
      <w:tr>
        <w:tc>
          <w:tcPr/>
          <w:p>
            <w:pPr>
              <w:pStyle w:val="Compact"/>
            </w:pPr>
            <w:r>
              <w:t xml:space="preserve">Subscriptions</w:t>
            </w:r>
          </w:p>
        </w:tc>
        <w:tc>
          <w:tcPr/>
          <w:p>
            <w:pPr>
              <w:pStyle w:val="Compact"/>
            </w:pPr>
            <w:r>
              <w:t xml:space="preserve">Software stack</w:t>
            </w:r>
          </w:p>
        </w:tc>
        <w:tc>
          <w:tcPr/>
          <w:p>
            <w:pPr>
              <w:pStyle w:val="Compact"/>
            </w:pPr>
            <w:r>
              <w:t xml:space="preserve">Fully open-source; none required</w:t>
            </w:r>
          </w:p>
        </w:tc>
        <w:tc>
          <w:tcPr/>
          <w:p>
            <w:pPr>
              <w:pStyle w:val="Compact"/>
              <w:jc w:val="right"/>
            </w:pPr>
            <w:r>
              <w:t xml:space="preserve">0</w:t>
            </w:r>
          </w:p>
        </w:tc>
      </w:tr>
      <w:tr>
        <w:tc>
          <w:tcPr/>
          <w:p>
            <w:pPr>
              <w:pStyle w:val="Compact"/>
            </w:pPr>
            <w:r>
              <w:t xml:space="preserve">Data storage</w:t>
            </w:r>
          </w:p>
        </w:tc>
        <w:tc>
          <w:tcPr/>
          <w:p>
            <w:pPr>
              <w:pStyle w:val="Compact"/>
            </w:pPr>
            <w:r>
              <w:t xml:space="preserve">Synthetic dataset</w:t>
            </w:r>
          </w:p>
        </w:tc>
        <w:tc>
          <w:tcPr/>
          <w:p>
            <w:pPr>
              <w:pStyle w:val="Compact"/>
            </w:pPr>
            <w:r>
              <w:t xml:space="preserve">Generated locally (a few GB); no paid storage</w:t>
            </w:r>
          </w:p>
        </w:tc>
        <w:tc>
          <w:tcPr/>
          <w:p>
            <w:pPr>
              <w:pStyle w:val="Compact"/>
              <w:jc w:val="right"/>
            </w:pPr>
            <w:r>
              <w:t xml:space="preserve">0</w:t>
            </w:r>
          </w:p>
        </w:tc>
      </w:tr>
      <w:tr>
        <w:tc>
          <w:tcPr/>
          <w:p>
            <w:pPr>
              <w:pStyle w:val="Compact"/>
            </w:pPr>
            <w:r>
              <w:t xml:space="preserve">Utilities</w:t>
            </w:r>
          </w:p>
        </w:tc>
        <w:tc>
          <w:tcPr/>
          <w:p>
            <w:pPr>
              <w:pStyle w:val="Compact"/>
            </w:pPr>
            <w:r>
              <w:t xml:space="preserve">Internet and electricity</w:t>
            </w:r>
          </w:p>
        </w:tc>
        <w:tc>
          <w:tcPr/>
          <w:p>
            <w:pPr>
              <w:pStyle w:val="Compact"/>
            </w:pPr>
            <w:r>
              <w:t xml:space="preserve">~₱1,500/month × 7 months, shared</w:t>
            </w:r>
          </w:p>
        </w:tc>
        <w:tc>
          <w:tcPr/>
          <w:p>
            <w:pPr>
              <w:pStyle w:val="Compact"/>
              <w:jc w:val="right"/>
            </w:pPr>
            <w:r>
              <w:t xml:space="preserve">10,500</w:t>
            </w:r>
          </w:p>
        </w:tc>
      </w:tr>
      <w:tr>
        <w:tc>
          <w:tcPr/>
          <w:p>
            <w:pPr>
              <w:pStyle w:val="Compact"/>
            </w:pPr>
            <w:r>
              <w:t xml:space="preserve">Documentation</w:t>
            </w:r>
          </w:p>
        </w:tc>
        <w:tc>
          <w:tcPr/>
          <w:p>
            <w:pPr>
              <w:pStyle w:val="Compact"/>
            </w:pPr>
            <w:r>
              <w:t xml:space="preserve">Hard-bound thesis copies</w:t>
            </w:r>
          </w:p>
        </w:tc>
        <w:tc>
          <w:tcPr/>
          <w:p>
            <w:pPr>
              <w:pStyle w:val="Compact"/>
            </w:pPr>
            <w:r>
              <w:t xml:space="preserve">~₱1,500 × 3 copies</w:t>
            </w:r>
          </w:p>
        </w:tc>
        <w:tc>
          <w:tcPr/>
          <w:p>
            <w:pPr>
              <w:pStyle w:val="Compact"/>
              <w:jc w:val="right"/>
            </w:pPr>
            <w:r>
              <w:t xml:space="preserve">4,500</w:t>
            </w:r>
          </w:p>
        </w:tc>
      </w:tr>
      <w:tr>
        <w:tc>
          <w:tcPr/>
          <w:p>
            <w:pPr>
              <w:pStyle w:val="Compact"/>
            </w:pPr>
            <w:r>
              <w:t xml:space="preserve">Contingency</w:t>
            </w:r>
          </w:p>
        </w:tc>
        <w:tc>
          <w:tcPr/>
          <w:p>
            <w:pPr>
              <w:pStyle w:val="Compact"/>
            </w:pPr>
            <w:r>
              <w:t xml:space="preserve">Overhead on non-labor items</w:t>
            </w:r>
          </w:p>
        </w:tc>
        <w:tc>
          <w:tcPr/>
          <w:p>
            <w:pPr>
              <w:pStyle w:val="Compact"/>
            </w:pPr>
            <w:r>
              <w:t xml:space="preserve">~10%</w:t>
            </w:r>
          </w:p>
        </w:tc>
        <w:tc>
          <w:tcPr/>
          <w:p>
            <w:pPr>
              <w:pStyle w:val="Compact"/>
              <w:jc w:val="right"/>
            </w:pPr>
            <w:r>
              <w:t xml:space="preserve">2,000</w:t>
            </w:r>
          </w:p>
        </w:tc>
      </w:tr>
      <w:tr>
        <w:tc>
          <w:tcPr/>
          <w:p>
            <w:pPr>
              <w:pStyle w:val="Compact"/>
            </w:pPr>
            <w:r>
              <w:rPr>
                <w:b/>
                <w:bCs/>
              </w:rPr>
              <w:t xml:space="preserve">Total (with labor)</w:t>
            </w:r>
          </w:p>
        </w:tc>
        <w:tc>
          <w:tcPr/>
          <w:p>
            <w:pPr>
              <w:pStyle w:val="Compact"/>
            </w:pPr>
          </w:p>
        </w:tc>
        <w:tc>
          <w:tcPr/>
          <w:p>
            <w:pPr>
              <w:pStyle w:val="Compact"/>
            </w:pPr>
            <w:r>
              <w:t xml:space="preserve">Full replication cost</w:t>
            </w:r>
          </w:p>
        </w:tc>
        <w:tc>
          <w:tcPr/>
          <w:p>
            <w:pPr>
              <w:pStyle w:val="Compact"/>
              <w:jc w:val="right"/>
            </w:pPr>
            <w:r>
              <w:rPr>
                <w:b/>
                <w:bCs/>
              </w:rPr>
              <w:t xml:space="preserve">~247,000</w:t>
            </w:r>
          </w:p>
        </w:tc>
      </w:tr>
      <w:tr>
        <w:tc>
          <w:tcPr/>
          <w:p>
            <w:pPr>
              <w:pStyle w:val="Compact"/>
            </w:pPr>
            <w:r>
              <w:rPr>
                <w:b/>
                <w:bCs/>
              </w:rPr>
              <w:t xml:space="preserve">Total (materials only)</w:t>
            </w:r>
          </w:p>
        </w:tc>
        <w:tc>
          <w:tcPr/>
          <w:p>
            <w:pPr>
              <w:pStyle w:val="Compact"/>
            </w:pPr>
          </w:p>
        </w:tc>
        <w:tc>
          <w:tcPr/>
          <w:p>
            <w:pPr>
              <w:pStyle w:val="Compact"/>
            </w:pPr>
            <w:r>
              <w:t xml:space="preserve">If replicated by unpaid students</w:t>
            </w:r>
          </w:p>
        </w:tc>
        <w:tc>
          <w:tcPr/>
          <w:p>
            <w:pPr>
              <w:pStyle w:val="Compact"/>
              <w:jc w:val="right"/>
            </w:pPr>
            <w:r>
              <w:rPr>
                <w:b/>
                <w:bCs/>
              </w:rPr>
              <w:t xml:space="preserve">~22,000</w:t>
            </w:r>
          </w:p>
        </w:tc>
      </w:tr>
    </w:tbl>
    <w:p>
      <w:pPr>
        <w:pStyle w:val="BodyText"/>
      </w:pPr>
      <w:r>
        <w:rPr>
          <w:i/>
          <w:iCs/>
        </w:rPr>
        <w:t xml:space="preserve">Note.</w:t>
      </w:r>
      <w:r>
        <w:t xml:space="preserve"> </w:t>
      </w:r>
      <w:r>
        <w:t xml:space="preserve">Figures are planning estimates, not incurred expenses. The labor line dominates and is the most adjustable: it scales with the hourly rate and with how much of the pipeline a replicator reuses from the released code. The materials-only total reflects the near-zero software cost that the open-source stack makes possible.</w:t>
      </w:r>
    </w:p>
    <w:p>
      <w:pPr>
        <w:pStyle w:val="Heading2"/>
      </w:pPr>
      <w:r>
        <w:t xml:space="preserve">4.10 Verification, Validation and Testing</w:t>
      </w:r>
    </w:p>
    <w:p>
      <w:pPr>
        <w:pStyle w:val="FirstParagraph"/>
      </w:pPr>
      <w:r>
        <w:t xml:space="preserve">This section describes how the study checks its own work, along three axes. Verification asks whether the system is built correctly. Validation asks whether the correct system was built — whether it meets the objectives of Section 1.2. Testing asks whether the software runs without errors. The study uses a combined</w:t>
      </w:r>
      <w:r>
        <w:t xml:space="preserve"> </w:t>
      </w:r>
      <w:r>
        <w:rPr>
          <w:b/>
          <w:bCs/>
        </w:rPr>
        <w:t xml:space="preserve">build method</w:t>
      </w:r>
      <w:r>
        <w:t xml:space="preserve"> </w:t>
      </w:r>
      <w:r>
        <w:t xml:space="preserve">and</w:t>
      </w:r>
      <w:r>
        <w:t xml:space="preserve"> </w:t>
      </w:r>
      <w:r>
        <w:rPr>
          <w:b/>
          <w:bCs/>
        </w:rPr>
        <w:t xml:space="preserve">model method</w:t>
      </w:r>
      <w:r>
        <w:t xml:space="preserve">. The build method delivers the working artifacts — the recognizer and the web application — as evidence that the approach is realizable. The model method evaluates an abstract model of the system through quantitative metrics on held-out data, which allows controlled measurement that the deployed application alone could not provide.</w:t>
      </w:r>
    </w:p>
    <w:p>
      <w:pPr>
        <w:pStyle w:val="Heading3"/>
      </w:pPr>
      <w:r>
        <w:t xml:space="preserve">4.10.1 Verification: Building the System Right</w:t>
      </w:r>
    </w:p>
    <w:p>
      <w:pPr>
        <w:pStyle w:val="FirstParagraph"/>
      </w:pPr>
      <w:r>
        <w:t xml:space="preserve">Verification targets the internal correctness of each component. The pipeline stages of Section 4.4 — localization wrapper, preprocessing, encoder, metric head, and open-set decision — are checked with unit and integration tests. These confirm that each stage produces output of the expected shape and range, and that the stages compose end to end. Reproducibility is verified directly. Random seeds, dependency versions, and model weights are pinned (Section 4.7.3), so a fixed input must regenerate a bit-identical dataset and the same prediction on every re-run. The preprocessing-in-forward design is verified by confirming that the training-time and inference-time transforms produce identical tensors for the same crop, which proves no train-serve skew is present. The team has no separate QA role, so the two members cross-review each other’s code; that review is the verification pass on the parts each did not write.</w:t>
      </w:r>
    </w:p>
    <w:p>
      <w:pPr>
        <w:pStyle w:val="Heading3"/>
      </w:pPr>
      <w:r>
        <w:t xml:space="preserve">4.10.2 Validation: Building the Right System</w:t>
      </w:r>
    </w:p>
    <w:p>
      <w:pPr>
        <w:pStyle w:val="FirstParagraph"/>
      </w:pPr>
      <w:r>
        <w:t xml:space="preserve">Validation asks whether the system meets the specific objectives of Section 1.2.3. This is where the study’s quantitative and qualitative measures are applied, and each objective maps to a measure.</w:t>
      </w:r>
    </w:p>
    <w:p>
      <w:pPr>
        <w:pStyle w:val="BodyText"/>
      </w:pPr>
      <w:r>
        <w:t xml:space="preserve">For the recognition objective, the system is scored under the</w:t>
      </w:r>
      <w:r>
        <w:t xml:space="preserve"> </w:t>
      </w:r>
      <w:r>
        <w:rPr>
          <w:b/>
          <w:bCs/>
        </w:rPr>
        <w:t xml:space="preserve">Top-1 and Top-3 accuracy</w:t>
      </w:r>
      <w:r>
        <w:t xml:space="preserve"> </w:t>
      </w:r>
      <w:r>
        <w:t xml:space="preserve">protocol that DeepFont established as the field standard (Wang et al., 2015) — on both the held-out synthetic test partition and the separate real-generative test set. For the open-set objective, rejection quality is measured by the true-positive and false-positive rates at the operating threshold. The result is reported as the false-positive rate at 95% recall, so the fraction of out-of-palette crops wrongly accepted is stated explicitly. For the verification-of-prediction objective, each predicted font is re-rendered and scored against the input crop with a deformation-robust structural distance (Zhang et al., 2024). The error distribution is then analyzed by typographic family through a confusion matrix, and weighted by the embedding-centroid severity index, so that within-family errors are distinguished from more damaging cross-family ones (Chen et al., 2026). Finally, the calibrated Top-K shortlist is validated by its empirical coverage — whether the prediction sets contain the true font as often as the conformal guarantee claims (Ding et al., 2025; Shi et al., 2024).</w:t>
      </w:r>
    </w:p>
    <w:p>
      <w:pPr>
        <w:pStyle w:val="BodyText"/>
      </w:pPr>
      <w:r>
        <w:t xml:space="preserve">Validation is also comparative and human-anchored. The system is benchmarked against two closed-set baselines — the Storia-AI Google Font Classifier (Jiang et al., 2025) and the DINOv2-LoRA model of Chen et al. (2026) — both run on the same real-generative crops. The comparison quantifies how much the open-set, deformation-trained approach recovers where pristine-trained baselines collapse. The ground truth for those crops is set by the three-person expert</w:t>
      </w:r>
      <w:r>
        <w:t xml:space="preserve"> </w:t>
      </w:r>
      <w:r>
        <w:rPr>
          <w:b/>
          <w:bCs/>
        </w:rPr>
        <w:t xml:space="preserve">human-proxy panel</w:t>
      </w:r>
      <w:r>
        <w:t xml:space="preserve"> </w:t>
      </w:r>
      <w:r>
        <w:t xml:space="preserve">(Section 4.2.3). Each rater independently assigns a palette font or an</w:t>
      </w:r>
      <w:r>
        <w:t xml:space="preserve"> </w:t>
      </w:r>
      <w:r>
        <w:t xml:space="preserve">“unknown”</w:t>
      </w:r>
      <w:r>
        <w:t xml:space="preserve"> </w:t>
      </w:r>
      <w:r>
        <w:t xml:space="preserve">verdict to each of the [N = 100] real generative text boxes; a label is fixed by agreement of at least two of three; and rater agreement is reported as a Fleiss’</w:t>
      </w:r>
      <w:r>
        <w:t xml:space="preserve"> </w:t>
      </w:r>
      <m:oMath>
        <m:r>
          <m:t>κ</m:t>
        </m:r>
      </m:oMath>
      <w:r>
        <w:t xml:space="preserve"> </w:t>
      </w:r>
      <w:r>
        <w:t xml:space="preserve">of [κ = X.XX]. The panel provides the accuracy floor for the comparison, and it independently estimates how often genuine typographic ambiguity occurs in uncorrected generative output.</w:t>
      </w:r>
    </w:p>
    <w:p>
      <w:pPr>
        <w:pStyle w:val="BodyText"/>
      </w:pPr>
      <w:r>
        <w:t xml:space="preserve">Two further validation instruments follow from the word-level design of Section 4.4.2. The first validates the mixed-typography verdict. The synthetic pipeline renders a</w:t>
      </w:r>
      <w:r>
        <w:t xml:space="preserve"> </w:t>
      </w:r>
      <w:r>
        <w:rPr>
          <w:b/>
          <w:bCs/>
        </w:rPr>
        <w:t xml:space="preserve">mixed-font stressor set</w:t>
      </w:r>
      <w:r>
        <w:t xml:space="preserve"> </w:t>
      </w:r>
      <w:r>
        <w:t xml:space="preserve">on demand: lines and words deliberately set in two palette fonts at controlled mixing ratios, then degraded by the operator</w:t>
      </w:r>
      <w:r>
        <w:t xml:space="preserve"> </w:t>
      </w:r>
      <m:oMath>
        <m:r>
          <m:t>D</m:t>
        </m:r>
      </m:oMath>
      <w:r>
        <w:t xml:space="preserve"> </w:t>
      </w:r>
      <w:r>
        <w:t xml:space="preserve">like every other crop. On this labeled data — which no in-the-wild collection could supply — the detection rate and false-alarm rate of the homogeneity check are measured directly. The check’s dispersion cutoff is calibrated on the same stressor set, using the operating-point recipe used for</w:t>
      </w:r>
      <w:r>
        <w:t xml:space="preserve"> </w:t>
      </w:r>
      <m:oMath>
        <m:r>
          <m:t>τ</m:t>
        </m:r>
      </m:oMath>
      <w:r>
        <w:t xml:space="preserve">. Its real-world validity is then reported as the agreement between the check’s flag and the panel’s coherence judgment (Section 4.2.3) on the real-generative crops. Because the served unit is the word crop, the threshold calibration of this section is likewise performed on word-granularity validation crops.</w:t>
      </w:r>
    </w:p>
    <w:p>
      <w:pPr>
        <w:pStyle w:val="BodyText"/>
      </w:pPr>
      <w:r>
        <w:t xml:space="preserve">The second instrument validates the choice of encoder, by a</w:t>
      </w:r>
      <w:r>
        <w:t xml:space="preserve"> </w:t>
      </w:r>
      <w:r>
        <w:rPr>
          <w:b/>
          <w:bCs/>
        </w:rPr>
        <w:t xml:space="preserve">backbone comparison</w:t>
      </w:r>
      <w:r>
        <w:t xml:space="preserve"> </w:t>
      </w:r>
      <w:r>
        <w:t xml:space="preserve">rather than by assumption. The same frozen-encoder-plus-metric-head recipe, the same corpus, and the same calibration procedure are re-run with only the backbone swapped: the incumbent DINOv2 against a contrastively pretrained vision-language encoder, a supervised ViT, and a convolutional baseline. Each candidate is reported with its Top-1/Top-3 accuracy, false-positive rate at 95% recall, parameter count, and CPU and GPU inference latency. One capability requirement narrows the field before speed and accuracy decide it: the homogeneity check reads per-patch tokens, so a qualifying backbone must expose patch-level features. That is a property of the ViT family which a pooled convolutional embedding does not natively provide. The comparison therefore selects the deployed model on measured evidence, with the architecture class justified by the capability the pipeline requires of it.</w:t>
      </w:r>
    </w:p>
    <w:p>
      <w:pPr>
        <w:pStyle w:val="Heading3"/>
      </w:pPr>
      <w:r>
        <w:t xml:space="preserve">4.10.3 Testing: Confirming the System Works</w:t>
      </w:r>
    </w:p>
    <w:p>
      <w:pPr>
        <w:pStyle w:val="FirstParagraph"/>
      </w:pPr>
      <w:r>
        <w:t xml:space="preserve">Testing confirms that the delivered software behaves correctly under normal and abnormal use. The web application is exercised end to end: an uploaded image must return a per-region Top-K shortlist or an</w:t>
      </w:r>
      <w:r>
        <w:t xml:space="preserve"> </w:t>
      </w:r>
      <w:r>
        <w:t xml:space="preserve">“unknown”</w:t>
      </w:r>
      <w:r>
        <w:t xml:space="preserve"> </w:t>
      </w:r>
      <w:r>
        <w:t xml:space="preserve">verdict with font previews, and the</w:t>
      </w:r>
      <w:r>
        <w:t xml:space="preserve"> </w:t>
      </w:r>
      <w:r>
        <w:rPr>
          <w:rStyle w:val="VerbatimChar"/>
        </w:rPr>
        <w:t xml:space="preserve">/predict</w:t>
      </w:r>
      <w:r>
        <w:t xml:space="preserve"> </w:t>
      </w:r>
      <w:r>
        <w:t xml:space="preserve">endpoint is checked against its request and response contract. The responsiveness requirement of Section 4.5.1 is tested by measuring per-image latency against the interactive target. Error handling is tested with abnormal inputs — unsupported file types, images with no detectable text, and crops the recognizer rejects as unknown — to confirm the system fails gracefully rather than crashing. Passing these tests, together with the verification and validation results above, is the evidence that the artifact both works and answers the research questions of Section 1.2.</w:t>
      </w:r>
    </w:p>
    <w:p>
      <w:r>
        <w:br w:type="page"/>
      </w:r>
    </w:p>
    <w:p>
      <w:pPr>
        <w:pStyle w:val="Heading1"/>
      </w:pPr>
      <w:r>
        <w:t xml:space="preserve">APPENDIX A</w:t>
      </w:r>
    </w:p>
    <w:p>
      <w:pPr>
        <w:pStyle w:val="Heading1"/>
      </w:pPr>
      <w:r>
        <w:t xml:space="preserve">SOFTWARE REQUIREMENTS SPECIFICATION</w:t>
      </w:r>
    </w:p>
    <w:p>
      <w:pPr>
        <w:pStyle w:val="FirstParagraph"/>
      </w:pPr>
      <w:r>
        <w:t xml:space="preserve">IEEE 830 / ISO·IEC·IEEE 29148 Format</w:t>
      </w:r>
    </w:p>
    <w:p>
      <w:pPr>
        <w:pStyle w:val="BodyText"/>
      </w:pPr>
      <w:r>
        <w:rPr>
          <w:b/>
          <w:bCs/>
        </w:rPr>
        <w:t xml:space="preserve">Addressing Typographic Hallucination in Generative AI Images: An Open-Set Metric Learning Approach to Font Style Recognition</w:t>
      </w:r>
    </w:p>
    <w:p>
      <w:pPr>
        <w:pStyle w:val="BodyText"/>
      </w:pPr>
      <w:r>
        <w:t xml:space="preserve">Version 1.2 · August 3, 2026</w:t>
      </w:r>
    </w:p>
    <w:p>
      <w:pPr>
        <w:pStyle w:val="BodyText"/>
      </w:pPr>
      <w:r>
        <w:t xml:space="preserve">By</w:t>
      </w:r>
      <w:r>
        <w:t xml:space="preserve"> </w:t>
      </w:r>
      <w:r>
        <w:t xml:space="preserve">Janritch Diputado</w:t>
      </w:r>
      <w:r>
        <w:t xml:space="preserve"> </w:t>
      </w:r>
      <w:r>
        <w:t xml:space="preserve">Matt Cabarrubias</w:t>
      </w:r>
    </w:p>
    <w:p>
      <w:pPr>
        <w:pStyle w:val="BodyText"/>
        <w:keepNext/>
      </w:pPr>
      <w:r>
        <w:t xml:space="preserve">Christine D. Bandalan, MEng</w:t>
      </w:r>
      <w:r>
        <w:t xml:space="preserve"> </w:t>
      </w:r>
      <w:r>
        <w:t xml:space="preserve">Faculty Adviser</w:t>
      </w:r>
    </w:p>
    <w:p>
      <w:pPr>
        <w:pStyle w:val="Heading2"/>
        <w:keepNext/>
      </w:pPr>
      <w:r>
        <w:t xml:space="preserve">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Version</w:t>
            </w:r>
          </w:p>
        </w:tc>
        <w:tc>
          <w:tcPr/>
          <w:p>
            <w:pPr>
              <w:pStyle w:val="Compact"/>
              <w:jc w:val="left"/>
            </w:pPr>
            <w:r>
              <w:t xml:space="preserve">Description</w:t>
            </w:r>
          </w:p>
        </w:tc>
        <w:tc>
          <w:tcPr/>
          <w:p>
            <w:pPr>
              <w:pStyle w:val="Compact"/>
              <w:jc w:val="left"/>
            </w:pPr>
            <w:r>
              <w:t xml:space="preserve">Author</w:t>
            </w:r>
          </w:p>
        </w:tc>
      </w:tr>
      <w:tr>
        <w:tc>
          <w:tcPr/>
          <w:p>
            <w:pPr>
              <w:pStyle w:val="Compact"/>
              <w:jc w:val="left"/>
            </w:pPr>
            <w:r>
              <w:t xml:space="preserve">2026-07-16</w:t>
            </w:r>
          </w:p>
        </w:tc>
        <w:tc>
          <w:tcPr/>
          <w:p>
            <w:pPr>
              <w:pStyle w:val="Compact"/>
              <w:jc w:val="left"/>
            </w:pPr>
            <w:r>
              <w:t xml:space="preserve">1.0</w:t>
            </w:r>
          </w:p>
        </w:tc>
        <w:tc>
          <w:tcPr/>
          <w:p>
            <w:pPr>
              <w:pStyle w:val="Compact"/>
              <w:jc w:val="left"/>
            </w:pPr>
            <w:r>
              <w:t xml:space="preserve">Initial thesis-scoped SRS</w:t>
            </w:r>
          </w:p>
        </w:tc>
        <w:tc>
          <w:tcPr/>
          <w:p>
            <w:pPr>
              <w:pStyle w:val="Compact"/>
              <w:jc w:val="left"/>
            </w:pPr>
            <w:r>
              <w:t xml:space="preserve">Research team</w:t>
            </w:r>
          </w:p>
        </w:tc>
      </w:tr>
      <w:tr>
        <w:tc>
          <w:tcPr/>
          <w:p>
            <w:pPr>
              <w:pStyle w:val="Compact"/>
              <w:jc w:val="left"/>
            </w:pPr>
            <w:r>
              <w:t xml:space="preserve">2026-07-26</w:t>
            </w:r>
          </w:p>
        </w:tc>
        <w:tc>
          <w:tcPr/>
          <w:p>
            <w:pPr>
              <w:pStyle w:val="Compact"/>
              <w:jc w:val="left"/>
            </w:pPr>
            <w:r>
              <w:t xml:space="preserve">1.1</w:t>
            </w:r>
          </w:p>
        </w:tc>
        <w:tc>
          <w:tcPr/>
          <w:p>
            <w:pPr>
              <w:pStyle w:val="Compact"/>
              <w:jc w:val="left"/>
            </w:pPr>
            <w:r>
              <w:t xml:space="preserve">Restructured to the IEEE 830 capstone template; adviser format revisions</w:t>
            </w:r>
          </w:p>
        </w:tc>
        <w:tc>
          <w:tcPr/>
          <w:p>
            <w:pPr>
              <w:pStyle w:val="Compact"/>
              <w:jc w:val="left"/>
            </w:pPr>
            <w:r>
              <w:t xml:space="preserve">Research team</w:t>
            </w:r>
          </w:p>
        </w:tc>
      </w:tr>
      <w:tr>
        <w:tc>
          <w:tcPr/>
          <w:p>
            <w:pPr>
              <w:pStyle w:val="Compact"/>
              <w:jc w:val="left"/>
            </w:pPr>
            <w:r>
              <w:t xml:space="preserve">2026-08-03</w:t>
            </w:r>
          </w:p>
        </w:tc>
        <w:tc>
          <w:tcPr/>
          <w:p>
            <w:pPr>
              <w:pStyle w:val="Compact"/>
              <w:jc w:val="left"/>
            </w:pPr>
            <w:r>
              <w:t xml:space="preserve">1.2</w:t>
            </w:r>
          </w:p>
        </w:tc>
        <w:tc>
          <w:tcPr/>
          <w:p>
            <w:pPr>
              <w:pStyle w:val="Compact"/>
              <w:jc w:val="left"/>
            </w:pPr>
            <w:r>
              <w:t xml:space="preserve">Post-defense revisions: word-level localization, mixed-typography verdict, word-merge presentation</w:t>
            </w:r>
          </w:p>
        </w:tc>
        <w:tc>
          <w:tcPr/>
          <w:p>
            <w:pPr>
              <w:pStyle w:val="Compact"/>
              <w:jc w:val="left"/>
            </w:pPr>
            <w:r>
              <w:t xml:space="preserve">Research team</w:t>
            </w:r>
          </w:p>
        </w:tc>
      </w:tr>
    </w:tbl>
    <w:p>
      <w:pPr>
        <w:pStyle w:val="Heading2"/>
      </w:pPr>
      <w:r>
        <w:t xml:space="preserve">1. Introduction</w:t>
      </w:r>
    </w:p>
    <w:p>
      <w:pPr>
        <w:pStyle w:val="Heading3"/>
      </w:pPr>
      <w:r>
        <w:t xml:space="preserve">1.1 Purpose</w:t>
      </w:r>
    </w:p>
    <w:p>
      <w:pPr>
        <w:pStyle w:val="FirstParagraph"/>
      </w:pPr>
      <w:r>
        <w:t xml:space="preserve">This Software Requirements Specification (SRS) defines the functional and non-functional requirements for</w:t>
      </w:r>
      <w:r>
        <w:t xml:space="preserve"> </w:t>
      </w:r>
      <w:r>
        <w:rPr>
          <w:b/>
          <w:bCs/>
        </w:rPr>
        <w:t xml:space="preserve">FontID</w:t>
      </w:r>
      <w:r>
        <w:t xml:space="preserve"> </w:t>
      </w:r>
      <w:r>
        <w:t xml:space="preserve">version 1.x, the web demonstrator that exposes the thesis’s font-recognition model to a user. It is the</w:t>
      </w:r>
      <w:r>
        <w:t xml:space="preserve"> </w:t>
      </w:r>
      <w:r>
        <w:rPr>
          <w:i/>
          <w:iCs/>
        </w:rPr>
        <w:t xml:space="preserve">artifact</w:t>
      </w:r>
      <w:r>
        <w:t xml:space="preserve"> </w:t>
      </w:r>
      <w:r>
        <w:t xml:space="preserve">half of the study’s build method (Ch4 §4.10): a single-page application that accepts a generative-AI image, runs the open-set metric-learning pipeline, and returns a ranked shortlist of the closest Google Fonts for each detected line of text — or rejects the text as out-of-palette. The software will not perform font vectorization, licensing, or any commercial identification.</w:t>
      </w:r>
    </w:p>
    <w:p>
      <w:pPr>
        <w:pStyle w:val="Heading3"/>
      </w:pPr>
      <w:r>
        <w:t xml:space="preserve">1.2 Document Conventions</w:t>
      </w:r>
    </w:p>
    <w:p>
      <w:pPr>
        <w:pStyle w:val="FirstParagraph"/>
      </w:pPr>
      <w:r>
        <w:t xml:space="preserve">Each requirement is labeled</w:t>
      </w:r>
      <w:r>
        <w:t xml:space="preserve"> </w:t>
      </w:r>
      <w:r>
        <w:rPr>
          <w:rStyle w:val="VerbatimChar"/>
        </w:rPr>
        <w:t xml:space="preserve">REQ-&lt;section&gt;-&lt;n&gt;</w:t>
      </w:r>
      <w:r>
        <w:t xml:space="preserve"> </w:t>
      </w:r>
      <w:r>
        <w:t xml:space="preserve">(e.g., REQ-4.1-2) with priority</w:t>
      </w:r>
      <w:r>
        <w:t xml:space="preserve"> </w:t>
      </w:r>
      <w:r>
        <w:rPr>
          <w:b/>
          <w:bCs/>
        </w:rPr>
        <w:t xml:space="preserve">High / Med / Low</w:t>
      </w:r>
      <w:r>
        <w:t xml:space="preserve">. Mandatory behavior uses</w:t>
      </w:r>
      <w:r>
        <w:t xml:space="preserve"> </w:t>
      </w:r>
      <w:r>
        <w:rPr>
          <w:b/>
          <w:bCs/>
        </w:rPr>
        <w:t xml:space="preserve">shall</w:t>
      </w:r>
      <w:r>
        <w:t xml:space="preserve">; desired behavior uses</w:t>
      </w:r>
      <w:r>
        <w:t xml:space="preserve"> </w:t>
      </w:r>
      <w:r>
        <w:rPr>
          <w:b/>
          <w:bCs/>
        </w:rPr>
        <w:t xml:space="preserve">should</w:t>
      </w:r>
      <w:r>
        <w:t xml:space="preserve">. Tables and figures follow APA 7th edition formatting.</w:t>
      </w:r>
    </w:p>
    <w:p>
      <w:pPr>
        <w:pStyle w:val="Heading3"/>
      </w:pPr>
      <w:r>
        <w:t xml:space="preserve">1.3 Intended Audience and Reading Suggestions</w:t>
      </w:r>
    </w:p>
    <w:p>
      <w:pPr>
        <w:pStyle w:val="FirstParagraph"/>
      </w:pPr>
      <w:r>
        <w:t xml:space="preserve">The document is intended for the two researcher-developers, the faculty adviser, and the panel evaluating the demonstrator. The panel and adviser may read Section 2 for a high-level view of scope and functions; the developers should read Sections 3–5 in full; evaluators verifying the demo should focus on Section 4 (features) and Section 5 (non-functional requirements) to derive test cases.</w:t>
      </w:r>
    </w:p>
    <w:p>
      <w:pPr>
        <w:pStyle w:val="Heading3"/>
      </w:pPr>
      <w:r>
        <w:t xml:space="preserve">1.4 Product Scope</w:t>
      </w:r>
    </w:p>
    <w:p>
      <w:pPr>
        <w:pStyle w:val="FirstParagraph"/>
        <w:keepNext/>
      </w:pPr>
      <w:r>
        <w:t xml:space="preserve">FontID is a</w:t>
      </w:r>
      <w:r>
        <w:t xml:space="preserve"> </w:t>
      </w:r>
      <w:r>
        <w:rPr>
          <w:b/>
          <w:bCs/>
        </w:rPr>
        <w:t xml:space="preserve">local demonstration harness</w:t>
      </w:r>
      <w:r>
        <w:t xml:space="preserve">, not a production service. It wraps the trained model so that hallucinated text crops map to a localized palette of the top 50–100 Google Fonts for free template reconstruction. Explicitly</w:t>
      </w:r>
      <w:r>
        <w:t xml:space="preserve"> </w:t>
      </w:r>
      <w:r>
        <w:rPr>
          <w:b/>
          <w:bCs/>
        </w:rPr>
        <w:t xml:space="preserve">out of scope</w:t>
      </w:r>
      <w:r>
        <w:t xml:space="preserve">: user accounts, multi-user scaling, persistent storage, payment/licensing, and font vectorization. The app is single-page with three zones —</w:t>
      </w:r>
      <w:r>
        <w:t xml:space="preserve"> </w:t>
      </w:r>
      <w:r>
        <w:rPr>
          <w:b/>
          <w:bCs/>
        </w:rPr>
        <w:t xml:space="preserve">Input → Processing → Results</w:t>
      </w:r>
      <w:r>
        <w:t xml:space="preserve"> </w:t>
      </w:r>
      <w:r>
        <w:t xml:space="preserve">— and runs on one machine for the defense demo.</w:t>
      </w:r>
    </w:p>
    <w:p>
      <w:pPr>
        <w:pStyle w:val="Heading3"/>
        <w:keepNext/>
      </w:pPr>
      <w:r>
        <w:t xml:space="preserve">1.5 References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Ref#</w:t>
            </w:r>
          </w:p>
        </w:tc>
        <w:tc>
          <w:tcPr/>
          <w:p>
            <w:pPr>
              <w:pStyle w:val="Compact"/>
              <w:jc w:val="left"/>
            </w:pPr>
            <w:r>
              <w:t xml:space="preserve">Document Title</w:t>
            </w:r>
          </w:p>
        </w:tc>
        <w:tc>
          <w:tcPr/>
          <w:p>
            <w:pPr>
              <w:pStyle w:val="Compact"/>
              <w:jc w:val="left"/>
            </w:pPr>
            <w:r>
              <w:t xml:space="preserve">Version/Date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Thesis Chapter 4 — Methodology (conceptual framework §4.4, architecture §4.5, build method §4.10)</w:t>
            </w:r>
          </w:p>
        </w:tc>
        <w:tc>
          <w:tcPr/>
          <w:p>
            <w:pPr>
              <w:pStyle w:val="Compact"/>
              <w:jc w:val="left"/>
            </w:pPr>
            <w:r>
              <w:t xml:space="preserve">2026</w:t>
            </w:r>
          </w:p>
        </w:tc>
        <w:tc>
          <w:tcPr/>
          <w:p>
            <w:pPr>
              <w:pStyle w:val="Compact"/>
              <w:jc w:val="left"/>
            </w:pPr>
            <w:r>
              <w:t xml:space="preserve">This thesis</w:t>
            </w:r>
          </w:p>
        </w:tc>
      </w:tr>
      <w:tr>
        <w:tc>
          <w:tcPr/>
          <w:p>
            <w:pPr>
              <w:pStyle w:val="Compact"/>
              <w:jc w:val="left"/>
            </w:pPr>
            <w:r>
              <w:t xml:space="preserve">[2]</w:t>
            </w:r>
          </w:p>
        </w:tc>
        <w:tc>
          <w:tcPr/>
          <w:p>
            <w:pPr>
              <w:pStyle w:val="Compact"/>
              <w:jc w:val="left"/>
            </w:pPr>
            <w:r>
              <w:t xml:space="preserve">IEEE Std 830-1998, Recommended Practice for Software Requirements Specifications</w:t>
            </w:r>
          </w:p>
        </w:tc>
        <w:tc>
          <w:tcPr/>
          <w:p>
            <w:pPr>
              <w:pStyle w:val="Compact"/>
              <w:jc w:val="left"/>
            </w:pPr>
            <w:r>
              <w:t xml:space="preserve">1998</w:t>
            </w:r>
          </w:p>
        </w:tc>
        <w:tc>
          <w:tcPr/>
          <w:p>
            <w:pPr>
              <w:pStyle w:val="Compact"/>
              <w:jc w:val="left"/>
            </w:pPr>
            <w:r>
              <w:t xml:space="preserve">IEEE</w:t>
            </w:r>
          </w:p>
        </w:tc>
      </w:tr>
      <w:tr>
        <w:tc>
          <w:tcPr/>
          <w:p>
            <w:pPr>
              <w:pStyle w:val="Compact"/>
              <w:jc w:val="left"/>
            </w:pPr>
            <w:r>
              <w:t xml:space="preserve">[3]</w:t>
            </w:r>
          </w:p>
        </w:tc>
        <w:tc>
          <w:tcPr/>
          <w:p>
            <w:pPr>
              <w:pStyle w:val="Compact"/>
              <w:jc w:val="left"/>
            </w:pPr>
            <w:r>
              <w:t xml:space="preserve">ISO/IEC/IEEE 29148:2018, Requirements engineering</w:t>
            </w:r>
          </w:p>
        </w:tc>
        <w:tc>
          <w:tcPr/>
          <w:p>
            <w:pPr>
              <w:pStyle w:val="Compact"/>
              <w:jc w:val="left"/>
            </w:pPr>
            <w:r>
              <w:t xml:space="preserve">2018</w:t>
            </w:r>
          </w:p>
        </w:tc>
        <w:tc>
          <w:tcPr/>
          <w:p>
            <w:pPr>
              <w:pStyle w:val="Compact"/>
              <w:jc w:val="left"/>
            </w:pPr>
            <w:r>
              <w:t xml:space="preserve">ISO/IEC/IEEE</w:t>
            </w:r>
          </w:p>
        </w:tc>
      </w:tr>
      <w:tr>
        <w:tc>
          <w:tcPr/>
          <w:p>
            <w:pPr>
              <w:pStyle w:val="Compact"/>
              <w:jc w:val="left"/>
            </w:pPr>
            <w:r>
              <w:t xml:space="preserve">[4]</w:t>
            </w:r>
          </w:p>
        </w:tc>
        <w:tc>
          <w:tcPr/>
          <w:p>
            <w:pPr>
              <w:pStyle w:val="Compact"/>
              <w:jc w:val="left"/>
            </w:pPr>
            <w:r>
              <w:t xml:space="preserve">Google Fonts open-source font library</w:t>
            </w:r>
          </w:p>
        </w:tc>
        <w:tc>
          <w:tcPr/>
          <w:p>
            <w:pPr>
              <w:pStyle w:val="Compact"/>
              <w:jc w:val="left"/>
            </w:pPr>
            <w:r>
              <w:t xml:space="preserve">current</w:t>
            </w:r>
          </w:p>
        </w:tc>
        <w:tc>
          <w:tcPr/>
          <w:p>
            <w:pPr>
              <w:pStyle w:val="Compact"/>
              <w:jc w:val="left"/>
            </w:pPr>
            <w:r>
              <w:t xml:space="preserve">https://fonts.google.com</w:t>
            </w:r>
          </w:p>
        </w:tc>
      </w:tr>
    </w:tbl>
    <w:p>
      <w:pPr>
        <w:pStyle w:val="Heading2"/>
      </w:pPr>
      <w:r>
        <w:t xml:space="preserve">2. Overall Description</w:t>
      </w:r>
    </w:p>
    <w:p>
      <w:pPr>
        <w:pStyle w:val="Heading3"/>
      </w:pPr>
      <w:r>
        <w:t xml:space="preserve">2.1 Product Perspective</w:t>
      </w:r>
    </w:p>
    <w:p>
      <w:pPr>
        <w:pStyle w:val="FirstParagraph"/>
      </w:pPr>
      <w:r>
        <w:t xml:space="preserve">FontID is a</w:t>
      </w:r>
      <w:r>
        <w:t xml:space="preserve"> </w:t>
      </w:r>
      <w:r>
        <w:rPr>
          <w:b/>
          <w:bCs/>
        </w:rPr>
        <w:t xml:space="preserve">new, self-contained</w:t>
      </w:r>
      <w:r>
        <w:t xml:space="preserve"> </w:t>
      </w:r>
      <w:r>
        <w:t xml:space="preserve">front end over an existing trained model; it adds no new learning logic. The runtime path is layered — React client → FastAPI backend → PyTorch inference service → model weights and font assets — as detailed in the system-architecture diagram (Ch4 §4.5.2, Fig 9). The trained metric head is produced offline; the app only</w:t>
      </w:r>
      <w:r>
        <w:t xml:space="preserve"> </w:t>
      </w:r>
      <w:r>
        <w:rPr>
          <w:i/>
          <w:iCs/>
        </w:rPr>
        <w:t xml:space="preserve">loads and serves</w:t>
      </w:r>
      <w:r>
        <w:t xml:space="preserve"> </w:t>
      </w:r>
      <w:r>
        <w:t xml:space="preserve">it.</w:t>
      </w:r>
    </w:p>
    <w:p>
      <w:pPr>
        <w:pStyle w:val="Heading3"/>
      </w:pPr>
      <w:r>
        <w:t xml:space="preserve">2.2 Product Functions</w:t>
      </w:r>
    </w:p>
    <w:p>
      <w:pPr>
        <w:pStyle w:val="Compact"/>
        <w:numPr>
          <w:ilvl w:val="0"/>
          <w:numId w:val="1010"/>
        </w:numPr>
      </w:pPr>
      <w:r>
        <w:t xml:space="preserve">Accept a GenAI image by drag-drop, file browse, or a bundled sample — drawn from a pool of at least 10 real AI-generated demo images, never part of any training data, with 3 offered at random each start-up.</w:t>
      </w:r>
    </w:p>
    <w:p>
      <w:pPr>
        <w:pStyle w:val="Compact"/>
        <w:numPr>
          <w:ilvl w:val="0"/>
          <w:numId w:val="1010"/>
        </w:numPr>
      </w:pPr>
      <w:r>
        <w:t xml:space="preserve">Localize the text in the image at word granularity and crop each word.</w:t>
      </w:r>
    </w:p>
    <w:p>
      <w:pPr>
        <w:pStyle w:val="Compact"/>
        <w:numPr>
          <w:ilvl w:val="0"/>
          <w:numId w:val="1010"/>
        </w:numPr>
      </w:pPr>
      <w:r>
        <w:t xml:space="preserve">Embed each crop, check it for font homogeneity, and rank it against the font palette.</w:t>
      </w:r>
    </w:p>
    <w:p>
      <w:pPr>
        <w:pStyle w:val="Compact"/>
        <w:numPr>
          <w:ilvl w:val="0"/>
          <w:numId w:val="1010"/>
        </w:numPr>
      </w:pPr>
      <w:r>
        <w:t xml:space="preserve">Return a Top-K shortlist per crop with a similarity score, reject it as out-of-palette, or report it as mixed typography; adjacent words with the same verdict merge into one result.</w:t>
      </w:r>
    </w:p>
    <w:p>
      <w:pPr>
        <w:pStyle w:val="Compact"/>
        <w:keepNext/>
        <w:numPr>
          <w:ilvl w:val="0"/>
          <w:numId w:val="1010"/>
        </w:numPr>
      </w:pPr>
      <w:r>
        <w:t xml:space="preserve">Render each candidate font as a live preview of the detected text for visual confirmation.</w:t>
      </w:r>
    </w:p>
    <w:p>
      <w:pPr>
        <w:pStyle w:val="Heading3"/>
        <w:keepNext/>
      </w:pPr>
      <w:r>
        <w:t xml:space="preserve">2.3 User Classes and Characteristics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User class</w:t>
            </w:r>
          </w:p>
        </w:tc>
        <w:tc>
          <w:tcPr/>
          <w:p>
            <w:pPr>
              <w:pStyle w:val="Compact"/>
              <w:jc w:val="left"/>
            </w:pPr>
            <w:r>
              <w:t xml:space="preserve">Characteristics</w:t>
            </w:r>
          </w:p>
        </w:tc>
        <w:tc>
          <w:tcPr/>
          <w:p>
            <w:pPr>
              <w:pStyle w:val="Compact"/>
              <w:jc w:val="left"/>
            </w:pPr>
            <w:r>
              <w:t xml:space="preserve">Privileges/Access</w:t>
            </w:r>
          </w:p>
        </w:tc>
      </w:tr>
      <w:tr>
        <w:tc>
          <w:tcPr/>
          <w:p>
            <w:pPr>
              <w:pStyle w:val="Compact"/>
              <w:jc w:val="left"/>
            </w:pPr>
            <w:r>
              <w:t xml:space="preserve">Designer / end user</w:t>
            </w:r>
          </w:p>
        </w:tc>
        <w:tc>
          <w:tcPr/>
          <w:p>
            <w:pPr>
              <w:pStyle w:val="Compact"/>
              <w:jc w:val="left"/>
            </w:pPr>
            <w:r>
              <w:t xml:space="preserve">Non-technical; wants a free font match to rebuild a template.</w:t>
            </w:r>
          </w:p>
        </w:tc>
        <w:tc>
          <w:tcPr/>
          <w:p>
            <w:pPr>
              <w:pStyle w:val="Compact"/>
              <w:jc w:val="left"/>
            </w:pPr>
            <w:r>
              <w:t xml:space="preserve">Standard access: uploads an image, reads the Top-K shortlist.</w:t>
            </w:r>
          </w:p>
        </w:tc>
      </w:tr>
      <w:tr>
        <w:tc>
          <w:tcPr/>
          <w:p>
            <w:pPr>
              <w:pStyle w:val="Compact"/>
              <w:jc w:val="left"/>
            </w:pPr>
            <w:r>
              <w:t xml:space="preserve">Researcher / evaluator</w:t>
            </w:r>
          </w:p>
        </w:tc>
        <w:tc>
          <w:tcPr/>
          <w:p>
            <w:pPr>
              <w:pStyle w:val="Compact"/>
              <w:jc w:val="left"/>
            </w:pPr>
            <w:r>
              <w:t xml:space="preserve">The team + panel; technical.</w:t>
            </w:r>
          </w:p>
        </w:tc>
        <w:tc>
          <w:tcPr/>
          <w:p>
            <w:pPr>
              <w:pStyle w:val="Compact"/>
              <w:jc w:val="left"/>
            </w:pPr>
            <w:r>
              <w:t xml:space="preserve">Full local access: drives the demo, inspects backend score/τ logs, confirms open-set reject behavior.</w:t>
            </w:r>
          </w:p>
        </w:tc>
      </w:tr>
    </w:tbl>
    <w:p>
      <w:pPr>
        <w:pStyle w:val="Heading3"/>
      </w:pPr>
      <w:r>
        <w:t xml:space="preserve">2.4 Operating Environment</w:t>
      </w:r>
    </w:p>
    <w:p>
      <w:pPr>
        <w:pStyle w:val="Compact"/>
        <w:numPr>
          <w:ilvl w:val="0"/>
          <w:numId w:val="1011"/>
        </w:numPr>
      </w:pPr>
      <w:r>
        <w:rPr>
          <w:b/>
          <w:bCs/>
        </w:rPr>
        <w:t xml:space="preserve">Client:</w:t>
      </w:r>
      <w:r>
        <w:t xml:space="preserve"> </w:t>
      </w:r>
      <w:r>
        <w:t xml:space="preserve">current Chrome / Firefox / Edge (latest two versions), desktop viewport.</w:t>
      </w:r>
    </w:p>
    <w:p>
      <w:pPr>
        <w:pStyle w:val="Compact"/>
        <w:numPr>
          <w:ilvl w:val="0"/>
          <w:numId w:val="1011"/>
        </w:numPr>
      </w:pPr>
      <w:r>
        <w:rPr>
          <w:b/>
          <w:bCs/>
        </w:rPr>
        <w:t xml:space="preserve">Server:</w:t>
      </w:r>
      <w:r>
        <w:t xml:space="preserve"> </w:t>
      </w:r>
      <w:r>
        <w:t xml:space="preserve">Python 3.11+, FastAPI, PyTorch, packaged with Docker; runs on the presenter’s laptop (</w:t>
      </w:r>
      <w:r>
        <w:rPr>
          <w:rStyle w:val="VerbatimChar"/>
        </w:rPr>
        <w:t xml:space="preserve">localhost</w:t>
      </w:r>
      <w:r>
        <w:t xml:space="preserve">). GPU optional — CPU inference acceptable for single-image demo latency.</w:t>
      </w:r>
    </w:p>
    <w:p>
      <w:pPr>
        <w:pStyle w:val="Compact"/>
        <w:numPr>
          <w:ilvl w:val="0"/>
          <w:numId w:val="1011"/>
        </w:numPr>
      </w:pPr>
      <w:r>
        <w:rPr>
          <w:b/>
          <w:bCs/>
        </w:rPr>
        <w:t xml:space="preserve">Assets:</w:t>
      </w:r>
      <w:r>
        <w:t xml:space="preserve"> </w:t>
      </w:r>
      <w:r>
        <w:t xml:space="preserve">DINOv2 + baseline weights from HuggingFace Hub; Google Fonts files for palette matching and preview rendering.</w:t>
      </w:r>
    </w:p>
    <w:p>
      <w:pPr>
        <w:pStyle w:val="Heading3"/>
      </w:pPr>
      <w:r>
        <w:t xml:space="preserve">2.5 Design and Implementation Constraints</w:t>
      </w:r>
    </w:p>
    <w:p>
      <w:pPr>
        <w:pStyle w:val="Compact"/>
        <w:numPr>
          <w:ilvl w:val="0"/>
          <w:numId w:val="1012"/>
        </w:numPr>
      </w:pPr>
      <w:r>
        <w:t xml:space="preserve">Stack is fixed by the methodology (Ch4 §4.8):</w:t>
      </w:r>
      <w:r>
        <w:t xml:space="preserve"> </w:t>
      </w:r>
      <w:r>
        <w:rPr>
          <w:b/>
          <w:bCs/>
        </w:rPr>
        <w:t xml:space="preserve">React</w:t>
      </w:r>
      <w:r>
        <w:t xml:space="preserve"> </w:t>
      </w:r>
      <w:r>
        <w:t xml:space="preserve">(frontend),</w:t>
      </w:r>
      <w:r>
        <w:t xml:space="preserve"> </w:t>
      </w:r>
      <w:r>
        <w:rPr>
          <w:b/>
          <w:bCs/>
        </w:rPr>
        <w:t xml:space="preserve">FastAPI</w:t>
      </w:r>
      <w:r>
        <w:t xml:space="preserve"> </w:t>
      </w:r>
      <w:r>
        <w:t xml:space="preserve">(backend),</w:t>
      </w:r>
      <w:r>
        <w:t xml:space="preserve"> </w:t>
      </w:r>
      <w:r>
        <w:rPr>
          <w:b/>
          <w:bCs/>
        </w:rPr>
        <w:t xml:space="preserve">PyTorch + HuggingFace</w:t>
      </w:r>
      <w:r>
        <w:t xml:space="preserve"> </w:t>
      </w:r>
      <w:r>
        <w:t xml:space="preserve">(inference),</w:t>
      </w:r>
      <w:r>
        <w:t xml:space="preserve"> </w:t>
      </w:r>
      <w:r>
        <w:rPr>
          <w:b/>
          <w:bCs/>
        </w:rPr>
        <w:t xml:space="preserve">Docker</w:t>
      </w:r>
      <w:r>
        <w:t xml:space="preserve"> </w:t>
      </w:r>
      <w:r>
        <w:t xml:space="preserve">(deploy).</w:t>
      </w:r>
    </w:p>
    <w:p>
      <w:pPr>
        <w:pStyle w:val="Compact"/>
        <w:numPr>
          <w:ilvl w:val="0"/>
          <w:numId w:val="1012"/>
        </w:numPr>
      </w:pPr>
      <w:r>
        <w:t xml:space="preserve">Preprocessing (square-pad → 224² → ImageNet normalize)</w:t>
      </w:r>
      <w:r>
        <w:t xml:space="preserve"> </w:t>
      </w:r>
      <w:r>
        <w:rPr>
          <w:b/>
          <w:bCs/>
        </w:rPr>
        <w:t xml:space="preserve">shall</w:t>
      </w:r>
      <w:r>
        <w:t xml:space="preserve"> </w:t>
      </w:r>
      <w:r>
        <w:t xml:space="preserve">run inside the model forward pass to avoid train–serve skew (Ch4 §4.3.2).</w:t>
      </w:r>
    </w:p>
    <w:p>
      <w:pPr>
        <w:pStyle w:val="Compact"/>
        <w:numPr>
          <w:ilvl w:val="0"/>
          <w:numId w:val="1012"/>
        </w:numPr>
      </w:pPr>
      <w:r>
        <w:t xml:space="preserve">Only open-source fonts (the Google Fonts palette) may be returned — no commercial font identifiers or licenses.</w:t>
      </w:r>
    </w:p>
    <w:p>
      <w:pPr>
        <w:pStyle w:val="Heading3"/>
      </w:pPr>
      <w:r>
        <w:t xml:space="preserve">2.6 Assumptions and Dependencies</w:t>
      </w:r>
    </w:p>
    <w:p>
      <w:pPr>
        <w:pStyle w:val="Compact"/>
        <w:numPr>
          <w:ilvl w:val="0"/>
          <w:numId w:val="1013"/>
        </w:numPr>
      </w:pPr>
      <w:r>
        <w:t xml:space="preserve">The trained metric head and palette are available on disk at startup.</w:t>
      </w:r>
    </w:p>
    <w:p>
      <w:pPr>
        <w:pStyle w:val="Compact"/>
        <w:numPr>
          <w:ilvl w:val="0"/>
          <w:numId w:val="1013"/>
        </w:numPr>
      </w:pPr>
      <w:r>
        <w:t xml:space="preserve">The uploaded image contains legible rendered text (not handwriting / heavy occlusion).</w:t>
      </w:r>
    </w:p>
    <w:p>
      <w:pPr>
        <w:pStyle w:val="Compact"/>
        <w:numPr>
          <w:ilvl w:val="0"/>
          <w:numId w:val="1013"/>
        </w:numPr>
      </w:pPr>
      <w:r>
        <w:t xml:space="preserve">The off-the-shelf text-localization component is available and returns bounding boxes.</w:t>
      </w:r>
    </w:p>
    <w:p>
      <w:pPr>
        <w:pStyle w:val="Compact"/>
        <w:numPr>
          <w:ilvl w:val="0"/>
          <w:numId w:val="1013"/>
        </w:numPr>
      </w:pPr>
      <w:r>
        <w:t xml:space="preserve">The HuggingFace Hub remains reachable for the one-time weight download; after that the app runs offline.</w:t>
      </w:r>
    </w:p>
    <w:p>
      <w:pPr>
        <w:pStyle w:val="Heading2"/>
      </w:pPr>
      <w:r>
        <w:t xml:space="preserve">3. External Interface Requirements</w:t>
      </w:r>
    </w:p>
    <w:p>
      <w:pPr>
        <w:pStyle w:val="Heading3"/>
      </w:pPr>
      <w:r>
        <w:t xml:space="preserve">3.1 User Interfaces</w:t>
      </w:r>
    </w:p>
    <w:p>
      <w:pPr>
        <w:pStyle w:val="FirstParagraph"/>
      </w:pPr>
      <w:r>
        <w:t xml:space="preserve">Single page, three vertically stacked zones (wireframe below):</w:t>
      </w:r>
    </w:p>
    <w:p>
      <w:pPr>
        <w:pStyle w:val="Compact"/>
        <w:numPr>
          <w:ilvl w:val="0"/>
          <w:numId w:val="1014"/>
        </w:numPr>
      </w:pPr>
      <w:r>
        <w:rPr>
          <w:b/>
          <w:bCs/>
        </w:rPr>
        <w:t xml:space="preserve">Input</w:t>
      </w:r>
      <w:r>
        <w:t xml:space="preserve"> </w:t>
      </w:r>
      <w:r>
        <w:t xml:space="preserve">— a drag-drop/browse dropzone, sample thumbnails, and an</w:t>
      </w:r>
      <w:r>
        <w:t xml:space="preserve"> </w:t>
      </w:r>
      <w:r>
        <w:rPr>
          <w:b/>
          <w:bCs/>
        </w:rPr>
        <w:t xml:space="preserve">Identify Fonts</w:t>
      </w:r>
      <w:r>
        <w:t xml:space="preserve"> </w:t>
      </w:r>
      <w:r>
        <w:t xml:space="preserve">action.</w:t>
      </w:r>
    </w:p>
    <w:p>
      <w:pPr>
        <w:pStyle w:val="Compact"/>
        <w:numPr>
          <w:ilvl w:val="0"/>
          <w:numId w:val="1014"/>
        </w:numPr>
      </w:pPr>
      <w:r>
        <w:rPr>
          <w:b/>
          <w:bCs/>
        </w:rPr>
        <w:t xml:space="preserve">Processing</w:t>
      </w:r>
      <w:r>
        <w:t xml:space="preserve"> </w:t>
      </w:r>
      <w:r>
        <w:t xml:space="preserve">— the uploaded image with detected text regions boxed, plus a pipeline status/progress indicator.</w:t>
      </w:r>
    </w:p>
    <w:p>
      <w:pPr>
        <w:pStyle w:val="Compact"/>
        <w:numPr>
          <w:ilvl w:val="0"/>
          <w:numId w:val="1014"/>
        </w:numPr>
      </w:pPr>
      <w:r>
        <w:rPr>
          <w:b/>
          <w:bCs/>
        </w:rPr>
        <w:t xml:space="preserve">Results</w:t>
      </w:r>
      <w:r>
        <w:t xml:space="preserve"> </w:t>
      </w:r>
      <w:r>
        <w:t xml:space="preserve">— a carousel showing one card at a time per detected crop, navigated with previous/next arrows, a region indicator (</w:t>
      </w:r>
      <w:r>
        <w:t xml:space="preserve">“Region 1 of 2”</w:t>
      </w:r>
      <w:r>
        <w:t xml:space="preserve">), and pagination dots. Each card holds the crop thumbnail, its Top-K font shortlist (name · preview · similarity bar), and a</w:t>
      </w:r>
      <w:r>
        <w:t xml:space="preserve"> </w:t>
      </w:r>
      <w:r>
        <w:rPr>
          <w:b/>
          <w:bCs/>
        </w:rPr>
        <w:t xml:space="preserve">KNOWN / UNKNOWN / MIXED</w:t>
      </w:r>
      <w:r>
        <w:t xml:space="preserve"> </w:t>
      </w:r>
      <w:r>
        <w:t xml:space="preserve">badge for the open-set decision.</w:t>
      </w:r>
    </w:p>
    <w:p>
      <w:pPr>
        <w:pStyle w:val="FirstParagraph"/>
      </w:pPr>
      <w:r>
        <w:t xml:space="preserve">The interface shall work at desktop widths and keep all three zones reachable on one page. Standard affordances: every result font preview offers a copy-name / preview action.</w:t>
      </w:r>
    </w:p>
    <w:p>
      <w:pPr>
        <w:pStyle w:val="BodyText"/>
        <w:keepNext/>
      </w:pPr>
      <w:r>
        <w:rPr>
          <w:b/>
          <w:bCs/>
        </w:rPr>
        <w:t xml:space="preserve">Figure A1</w:t>
      </w:r>
    </w:p>
    <w:p>
      <w:pPr>
        <w:pStyle w:val="BodyText"/>
        <w:keepNext/>
      </w:pPr>
      <w:r>
        <w:rPr>
          <w:i/>
          <w:iCs/>
        </w:rPr>
        <w:t xml:space="preserve">FontID Single-Page Wireframe (Input → Processing → Results)</w:t>
      </w:r>
    </w:p>
    <w:p>
      <w:pPr>
        <w:pStyle w:val="CaptionedFigure"/>
        <w:keepNext/>
      </w:pPr>
      <w:r>
        <w:drawing>
          <wp:inline>
            <wp:extent cx="5334000" cy="7593328"/>
            <wp:effectExtent b="0" l="0" r="0" t="0"/>
            <wp:docPr descr="FontID single-page wireframe with three stacked zones: an upload dropzone with sample thumbnails, a processing zone showing detected text regions and pipeline status, and a results carousel of per-region cards" title="" id="133" name="Picture"/>
            <a:graphic>
              <a:graphicData uri="http://schemas.openxmlformats.org/drawingml/2006/picture">
                <pic:pic>
                  <pic:nvPicPr>
                    <pic:cNvPr descr="assets/figures/app_wireframe.png" id="134" name="Picture"/>
                    <pic:cNvPicPr>
                      <a:picLocks noChangeArrowheads="1" noChangeAspect="1"/>
                    </pic:cNvPicPr>
                  </pic:nvPicPr>
                  <pic:blipFill>
                    <a:blip r:embed="rId132"/>
                    <a:stretch>
                      <a:fillRect/>
                    </a:stretch>
                  </pic:blipFill>
                  <pic:spPr bwMode="auto">
                    <a:xfrm>
                      <a:off x="0" y="0"/>
                      <a:ext cx="5334000" cy="7593328"/>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Three-zone single page. Results are a carousel, one card per detected region: Region 1 accepts (Top-3 in palette); Region 2, reached with the next arrow, is rejected as out-of-palette (max similarity &lt; τ), demonstrating open-set behavior.</w:t>
      </w:r>
    </w:p>
    <w:p>
      <w:pPr>
        <w:pStyle w:val="Heading3"/>
      </w:pPr>
      <w:r>
        <w:t xml:space="preserve">3.2 Hardware Interfaces</w:t>
      </w:r>
    </w:p>
    <w:p>
      <w:pPr>
        <w:pStyle w:val="FirstParagraph"/>
        <w:keepNext/>
      </w:pPr>
      <w:r>
        <w:t xml:space="preserve">No dedicated hardware interface exists. The system runs on a commodity laptop; an NVIDIA GPU, when present, is used through the standard CUDA driver stack, and CPU-only operation is supported. No scanners, sensors, or printers are involved.</w:t>
      </w:r>
    </w:p>
    <w:p>
      <w:pPr>
        <w:pStyle w:val="Heading3"/>
        <w:keepNext/>
      </w:pPr>
      <w:r>
        <w:t xml:space="preserve">3.3 Software Interfaces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Purpose</w:t>
            </w:r>
          </w:p>
        </w:tc>
        <w:tc>
          <w:tcPr/>
          <w:p>
            <w:pPr>
              <w:pStyle w:val="Compact"/>
              <w:jc w:val="left"/>
            </w:pPr>
            <w:r>
              <w:t xml:space="preserve">Data exchanged</w:t>
            </w:r>
          </w:p>
        </w:tc>
      </w:tr>
      <w:tr>
        <w:tc>
          <w:tcPr/>
          <w:p>
            <w:pPr>
              <w:pStyle w:val="Compact"/>
              <w:jc w:val="left"/>
            </w:pPr>
            <w:r>
              <w:rPr>
                <w:rStyle w:val="VerbatimChar"/>
              </w:rPr>
              <w:t xml:space="preserve">POST /predict</w:t>
            </w:r>
            <w:r>
              <w:t xml:space="preserve"> </w:t>
            </w:r>
            <w:r>
              <w:t xml:space="preserve">(FastAPI REST)</w:t>
            </w:r>
          </w:p>
        </w:tc>
        <w:tc>
          <w:tcPr/>
          <w:p>
            <w:pPr>
              <w:pStyle w:val="Compact"/>
              <w:jc w:val="left"/>
            </w:pPr>
            <w:r>
              <w:t xml:space="preserve">Client sends the image; server returns results.</w:t>
            </w:r>
          </w:p>
        </w:tc>
        <w:tc>
          <w:tcPr/>
          <w:p>
            <w:pPr>
              <w:pStyle w:val="Compact"/>
              <w:jc w:val="left"/>
            </w:pPr>
            <w:r>
              <w:t xml:space="preserve">Request: image (multipart). Response: JSON — per crop, bounding box + Top-K</w:t>
            </w:r>
            <w:r>
              <w:t xml:space="preserve"> </w:t>
            </w:r>
            <w:r>
              <w:rPr>
                <w:rStyle w:val="VerbatimChar"/>
              </w:rPr>
              <w:t xml:space="preserve">{font, score}</w:t>
            </w:r>
            <w:r>
              <w:t xml:space="preserve"> </w:t>
            </w:r>
            <w:r>
              <w:t xml:space="preserve">+</w:t>
            </w:r>
            <w:r>
              <w:t xml:space="preserve"> </w:t>
            </w:r>
            <w:r>
              <w:rPr>
                <w:rStyle w:val="VerbatimChar"/>
              </w:rPr>
              <w:t xml:space="preserve">known</w:t>
            </w:r>
            <w:r>
              <w:t xml:space="preserve"> </w:t>
            </w:r>
            <w:r>
              <w:t xml:space="preserve">flag.</w:t>
            </w:r>
          </w:p>
        </w:tc>
      </w:tr>
      <w:tr>
        <w:tc>
          <w:tcPr/>
          <w:p>
            <w:pPr>
              <w:pStyle w:val="Compact"/>
              <w:jc w:val="left"/>
            </w:pPr>
            <w:r>
              <w:t xml:space="preserve">HuggingFace Hub</w:t>
            </w:r>
          </w:p>
        </w:tc>
        <w:tc>
          <w:tcPr/>
          <w:p>
            <w:pPr>
              <w:pStyle w:val="Compact"/>
              <w:jc w:val="left"/>
            </w:pPr>
            <w:r>
              <w:t xml:space="preserve">Load DINOv2 + baseline weights at startup.</w:t>
            </w:r>
          </w:p>
        </w:tc>
        <w:tc>
          <w:tcPr/>
          <w:p>
            <w:pPr>
              <w:pStyle w:val="Compact"/>
              <w:jc w:val="left"/>
            </w:pPr>
            <w:r>
              <w:t xml:space="preserve">Model tensors (read-once).</w:t>
            </w:r>
          </w:p>
        </w:tc>
      </w:tr>
      <w:tr>
        <w:tc>
          <w:tcPr/>
          <w:p>
            <w:pPr>
              <w:pStyle w:val="Compact"/>
              <w:jc w:val="left"/>
            </w:pPr>
            <w:r>
              <w:t xml:space="preserve">Google Fonts assets</w:t>
            </w:r>
          </w:p>
        </w:tc>
        <w:tc>
          <w:tcPr/>
          <w:p>
            <w:pPr>
              <w:pStyle w:val="Compact"/>
              <w:jc w:val="left"/>
            </w:pPr>
            <w:r>
              <w:t xml:space="preserve">Palette matching + preview rendering of candidate fonts.</w:t>
            </w:r>
          </w:p>
        </w:tc>
        <w:tc>
          <w:tcPr/>
          <w:p>
            <w:pPr>
              <w:pStyle w:val="Compact"/>
              <w:jc w:val="left"/>
            </w:pPr>
            <w:r>
              <w:t xml:space="preserve">Font files (</w:t>
            </w:r>
            <w:r>
              <w:rPr>
                <w:rStyle w:val="VerbatimChar"/>
              </w:rPr>
              <w:t xml:space="preserve">.ttf</w:t>
            </w:r>
            <w:r>
              <w:t xml:space="preserve">/</w:t>
            </w:r>
            <w:r>
              <w:rPr>
                <w:rStyle w:val="VerbatimChar"/>
              </w:rPr>
              <w:t xml:space="preserve">.woff2</w:t>
            </w:r>
            <w:r>
              <w:t xml:space="preserve">).</w:t>
            </w:r>
          </w:p>
        </w:tc>
      </w:tr>
    </w:tbl>
    <w:p>
      <w:pPr>
        <w:pStyle w:val="Heading3"/>
      </w:pPr>
      <w:r>
        <w:t xml:space="preserve">3.4 Communications Interfaces</w:t>
      </w:r>
    </w:p>
    <w:p>
      <w:pPr>
        <w:pStyle w:val="FirstParagraph"/>
      </w:pPr>
      <w:r>
        <w:t xml:space="preserve">All client–server traffic is HTTP over</w:t>
      </w:r>
      <w:r>
        <w:t xml:space="preserve"> </w:t>
      </w:r>
      <w:r>
        <w:rPr>
          <w:rStyle w:val="VerbatimChar"/>
        </w:rPr>
        <w:t xml:space="preserve">localhost</w:t>
      </w:r>
      <w:r>
        <w:t xml:space="preserve"> </w:t>
      </w:r>
      <w:r>
        <w:t xml:space="preserve">(REST, JSON, multipart upload). No external network traffic occurs at request time, no email or notification channels exist, and no TLS is required for the single-machine demo.</w:t>
      </w:r>
    </w:p>
    <w:p>
      <w:pPr>
        <w:pStyle w:val="Heading2"/>
      </w:pPr>
      <w:r>
        <w:t xml:space="preserve">4. System Features</w:t>
      </w:r>
    </w:p>
    <w:p>
      <w:pPr>
        <w:pStyle w:val="Heading3"/>
      </w:pPr>
      <w:r>
        <w:t xml:space="preserve">4.1 Image Input</w:t>
      </w:r>
    </w:p>
    <w:p>
      <w:pPr>
        <w:pStyle w:val="Heading4"/>
      </w:pPr>
      <w:r>
        <w:t xml:space="preserve">4.1.1 Description and Priority</w:t>
      </w:r>
    </w:p>
    <w:p>
      <w:pPr>
        <w:pStyle w:val="FirstParagraph"/>
      </w:pPr>
      <w:r>
        <w:t xml:space="preserve">User supplies a GenAI image by drag-drop, file browse, or a bundled sample. Priority:</w:t>
      </w:r>
      <w:r>
        <w:t xml:space="preserve"> </w:t>
      </w:r>
      <w:r>
        <w:rPr>
          <w:b/>
          <w:bCs/>
        </w:rPr>
        <w:t xml:space="preserve">High</w:t>
      </w:r>
      <w:r>
        <w:t xml:space="preserve">.</w:t>
      </w:r>
    </w:p>
    <w:p>
      <w:pPr>
        <w:pStyle w:val="Heading4"/>
      </w:pPr>
      <w:r>
        <w:t xml:space="preserve">4.1.2 Stimulus/Response Sequences</w:t>
      </w:r>
    </w:p>
    <w:p>
      <w:pPr>
        <w:pStyle w:val="FirstParagraph"/>
        <w:keepNext/>
      </w:pPr>
      <w:r>
        <w:t xml:space="preserve">User drops/selects an image → client shows a preview and enables</w:t>
      </w:r>
      <w:r>
        <w:t xml:space="preserve"> </w:t>
      </w:r>
      <w:r>
        <w:rPr>
          <w:b/>
          <w:bCs/>
        </w:rPr>
        <w:t xml:space="preserve">Identify Fonts</w:t>
      </w:r>
      <w:r>
        <w:t xml:space="preserve"> </w:t>
      </w:r>
      <w:r>
        <w:t xml:space="preserve">→ click posts the image to</w:t>
      </w:r>
      <w:r>
        <w:t xml:space="preserve"> </w:t>
      </w:r>
      <w:r>
        <w:rPr>
          <w:rStyle w:val="VerbatimChar"/>
        </w:rPr>
        <w:t xml:space="preserve">/predict</w:t>
      </w:r>
      <w:r>
        <w:t xml:space="preserve">.</w:t>
      </w:r>
    </w:p>
    <w:p>
      <w:pPr>
        <w:pStyle w:val="Heading4"/>
        <w:keepNext/>
      </w:pPr>
      <w:r>
        <w:t xml:space="preserve">4.1.3 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 Description</w:t>
            </w:r>
          </w:p>
        </w:tc>
        <w:tc>
          <w:tcPr/>
          <w:p>
            <w:pPr>
              <w:pStyle w:val="Compact"/>
              <w:jc w:val="left"/>
            </w:pPr>
            <w:r>
              <w:t xml:space="preserve">Priority</w:t>
            </w:r>
          </w:p>
        </w:tc>
      </w:tr>
      <w:tr>
        <w:tc>
          <w:tcPr/>
          <w:p>
            <w:pPr>
              <w:pStyle w:val="Compact"/>
              <w:jc w:val="left"/>
            </w:pPr>
            <w:r>
              <w:t xml:space="preserve">REQ-4.1-1</w:t>
            </w:r>
          </w:p>
        </w:tc>
        <w:tc>
          <w:tcPr/>
          <w:p>
            <w:pPr>
              <w:pStyle w:val="Compact"/>
              <w:jc w:val="left"/>
            </w:pPr>
            <w:r>
              <w:t xml:space="preserve">The system shall accept an image via drag-drop, file picker, or a bundled sample.</w:t>
            </w:r>
          </w:p>
        </w:tc>
        <w:tc>
          <w:tcPr/>
          <w:p>
            <w:pPr>
              <w:pStyle w:val="Compact"/>
              <w:jc w:val="left"/>
            </w:pPr>
            <w:r>
              <w:t xml:space="preserve">High</w:t>
            </w:r>
          </w:p>
        </w:tc>
      </w:tr>
      <w:tr>
        <w:tc>
          <w:tcPr/>
          <w:p>
            <w:pPr>
              <w:pStyle w:val="Compact"/>
              <w:jc w:val="left"/>
            </w:pPr>
            <w:r>
              <w:t xml:space="preserve">REQ-4.1-2</w:t>
            </w:r>
          </w:p>
        </w:tc>
        <w:tc>
          <w:tcPr/>
          <w:p>
            <w:pPr>
              <w:pStyle w:val="Compact"/>
              <w:jc w:val="left"/>
            </w:pPr>
            <w:r>
              <w:t xml:space="preserve">The system shall accept raster images in PNG (</w:t>
            </w:r>
            <w:r>
              <w:rPr>
                <w:rStyle w:val="VerbatimChar"/>
              </w:rPr>
              <w:t xml:space="preserve">.png</w:t>
            </w:r>
            <w:r>
              <w:t xml:space="preserve">), JPEG (</w:t>
            </w:r>
            <w:r>
              <w:rPr>
                <w:rStyle w:val="VerbatimChar"/>
              </w:rPr>
              <w:t xml:space="preserve">.jpg</w:t>
            </w:r>
            <w:r>
              <w:t xml:space="preserve">,</w:t>
            </w:r>
            <w:r>
              <w:t xml:space="preserve"> </w:t>
            </w:r>
            <w:r>
              <w:rPr>
                <w:rStyle w:val="VerbatimChar"/>
              </w:rPr>
              <w:t xml:space="preserve">.jpeg</w:t>
            </w:r>
            <w:r>
              <w:t xml:space="preserve">), and WebP (</w:t>
            </w:r>
            <w:r>
              <w:rPr>
                <w:rStyle w:val="VerbatimChar"/>
              </w:rPr>
              <w:t xml:space="preserve">.webp</w:t>
            </w:r>
            <w:r>
              <w:t xml:space="preserve">) up to 10 MB, and reject any other type (e.g., SVG, GIF, HEIC, TIFF) with a clear message.</w:t>
            </w:r>
          </w:p>
        </w:tc>
        <w:tc>
          <w:tcPr/>
          <w:p>
            <w:pPr>
              <w:pStyle w:val="Compact"/>
              <w:jc w:val="left"/>
            </w:pPr>
            <w:r>
              <w:t xml:space="preserve">High</w:t>
            </w:r>
          </w:p>
        </w:tc>
      </w:tr>
      <w:tr>
        <w:tc>
          <w:tcPr/>
          <w:p>
            <w:pPr>
              <w:pStyle w:val="Compact"/>
              <w:jc w:val="left"/>
            </w:pPr>
            <w:r>
              <w:t xml:space="preserve">REQ-4.1-3</w:t>
            </w:r>
          </w:p>
        </w:tc>
        <w:tc>
          <w:tcPr/>
          <w:p>
            <w:pPr>
              <w:pStyle w:val="Compact"/>
              <w:jc w:val="left"/>
            </w:pPr>
            <w:r>
              <w:t xml:space="preserve">The system shall display a preview of the uploaded image before processing.</w:t>
            </w:r>
          </w:p>
        </w:tc>
        <w:tc>
          <w:tcPr/>
          <w:p>
            <w:pPr>
              <w:pStyle w:val="Compact"/>
              <w:jc w:val="left"/>
            </w:pPr>
            <w:r>
              <w:t xml:space="preserve">Med</w:t>
            </w:r>
          </w:p>
        </w:tc>
      </w:tr>
      <w:tr>
        <w:tc>
          <w:tcPr/>
          <w:p>
            <w:pPr>
              <w:pStyle w:val="Compact"/>
              <w:jc w:val="left"/>
            </w:pPr>
            <w:r>
              <w:t xml:space="preserve">REQ-4.1-4</w:t>
            </w:r>
          </w:p>
        </w:tc>
        <w:tc>
          <w:tcPr/>
          <w:p>
            <w:pPr>
              <w:pStyle w:val="Compact"/>
              <w:jc w:val="left"/>
            </w:pPr>
            <w:r>
              <w:t xml:space="preserve">The app shall bundle a pool of at least 10 real AI-generated sample images (e.g., DALL·E, Midjourney, Stable Diffusion output), none part of any training data; the samples offered shall be randomly selected from this pool at each start-up, and the interface shall label their origin.</w:t>
            </w:r>
          </w:p>
        </w:tc>
        <w:tc>
          <w:tcPr/>
          <w:p>
            <w:pPr>
              <w:pStyle w:val="Compact"/>
              <w:jc w:val="left"/>
            </w:pPr>
            <w:r>
              <w:t xml:space="preserve">Med</w:t>
            </w:r>
          </w:p>
        </w:tc>
      </w:tr>
    </w:tbl>
    <w:p>
      <w:pPr>
        <w:pStyle w:val="Heading3"/>
      </w:pPr>
      <w:r>
        <w:t xml:space="preserve">4.2 Text Localization and Processing</w:t>
      </w:r>
    </w:p>
    <w:p>
      <w:pPr>
        <w:pStyle w:val="Heading4"/>
      </w:pPr>
      <w:r>
        <w:t xml:space="preserve">4.2.1 Description and Priority</w:t>
      </w:r>
    </w:p>
    <w:p>
      <w:pPr>
        <w:pStyle w:val="FirstParagraph"/>
      </w:pPr>
      <w:r>
        <w:t xml:space="preserve">The backend finds text regions and prepares each crop for matching. Priority:</w:t>
      </w:r>
      <w:r>
        <w:t xml:space="preserve"> </w:t>
      </w:r>
      <w:r>
        <w:rPr>
          <w:b/>
          <w:bCs/>
        </w:rPr>
        <w:t xml:space="preserve">High</w:t>
      </w:r>
      <w:r>
        <w:t xml:space="preserve">.</w:t>
      </w:r>
    </w:p>
    <w:p>
      <w:pPr>
        <w:pStyle w:val="Heading4"/>
      </w:pPr>
      <w:r>
        <w:t xml:space="preserve">4.2.2 Stimulus/Response Sequences</w:t>
      </w:r>
    </w:p>
    <w:p>
      <w:pPr>
        <w:pStyle w:val="FirstParagraph"/>
        <w:keepNext/>
      </w:pPr>
      <w:r>
        <w:rPr>
          <w:rStyle w:val="VerbatimChar"/>
        </w:rPr>
        <w:t xml:space="preserve">/predict</w:t>
      </w:r>
      <w:r>
        <w:t xml:space="preserve"> </w:t>
      </w:r>
      <w:r>
        <w:t xml:space="preserve">receives the image → localizer returns bounding boxes → each crop is preprocessed and embedded → status advances in the Processing zone.</w:t>
      </w:r>
    </w:p>
    <w:p>
      <w:pPr>
        <w:pStyle w:val="Heading4"/>
        <w:keepNext/>
      </w:pPr>
      <w:r>
        <w:t xml:space="preserve">4.2.3 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 Description</w:t>
            </w:r>
          </w:p>
        </w:tc>
        <w:tc>
          <w:tcPr/>
          <w:p>
            <w:pPr>
              <w:pStyle w:val="Compact"/>
              <w:jc w:val="left"/>
            </w:pPr>
            <w:r>
              <w:t xml:space="preserve">Priority</w:t>
            </w:r>
          </w:p>
        </w:tc>
      </w:tr>
      <w:tr>
        <w:tc>
          <w:tcPr/>
          <w:p>
            <w:pPr>
              <w:pStyle w:val="Compact"/>
              <w:jc w:val="left"/>
            </w:pPr>
            <w:r>
              <w:t xml:space="preserve">REQ-4.2-1</w:t>
            </w:r>
          </w:p>
        </w:tc>
        <w:tc>
          <w:tcPr/>
          <w:p>
            <w:pPr>
              <w:pStyle w:val="Compact"/>
              <w:jc w:val="left"/>
            </w:pPr>
            <w:r>
              <w:t xml:space="preserve">The system shall localize text at word granularity (one bounding box per word) and crop each word for independent matching.</w:t>
            </w:r>
          </w:p>
        </w:tc>
        <w:tc>
          <w:tcPr/>
          <w:p>
            <w:pPr>
              <w:pStyle w:val="Compact"/>
              <w:jc w:val="left"/>
            </w:pPr>
            <w:r>
              <w:t xml:space="preserve">High</w:t>
            </w:r>
          </w:p>
        </w:tc>
      </w:tr>
      <w:tr>
        <w:tc>
          <w:tcPr/>
          <w:p>
            <w:pPr>
              <w:pStyle w:val="Compact"/>
              <w:jc w:val="left"/>
            </w:pPr>
            <w:r>
              <w:t xml:space="preserve">REQ-4.2-2</w:t>
            </w:r>
          </w:p>
        </w:tc>
        <w:tc>
          <w:tcPr/>
          <w:p>
            <w:pPr>
              <w:pStyle w:val="Compact"/>
              <w:jc w:val="left"/>
            </w:pPr>
            <w:r>
              <w:t xml:space="preserve">The system shall preprocess each crop (square-pad → 224² → normalize) inside the model forward pass.</w:t>
            </w:r>
          </w:p>
        </w:tc>
        <w:tc>
          <w:tcPr/>
          <w:p>
            <w:pPr>
              <w:pStyle w:val="Compact"/>
              <w:jc w:val="left"/>
            </w:pPr>
            <w:r>
              <w:t xml:space="preserve">High</w:t>
            </w:r>
          </w:p>
        </w:tc>
      </w:tr>
      <w:tr>
        <w:tc>
          <w:tcPr/>
          <w:p>
            <w:pPr>
              <w:pStyle w:val="Compact"/>
              <w:jc w:val="left"/>
            </w:pPr>
            <w:r>
              <w:t xml:space="preserve">REQ-4.2-3</w:t>
            </w:r>
          </w:p>
        </w:tc>
        <w:tc>
          <w:tcPr/>
          <w:p>
            <w:pPr>
              <w:pStyle w:val="Compact"/>
              <w:jc w:val="left"/>
            </w:pPr>
            <w:r>
              <w:t xml:space="preserve">The system shall show processing status/progress and detected-region boxes while inference runs.</w:t>
            </w:r>
          </w:p>
        </w:tc>
        <w:tc>
          <w:tcPr/>
          <w:p>
            <w:pPr>
              <w:pStyle w:val="Compact"/>
              <w:jc w:val="left"/>
            </w:pPr>
            <w:r>
              <w:t xml:space="preserve">Med</w:t>
            </w:r>
          </w:p>
        </w:tc>
      </w:tr>
      <w:tr>
        <w:tc>
          <w:tcPr/>
          <w:p>
            <w:pPr>
              <w:pStyle w:val="Compact"/>
              <w:jc w:val="left"/>
            </w:pPr>
            <w:r>
              <w:t xml:space="preserve">REQ-4.2-4</w:t>
            </w:r>
          </w:p>
        </w:tc>
        <w:tc>
          <w:tcPr/>
          <w:p>
            <w:pPr>
              <w:pStyle w:val="Compact"/>
              <w:jc w:val="left"/>
            </w:pPr>
            <w:r>
              <w:t xml:space="preserve">The system should return an informative error if no text region is found.</w:t>
            </w:r>
          </w:p>
        </w:tc>
        <w:tc>
          <w:tcPr/>
          <w:p>
            <w:pPr>
              <w:pStyle w:val="Compact"/>
              <w:jc w:val="left"/>
            </w:pPr>
            <w:r>
              <w:t xml:space="preserve">Med</w:t>
            </w:r>
          </w:p>
        </w:tc>
      </w:tr>
      <w:tr>
        <w:tc>
          <w:tcPr/>
          <w:p>
            <w:pPr>
              <w:pStyle w:val="Compact"/>
              <w:jc w:val="left"/>
            </w:pPr>
            <w:r>
              <w:t xml:space="preserve">REQ-4.2-5</w:t>
            </w:r>
          </w:p>
        </w:tc>
        <w:tc>
          <w:tcPr/>
          <w:p>
            <w:pPr>
              <w:pStyle w:val="Compact"/>
              <w:jc w:val="left"/>
            </w:pPr>
            <w:r>
              <w:t xml:space="preserve">The system shall check each crop for font homogeneity using the encoder’s patch-level features; a flagged crop shall be split once at the detected boundary and each half matched independently.</w:t>
            </w:r>
          </w:p>
        </w:tc>
        <w:tc>
          <w:tcPr/>
          <w:p>
            <w:pPr>
              <w:pStyle w:val="Compact"/>
              <w:jc w:val="left"/>
            </w:pPr>
            <w:r>
              <w:t xml:space="preserve">High</w:t>
            </w:r>
          </w:p>
        </w:tc>
      </w:tr>
    </w:tbl>
    <w:p>
      <w:pPr>
        <w:pStyle w:val="Heading3"/>
      </w:pPr>
      <w:r>
        <w:t xml:space="preserve">4.3 Font Matching and Top-K Results</w:t>
      </w:r>
    </w:p>
    <w:p>
      <w:pPr>
        <w:pStyle w:val="Heading4"/>
      </w:pPr>
      <w:r>
        <w:t xml:space="preserve">4.3.1 Description and Priority</w:t>
      </w:r>
    </w:p>
    <w:p>
      <w:pPr>
        <w:pStyle w:val="FirstParagraph"/>
      </w:pPr>
      <w:r>
        <w:t xml:space="preserve">For each crop, the system ranks the palette and decides known, unknown, or mixed typography. Priority:</w:t>
      </w:r>
      <w:r>
        <w:t xml:space="preserve"> </w:t>
      </w:r>
      <w:r>
        <w:rPr>
          <w:b/>
          <w:bCs/>
        </w:rPr>
        <w:t xml:space="preserve">High</w:t>
      </w:r>
      <w:r>
        <w:t xml:space="preserve">.</w:t>
      </w:r>
    </w:p>
    <w:p>
      <w:pPr>
        <w:pStyle w:val="Heading4"/>
      </w:pPr>
      <w:r>
        <w:t xml:space="preserve">4.3.2 Stimulus/Response Sequences</w:t>
      </w:r>
    </w:p>
    <w:p>
      <w:pPr>
        <w:pStyle w:val="FirstParagraph"/>
        <w:keepNext/>
      </w:pPr>
      <w:r>
        <w:t xml:space="preserve">Embedding is compared to the palette → if best similarity ≥ τ, return the ranked Top-K; else mark the crop out-of-palette.</w:t>
      </w:r>
    </w:p>
    <w:p>
      <w:pPr>
        <w:pStyle w:val="Heading4"/>
        <w:keepNext/>
      </w:pPr>
      <w:r>
        <w:t xml:space="preserve">4.3.3 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 Description</w:t>
            </w:r>
          </w:p>
        </w:tc>
        <w:tc>
          <w:tcPr/>
          <w:p>
            <w:pPr>
              <w:pStyle w:val="Compact"/>
              <w:jc w:val="left"/>
            </w:pPr>
            <w:r>
              <w:t xml:space="preserve">Priority</w:t>
            </w:r>
          </w:p>
        </w:tc>
      </w:tr>
      <w:tr>
        <w:tc>
          <w:tcPr/>
          <w:p>
            <w:pPr>
              <w:pStyle w:val="Compact"/>
              <w:jc w:val="left"/>
            </w:pPr>
            <w:r>
              <w:t xml:space="preserve">REQ-4.3-1</w:t>
            </w:r>
          </w:p>
        </w:tc>
        <w:tc>
          <w:tcPr/>
          <w:p>
            <w:pPr>
              <w:pStyle w:val="Compact"/>
              <w:jc w:val="left"/>
            </w:pPr>
            <w:r>
              <w:t xml:space="preserve">The system shall return a Top-K (K = 3) ranked shortlist of Google Fonts per crop, each with a similarity score.</w:t>
            </w:r>
          </w:p>
        </w:tc>
        <w:tc>
          <w:tcPr/>
          <w:p>
            <w:pPr>
              <w:pStyle w:val="Compact"/>
              <w:jc w:val="left"/>
            </w:pPr>
            <w:r>
              <w:t xml:space="preserve">High</w:t>
            </w:r>
          </w:p>
        </w:tc>
      </w:tr>
      <w:tr>
        <w:tc>
          <w:tcPr/>
          <w:p>
            <w:pPr>
              <w:pStyle w:val="Compact"/>
              <w:jc w:val="left"/>
            </w:pPr>
            <w:r>
              <w:t xml:space="preserve">REQ-4.3-2</w:t>
            </w:r>
          </w:p>
        </w:tc>
        <w:tc>
          <w:tcPr/>
          <w:p>
            <w:pPr>
              <w:pStyle w:val="Compact"/>
              <w:jc w:val="left"/>
            </w:pPr>
            <w:r>
              <w:t xml:space="preserve">The system shall reject a crop as</w:t>
            </w:r>
            <w:r>
              <w:t xml:space="preserve"> </w:t>
            </w:r>
            <w:r>
              <w:t xml:space="preserve">“unknown / out-of-palette”</w:t>
            </w:r>
            <w:r>
              <w:t xml:space="preserve"> </w:t>
            </w:r>
            <w:r>
              <w:t xml:space="preserve">when its best similarity falls below threshold τ (open-set).</w:t>
            </w:r>
          </w:p>
        </w:tc>
        <w:tc>
          <w:tcPr/>
          <w:p>
            <w:pPr>
              <w:pStyle w:val="Compact"/>
              <w:jc w:val="left"/>
            </w:pPr>
            <w:r>
              <w:t xml:space="preserve">High</w:t>
            </w:r>
          </w:p>
        </w:tc>
      </w:tr>
      <w:tr>
        <w:tc>
          <w:tcPr/>
          <w:p>
            <w:pPr>
              <w:pStyle w:val="Compact"/>
              <w:jc w:val="left"/>
            </w:pPr>
            <w:r>
              <w:t xml:space="preserve">REQ-4.3-3</w:t>
            </w:r>
          </w:p>
        </w:tc>
        <w:tc>
          <w:tcPr/>
          <w:p>
            <w:pPr>
              <w:pStyle w:val="Compact"/>
              <w:jc w:val="left"/>
            </w:pPr>
            <w:r>
              <w:t xml:space="preserve">The system shall present each result as its own card in a carousel with previous/next navigation and a region indicator (e.g.,</w:t>
            </w:r>
            <w:r>
              <w:t xml:space="preserve"> </w:t>
            </w:r>
            <w:r>
              <w:t xml:space="preserve">“Region 1 of 2”</w:t>
            </w:r>
            <w:r>
              <w:t xml:space="preserve">), each card labeled KNOWN, UNKNOWN, or MIXED.</w:t>
            </w:r>
          </w:p>
        </w:tc>
        <w:tc>
          <w:tcPr/>
          <w:p>
            <w:pPr>
              <w:pStyle w:val="Compact"/>
              <w:jc w:val="left"/>
            </w:pPr>
            <w:r>
              <w:t xml:space="preserve">High</w:t>
            </w:r>
          </w:p>
        </w:tc>
      </w:tr>
      <w:tr>
        <w:tc>
          <w:tcPr/>
          <w:p>
            <w:pPr>
              <w:pStyle w:val="Compact"/>
              <w:jc w:val="left"/>
            </w:pPr>
            <w:r>
              <w:t xml:space="preserve">REQ-4.3-4</w:t>
            </w:r>
          </w:p>
        </w:tc>
        <w:tc>
          <w:tcPr/>
          <w:p>
            <w:pPr>
              <w:pStyle w:val="Compact"/>
              <w:jc w:val="left"/>
            </w:pPr>
            <w:r>
              <w:t xml:space="preserve">The system should report a typographic-distance (SSIM) score between the crop and the top match.</w:t>
            </w:r>
          </w:p>
        </w:tc>
        <w:tc>
          <w:tcPr/>
          <w:p>
            <w:pPr>
              <w:pStyle w:val="Compact"/>
              <w:jc w:val="left"/>
            </w:pPr>
            <w:r>
              <w:t xml:space="preserve">Low</w:t>
            </w:r>
          </w:p>
        </w:tc>
      </w:tr>
      <w:tr>
        <w:tc>
          <w:tcPr/>
          <w:p>
            <w:pPr>
              <w:pStyle w:val="Compact"/>
              <w:jc w:val="left"/>
            </w:pPr>
            <w:r>
              <w:t xml:space="preserve">REQ-4.3-5</w:t>
            </w:r>
          </w:p>
        </w:tc>
        <w:tc>
          <w:tcPr/>
          <w:p>
            <w:pPr>
              <w:pStyle w:val="Compact"/>
              <w:jc w:val="left"/>
            </w:pPr>
            <w:r>
              <w:t xml:space="preserve">The backend should log each crop’s similarity scores and its threshold (τ) decision for researcher analysis; these diagnostics are not shown in the user interface.</w:t>
            </w:r>
          </w:p>
        </w:tc>
        <w:tc>
          <w:tcPr/>
          <w:p>
            <w:pPr>
              <w:pStyle w:val="Compact"/>
              <w:jc w:val="left"/>
            </w:pPr>
            <w:r>
              <w:t xml:space="preserve">Low</w:t>
            </w:r>
          </w:p>
        </w:tc>
      </w:tr>
      <w:tr>
        <w:tc>
          <w:tcPr/>
          <w:p>
            <w:pPr>
              <w:pStyle w:val="Compact"/>
              <w:jc w:val="left"/>
            </w:pPr>
            <w:r>
              <w:t xml:space="preserve">REQ-4.3-6</w:t>
            </w:r>
          </w:p>
        </w:tc>
        <w:tc>
          <w:tcPr/>
          <w:p>
            <w:pPr>
              <w:pStyle w:val="Compact"/>
              <w:jc w:val="left"/>
            </w:pPr>
            <w:r>
              <w:t xml:space="preserve">The system shall report a crop that remains font-inhomogeneous after one split as</w:t>
            </w:r>
            <w:r>
              <w:t xml:space="preserve"> </w:t>
            </w:r>
            <w:r>
              <w:t xml:space="preserve">“mixed typography”</w:t>
            </w:r>
            <w:r>
              <w:t xml:space="preserve"> </w:t>
            </w:r>
            <w:r>
              <w:t xml:space="preserve">rather than assigning a single font, and shall merge adjacent word crops that share the same verdict into one region card.</w:t>
            </w:r>
          </w:p>
        </w:tc>
        <w:tc>
          <w:tcPr/>
          <w:p>
            <w:pPr>
              <w:pStyle w:val="Compact"/>
              <w:jc w:val="left"/>
            </w:pPr>
            <w:r>
              <w:t xml:space="preserve">High</w:t>
            </w:r>
          </w:p>
        </w:tc>
      </w:tr>
    </w:tbl>
    <w:p>
      <w:pPr>
        <w:pStyle w:val="Heading3"/>
      </w:pPr>
      <w:r>
        <w:t xml:space="preserve">4.4 Font Preview</w:t>
      </w:r>
    </w:p>
    <w:p>
      <w:pPr>
        <w:pStyle w:val="Heading4"/>
      </w:pPr>
      <w:r>
        <w:t xml:space="preserve">4.4.1 Description and Priority</w:t>
      </w:r>
    </w:p>
    <w:p>
      <w:pPr>
        <w:pStyle w:val="FirstParagraph"/>
      </w:pPr>
      <w:r>
        <w:t xml:space="preserve">The user visually confirms a match against live-rendered candidates. Priority:</w:t>
      </w:r>
      <w:r>
        <w:t xml:space="preserve"> </w:t>
      </w:r>
      <w:r>
        <w:rPr>
          <w:b/>
          <w:bCs/>
        </w:rPr>
        <w:t xml:space="preserve">Med</w:t>
      </w:r>
      <w:r>
        <w:t xml:space="preserve">.</w:t>
      </w:r>
    </w:p>
    <w:p>
      <w:pPr>
        <w:pStyle w:val="Heading4"/>
      </w:pPr>
      <w:r>
        <w:t xml:space="preserve">4.4.2 Stimulus/Response Sequences</w:t>
      </w:r>
    </w:p>
    <w:p>
      <w:pPr>
        <w:pStyle w:val="FirstParagraph"/>
        <w:keepNext/>
      </w:pPr>
      <w:r>
        <w:t xml:space="preserve">For each candidate font, the app renders the detected text string in that font beside the crop.</w:t>
      </w:r>
    </w:p>
    <w:p>
      <w:pPr>
        <w:pStyle w:val="Heading4"/>
        <w:keepNext/>
      </w:pPr>
      <w:r>
        <w:t xml:space="preserve">4.4.3 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 Description</w:t>
            </w:r>
          </w:p>
        </w:tc>
        <w:tc>
          <w:tcPr/>
          <w:p>
            <w:pPr>
              <w:pStyle w:val="Compact"/>
              <w:jc w:val="left"/>
            </w:pPr>
            <w:r>
              <w:t xml:space="preserve">Priority</w:t>
            </w:r>
          </w:p>
        </w:tc>
      </w:tr>
      <w:tr>
        <w:tc>
          <w:tcPr/>
          <w:p>
            <w:pPr>
              <w:pStyle w:val="Compact"/>
              <w:jc w:val="left"/>
            </w:pPr>
            <w:r>
              <w:t xml:space="preserve">REQ-4.4-1</w:t>
            </w:r>
          </w:p>
        </w:tc>
        <w:tc>
          <w:tcPr/>
          <w:p>
            <w:pPr>
              <w:pStyle w:val="Compact"/>
              <w:jc w:val="left"/>
            </w:pPr>
            <w:r>
              <w:t xml:space="preserve">The system shall render each shortlisted font as a live preview of the detected text.</w:t>
            </w:r>
          </w:p>
        </w:tc>
        <w:tc>
          <w:tcPr/>
          <w:p>
            <w:pPr>
              <w:pStyle w:val="Compact"/>
              <w:jc w:val="left"/>
            </w:pPr>
            <w:r>
              <w:t xml:space="preserve">Med</w:t>
            </w:r>
          </w:p>
        </w:tc>
      </w:tr>
      <w:tr>
        <w:tc>
          <w:tcPr/>
          <w:p>
            <w:pPr>
              <w:pStyle w:val="Compact"/>
              <w:jc w:val="left"/>
            </w:pPr>
            <w:r>
              <w:t xml:space="preserve">REQ-4.4-2</w:t>
            </w:r>
          </w:p>
        </w:tc>
        <w:tc>
          <w:tcPr/>
          <w:p>
            <w:pPr>
              <w:pStyle w:val="Compact"/>
              <w:jc w:val="left"/>
            </w:pPr>
            <w:r>
              <w:t xml:space="preserve">The system should let the user copy a candidate font’s name for reuse.</w:t>
            </w:r>
          </w:p>
        </w:tc>
        <w:tc>
          <w:tcPr/>
          <w:p>
            <w:pPr>
              <w:pStyle w:val="Compact"/>
              <w:jc w:val="left"/>
            </w:pPr>
            <w:r>
              <w:t xml:space="preserve">Low</w:t>
            </w:r>
          </w:p>
        </w:tc>
      </w:tr>
    </w:tbl>
    <w:p>
      <w:pPr>
        <w:pStyle w:val="Heading2"/>
        <w:keepNext/>
      </w:pPr>
      <w:r>
        <w:t xml:space="preserve">5. Other Nonfunctional Requirements</w:t>
      </w:r>
    </w:p>
    <w:p>
      <w:pPr>
        <w:pStyle w:val="Heading3"/>
        <w:keepNext/>
      </w:pPr>
      <w:r>
        <w:t xml:space="preserve">5.1 Performance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 Description</w:t>
            </w:r>
          </w:p>
        </w:tc>
        <w:tc>
          <w:tcPr/>
          <w:p>
            <w:pPr>
              <w:pStyle w:val="Compact"/>
              <w:jc w:val="left"/>
            </w:pPr>
            <w:r>
              <w:t xml:space="preserve">Priority</w:t>
            </w:r>
          </w:p>
        </w:tc>
      </w:tr>
      <w:tr>
        <w:tc>
          <w:tcPr/>
          <w:p>
            <w:pPr>
              <w:pStyle w:val="Compact"/>
              <w:jc w:val="left"/>
            </w:pPr>
            <w:r>
              <w:t xml:space="preserve">REQ-5.1-1</w:t>
            </w:r>
          </w:p>
        </w:tc>
        <w:tc>
          <w:tcPr/>
          <w:p>
            <w:pPr>
              <w:pStyle w:val="Compact"/>
              <w:jc w:val="left"/>
            </w:pPr>
            <w:r>
              <w:t xml:space="preserve">The system shall return results for a single-image, ≤5-region upload within ~10 s on the demo laptop (CPU acceptable).</w:t>
            </w:r>
          </w:p>
        </w:tc>
        <w:tc>
          <w:tcPr/>
          <w:p>
            <w:pPr>
              <w:pStyle w:val="Compact"/>
              <w:jc w:val="left"/>
            </w:pPr>
            <w:r>
              <w:t xml:space="preserve">High</w:t>
            </w:r>
          </w:p>
        </w:tc>
      </w:tr>
      <w:tr>
        <w:tc>
          <w:tcPr/>
          <w:p>
            <w:pPr>
              <w:pStyle w:val="Compact"/>
              <w:jc w:val="left"/>
            </w:pPr>
            <w:r>
              <w:t xml:space="preserve">REQ-5.1-2</w:t>
            </w:r>
          </w:p>
        </w:tc>
        <w:tc>
          <w:tcPr/>
          <w:p>
            <w:pPr>
              <w:pStyle w:val="Compact"/>
              <w:jc w:val="left"/>
            </w:pPr>
            <w:r>
              <w:t xml:space="preserve">Model weights shall load once at startup, not per request.</w:t>
            </w:r>
          </w:p>
        </w:tc>
        <w:tc>
          <w:tcPr/>
          <w:p>
            <w:pPr>
              <w:pStyle w:val="Compact"/>
              <w:jc w:val="left"/>
            </w:pPr>
            <w:r>
              <w:t xml:space="preserve">High</w:t>
            </w:r>
          </w:p>
        </w:tc>
      </w:tr>
    </w:tbl>
    <w:p>
      <w:pPr>
        <w:pStyle w:val="Heading3"/>
        <w:keepNext/>
      </w:pPr>
      <w:r>
        <w:t xml:space="preserve">5.2 Safety Requirements</w:t>
      </w:r>
    </w:p>
    <w:p>
      <w:pPr>
        <w:pStyle w:val="FirstParagraph"/>
        <w:keepNext/>
      </w:pPr>
      <w:r>
        <w:t xml:space="preserve">The system controls no physical process, so no physical-safety hazards exist. Against data loss: uploaded images are processed in memory and never written to disk, so a crash can lose at most the in-flight request; model weights and font assets are read-only at runtime.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 Description</w:t>
            </w:r>
          </w:p>
        </w:tc>
        <w:tc>
          <w:tcPr/>
          <w:p>
            <w:pPr>
              <w:pStyle w:val="Compact"/>
              <w:jc w:val="left"/>
            </w:pPr>
            <w:r>
              <w:t xml:space="preserve">Priority</w:t>
            </w:r>
          </w:p>
        </w:tc>
      </w:tr>
      <w:tr>
        <w:tc>
          <w:tcPr/>
          <w:p>
            <w:pPr>
              <w:pStyle w:val="Compact"/>
              <w:jc w:val="left"/>
            </w:pPr>
            <w:r>
              <w:t xml:space="preserve">REQ-5.2-1</w:t>
            </w:r>
          </w:p>
        </w:tc>
        <w:tc>
          <w:tcPr/>
          <w:p>
            <w:pPr>
              <w:pStyle w:val="Compact"/>
              <w:jc w:val="left"/>
            </w:pPr>
            <w:r>
              <w:t xml:space="preserve">The system shall open model weights and font assets read-only at runtime, so a failed request cannot corrupt them.</w:t>
            </w:r>
          </w:p>
        </w:tc>
        <w:tc>
          <w:tcPr/>
          <w:p>
            <w:pPr>
              <w:pStyle w:val="Compact"/>
              <w:jc w:val="left"/>
            </w:pPr>
            <w:r>
              <w:t xml:space="preserve">Med</w:t>
            </w:r>
          </w:p>
        </w:tc>
      </w:tr>
    </w:tbl>
    <w:p>
      <w:pPr>
        <w:pStyle w:val="Heading3"/>
        <w:keepNext/>
      </w:pPr>
      <w:r>
        <w:t xml:space="preserve">5.3 Security Requirements</w:t>
      </w:r>
    </w:p>
    <w:p>
      <w:pPr>
        <w:pStyle w:val="FirstParagraph"/>
        <w:keepNext/>
      </w:pPr>
      <w:r>
        <w:t xml:space="preserve">As a single-user local demo the app has no authentication and no persistence; no personal data is collected, so no retention obligations arise under data-privacy regulation.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 Description</w:t>
            </w:r>
          </w:p>
        </w:tc>
        <w:tc>
          <w:tcPr/>
          <w:p>
            <w:pPr>
              <w:pStyle w:val="Compact"/>
              <w:jc w:val="left"/>
            </w:pPr>
            <w:r>
              <w:t xml:space="preserve">Priority</w:t>
            </w:r>
          </w:p>
        </w:tc>
      </w:tr>
      <w:tr>
        <w:tc>
          <w:tcPr/>
          <w:p>
            <w:pPr>
              <w:pStyle w:val="Compact"/>
              <w:jc w:val="left"/>
            </w:pPr>
            <w:r>
              <w:t xml:space="preserve">REQ-5.3-1</w:t>
            </w:r>
          </w:p>
        </w:tc>
        <w:tc>
          <w:tcPr/>
          <w:p>
            <w:pPr>
              <w:pStyle w:val="Compact"/>
              <w:jc w:val="left"/>
            </w:pPr>
            <w:r>
              <w:t xml:space="preserve">The system shall process uploads in memory and discard them when the request completes; no upload shall be stored beyond the request lifetime.</w:t>
            </w:r>
          </w:p>
        </w:tc>
        <w:tc>
          <w:tcPr/>
          <w:p>
            <w:pPr>
              <w:pStyle w:val="Compact"/>
              <w:jc w:val="left"/>
            </w:pPr>
            <w:r>
              <w:t xml:space="preserve">High</w:t>
            </w:r>
          </w:p>
        </w:tc>
      </w:tr>
      <w:tr>
        <w:tc>
          <w:tcPr/>
          <w:p>
            <w:pPr>
              <w:pStyle w:val="Compact"/>
              <w:jc w:val="left"/>
            </w:pPr>
            <w:r>
              <w:t xml:space="preserve">REQ-5.3-2</w:t>
            </w:r>
          </w:p>
        </w:tc>
        <w:tc>
          <w:tcPr/>
          <w:p>
            <w:pPr>
              <w:pStyle w:val="Compact"/>
              <w:jc w:val="left"/>
            </w:pPr>
            <w:r>
              <w:t xml:space="preserve">The server shall bind only to the</w:t>
            </w:r>
            <w:r>
              <w:t xml:space="preserve"> </w:t>
            </w:r>
            <w:r>
              <w:rPr>
                <w:rStyle w:val="VerbatimChar"/>
              </w:rPr>
              <w:t xml:space="preserve">localhost</w:t>
            </w:r>
            <w:r>
              <w:t xml:space="preserve"> </w:t>
            </w:r>
            <w:r>
              <w:t xml:space="preserve">interface and accept no remote connections.</w:t>
            </w:r>
          </w:p>
        </w:tc>
        <w:tc>
          <w:tcPr/>
          <w:p>
            <w:pPr>
              <w:pStyle w:val="Compact"/>
              <w:keepNext/>
              <w:jc w:val="left"/>
            </w:pPr>
            <w:r>
              <w:t xml:space="preserve">Med</w:t>
            </w:r>
          </w:p>
        </w:tc>
      </w:tr>
    </w:tbl>
    <w:p>
      <w:pPr>
        <w:pStyle w:val="Heading3"/>
        <w:keepNext/>
      </w:pPr>
      <w:r>
        <w:t xml:space="preserve">5.4 Software Quality Attributes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 Description</w:t>
            </w:r>
          </w:p>
        </w:tc>
        <w:tc>
          <w:tcPr/>
          <w:p>
            <w:pPr>
              <w:pStyle w:val="Compact"/>
              <w:jc w:val="left"/>
            </w:pPr>
            <w:r>
              <w:t xml:space="preserve">Priority</w:t>
            </w:r>
          </w:p>
        </w:tc>
      </w:tr>
      <w:tr>
        <w:tc>
          <w:tcPr/>
          <w:p>
            <w:pPr>
              <w:pStyle w:val="Compact"/>
              <w:jc w:val="left"/>
            </w:pPr>
            <w:r>
              <w:t xml:space="preserve">REQ-5.4-1</w:t>
            </w:r>
          </w:p>
        </w:tc>
        <w:tc>
          <w:tcPr/>
          <w:p>
            <w:pPr>
              <w:pStyle w:val="Compact"/>
              <w:jc w:val="left"/>
            </w:pPr>
            <w:r>
              <w:t xml:space="preserve">Usability: a first-time user shall complete upload → results without instructions, in one page with no navigation.</w:t>
            </w:r>
          </w:p>
        </w:tc>
        <w:tc>
          <w:tcPr/>
          <w:p>
            <w:pPr>
              <w:pStyle w:val="Compact"/>
              <w:jc w:val="left"/>
            </w:pPr>
            <w:r>
              <w:t xml:space="preserve">High</w:t>
            </w:r>
          </w:p>
        </w:tc>
      </w:tr>
      <w:tr>
        <w:tc>
          <w:tcPr/>
          <w:p>
            <w:pPr>
              <w:pStyle w:val="Compact"/>
              <w:jc w:val="left"/>
            </w:pPr>
            <w:r>
              <w:t xml:space="preserve">REQ-5.4-2</w:t>
            </w:r>
          </w:p>
        </w:tc>
        <w:tc>
          <w:tcPr/>
          <w:p>
            <w:pPr>
              <w:pStyle w:val="Compact"/>
              <w:jc w:val="left"/>
            </w:pPr>
            <w:r>
              <w:t xml:space="preserve">Usability: scores and known/unknown status shall be visible without interaction.</w:t>
            </w:r>
          </w:p>
        </w:tc>
        <w:tc>
          <w:tcPr/>
          <w:p>
            <w:pPr>
              <w:pStyle w:val="Compact"/>
              <w:jc w:val="left"/>
            </w:pPr>
            <w:r>
              <w:t xml:space="preserve">Med</w:t>
            </w:r>
          </w:p>
        </w:tc>
      </w:tr>
      <w:tr>
        <w:tc>
          <w:tcPr/>
          <w:p>
            <w:pPr>
              <w:pStyle w:val="Compact"/>
              <w:jc w:val="left"/>
            </w:pPr>
            <w:r>
              <w:t xml:space="preserve">REQ-5.4-3</w:t>
            </w:r>
          </w:p>
        </w:tc>
        <w:tc>
          <w:tcPr/>
          <w:p>
            <w:pPr>
              <w:pStyle w:val="Compact"/>
              <w:jc w:val="left"/>
            </w:pPr>
            <w:r>
              <w:t xml:space="preserve">Reliability: the system shall handle an unreadable/oversized/textless upload without crashing, returning a clear message.</w:t>
            </w:r>
          </w:p>
        </w:tc>
        <w:tc>
          <w:tcPr/>
          <w:p>
            <w:pPr>
              <w:pStyle w:val="Compact"/>
              <w:jc w:val="left"/>
            </w:pPr>
            <w:r>
              <w:t xml:space="preserve">High</w:t>
            </w:r>
          </w:p>
        </w:tc>
      </w:tr>
      <w:tr>
        <w:tc>
          <w:tcPr/>
          <w:p>
            <w:pPr>
              <w:pStyle w:val="Compact"/>
              <w:jc w:val="left"/>
            </w:pPr>
            <w:r>
              <w:t xml:space="preserve">REQ-5.4-4</w:t>
            </w:r>
          </w:p>
        </w:tc>
        <w:tc>
          <w:tcPr/>
          <w:p>
            <w:pPr>
              <w:pStyle w:val="Compact"/>
              <w:jc w:val="left"/>
            </w:pPr>
            <w:r>
              <w:t xml:space="preserve">Portability: the system shall run from a single Docker image on a clean machine with no manual dependency setup.</w:t>
            </w:r>
          </w:p>
        </w:tc>
        <w:tc>
          <w:tcPr/>
          <w:p>
            <w:pPr>
              <w:pStyle w:val="Compact"/>
              <w:jc w:val="left"/>
            </w:pPr>
            <w:r>
              <w:t xml:space="preserve">Med</w:t>
            </w:r>
          </w:p>
        </w:tc>
      </w:tr>
    </w:tbl>
    <w:p>
      <w:pPr>
        <w:pStyle w:val="Heading3"/>
      </w:pPr>
      <w:r>
        <w:t xml:space="preserve">5.5 Business Rules</w:t>
      </w:r>
    </w:p>
    <w:p>
      <w:pPr>
        <w:pStyle w:val="Compact"/>
        <w:numPr>
          <w:ilvl w:val="0"/>
          <w:numId w:val="1015"/>
        </w:numPr>
      </w:pPr>
      <w:r>
        <w:t xml:space="preserve">Only fonts from the open-source Google Fonts palette may be named in a result; the system never identifies or recommends a commercial font.</w:t>
      </w:r>
    </w:p>
    <w:p>
      <w:pPr>
        <w:pStyle w:val="Compact"/>
        <w:numPr>
          <w:ilvl w:val="0"/>
          <w:numId w:val="1015"/>
        </w:numPr>
      </w:pPr>
      <w:r>
        <w:t xml:space="preserve">A crop whose best similarity falls below τ must be reported as unknown; the system never forces a closed-set label onto an out-of-palette crop.</w:t>
      </w:r>
    </w:p>
    <w:p>
      <w:pPr>
        <w:pStyle w:val="Compact"/>
        <w:numPr>
          <w:ilvl w:val="0"/>
          <w:numId w:val="1015"/>
        </w:numPr>
      </w:pPr>
      <w:r>
        <w:t xml:space="preserve">Bundled sample images must come from real generative-AI output and must never overlap any training data.</w:t>
      </w:r>
    </w:p>
    <w:p>
      <w:pPr>
        <w:pStyle w:val="Heading2"/>
      </w:pPr>
      <w:r>
        <w:t xml:space="preserve">6. Other Requirements</w:t>
      </w:r>
    </w:p>
    <w:p>
      <w:pPr>
        <w:pStyle w:val="Compact"/>
        <w:numPr>
          <w:ilvl w:val="0"/>
          <w:numId w:val="1016"/>
        </w:numPr>
      </w:pPr>
      <w:r>
        <w:rPr>
          <w:b/>
          <w:bCs/>
        </w:rPr>
        <w:t xml:space="preserve">Licensing:</w:t>
      </w:r>
      <w:r>
        <w:t xml:space="preserve"> </w:t>
      </w:r>
      <w:r>
        <w:t xml:space="preserve">every runtime component and font asset is open-source; the system shall carry no mandatory license or subscription cost.</w:t>
      </w:r>
    </w:p>
    <w:p>
      <w:pPr>
        <w:pStyle w:val="Compact"/>
        <w:numPr>
          <w:ilvl w:val="0"/>
          <w:numId w:val="1016"/>
        </w:numPr>
      </w:pPr>
      <w:r>
        <w:rPr>
          <w:b/>
          <w:bCs/>
        </w:rPr>
        <w:t xml:space="preserve">Data retention:</w:t>
      </w:r>
      <w:r>
        <w:t xml:space="preserve"> </w:t>
      </w:r>
      <w:r>
        <w:t xml:space="preserve">none — the system stores no user data (see REQ-5.3-1).</w:t>
      </w:r>
    </w:p>
    <w:p>
      <w:pPr>
        <w:pStyle w:val="Compact"/>
        <w:keepNext/>
        <w:numPr>
          <w:ilvl w:val="0"/>
          <w:numId w:val="1016"/>
        </w:numPr>
      </w:pPr>
      <w:r>
        <w:rPr>
          <w:b/>
          <w:bCs/>
        </w:rPr>
        <w:t xml:space="preserve">Internationalization:</w:t>
      </w:r>
      <w:r>
        <w:t xml:space="preserve"> </w:t>
      </w:r>
      <w:r>
        <w:t xml:space="preserve">the interface is English-only; the recognition palette is limited to Latin-script fonts, matching the thesis scope.</w:t>
      </w:r>
    </w:p>
    <w:p>
      <w:pPr>
        <w:pStyle w:val="Heading2"/>
        <w:keepNext/>
      </w:pPr>
      <w:r>
        <w:t xml:space="preserve">Appendix A: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Typographic hallucination</w:t>
            </w:r>
          </w:p>
        </w:tc>
        <w:tc>
          <w:tcPr/>
          <w:p>
            <w:pPr>
              <w:pStyle w:val="Compact"/>
              <w:jc w:val="left"/>
            </w:pPr>
            <w:r>
              <w:t xml:space="preserve">Probabilistic glyph deformation (warping, kerning jitter, smear) that GenAI introduces into rendered text.</w:t>
            </w:r>
          </w:p>
        </w:tc>
      </w:tr>
      <w:tr>
        <w:tc>
          <w:tcPr/>
          <w:p>
            <w:pPr>
              <w:pStyle w:val="Compact"/>
              <w:jc w:val="left"/>
            </w:pPr>
            <w:r>
              <w:t xml:space="preserve">Palette</w:t>
            </w:r>
          </w:p>
        </w:tc>
        <w:tc>
          <w:tcPr/>
          <w:p>
            <w:pPr>
              <w:pStyle w:val="Compact"/>
              <w:jc w:val="left"/>
            </w:pPr>
            <w:r>
              <w:t xml:space="preserve">The curated closed set of 50–100 known Google Fonts the model can name.</w:t>
            </w:r>
          </w:p>
        </w:tc>
      </w:tr>
      <w:tr>
        <w:tc>
          <w:tcPr/>
          <w:p>
            <w:pPr>
              <w:pStyle w:val="Compact"/>
              <w:jc w:val="left"/>
            </w:pPr>
            <w:r>
              <w:t xml:space="preserve">Open-set / reject</w:t>
            </w:r>
          </w:p>
        </w:tc>
        <w:tc>
          <w:tcPr/>
          <w:p>
            <w:pPr>
              <w:pStyle w:val="Compact"/>
              <w:jc w:val="left"/>
            </w:pPr>
            <w:r>
              <w:t xml:space="preserve">Returning</w:t>
            </w:r>
            <w:r>
              <w:t xml:space="preserve"> </w:t>
            </w:r>
            <w:r>
              <w:t xml:space="preserve">“unknown”</w:t>
            </w:r>
            <w:r>
              <w:t xml:space="preserve"> </w:t>
            </w:r>
            <w:r>
              <w:t xml:space="preserve">when a crop’s best match falls below threshold</w:t>
            </w:r>
            <w:r>
              <w:t xml:space="preserve"> </w:t>
            </w:r>
            <w:r>
              <w:rPr>
                <w:b/>
                <w:bCs/>
              </w:rPr>
              <w:t xml:space="preserve">τ</w:t>
            </w:r>
            <w:r>
              <w:t xml:space="preserve">, instead of forcing a wrong label.</w:t>
            </w:r>
          </w:p>
        </w:tc>
      </w:tr>
      <w:tr>
        <w:tc>
          <w:tcPr/>
          <w:p>
            <w:pPr>
              <w:pStyle w:val="Compact"/>
              <w:jc w:val="left"/>
            </w:pPr>
            <w:r>
              <w:t xml:space="preserve">Mixed typography</w:t>
            </w:r>
          </w:p>
        </w:tc>
        <w:tc>
          <w:tcPr/>
          <w:p>
            <w:pPr>
              <w:pStyle w:val="Compact"/>
              <w:jc w:val="left"/>
            </w:pPr>
            <w:r>
              <w:t xml:space="preserve">Verdict for a crop whose patch-level features indicate more than one typeface and that stays inhomogeneous after one split; no single font is assigned.</w:t>
            </w:r>
          </w:p>
        </w:tc>
      </w:tr>
      <w:tr>
        <w:tc>
          <w:tcPr/>
          <w:p>
            <w:pPr>
              <w:pStyle w:val="Compact"/>
              <w:jc w:val="left"/>
            </w:pPr>
            <w:r>
              <w:t xml:space="preserve">Top-K</w:t>
            </w:r>
          </w:p>
        </w:tc>
        <w:tc>
          <w:tcPr/>
          <w:p>
            <w:pPr>
              <w:pStyle w:val="Compact"/>
              <w:jc w:val="left"/>
            </w:pPr>
            <w:r>
              <w:t xml:space="preserve">The K highest-ranked font candidates for one text crop (K = 3 in the demo).</w:t>
            </w:r>
          </w:p>
        </w:tc>
      </w:tr>
      <w:tr>
        <w:tc>
          <w:tcPr/>
          <w:p>
            <w:pPr>
              <w:pStyle w:val="Compact"/>
              <w:jc w:val="left"/>
            </w:pPr>
            <w:r>
              <w:t xml:space="preserve">Embedding</w:t>
            </w:r>
          </w:p>
        </w:tc>
        <w:tc>
          <w:tcPr/>
          <w:p>
            <w:pPr>
              <w:pStyle w:val="Compact"/>
              <w:jc w:val="left"/>
            </w:pPr>
            <w:r>
              <w:t xml:space="preserve">The fixed-length style vector produced by the DINOv2 encoder + metric head.</w:t>
            </w:r>
          </w:p>
        </w:tc>
      </w:tr>
      <w:tr>
        <w:tc>
          <w:tcPr/>
          <w:p>
            <w:pPr>
              <w:pStyle w:val="Compact"/>
              <w:jc w:val="left"/>
            </w:pPr>
            <w:r>
              <w:t xml:space="preserve">SSIM</w:t>
            </w:r>
          </w:p>
        </w:tc>
        <w:tc>
          <w:tcPr/>
          <w:p>
            <w:pPr>
              <w:pStyle w:val="Compact"/>
              <w:jc w:val="left"/>
            </w:pPr>
            <w:r>
              <w:t xml:space="preserve">Structural Similarity Index — re-render score between the input crop and the predicted font.</w:t>
            </w:r>
          </w:p>
        </w:tc>
      </w:tr>
    </w:tbl>
    <w:p>
      <w:pPr>
        <w:pStyle w:val="Heading2"/>
      </w:pPr>
      <w:r>
        <w:t xml:space="preserve">Appendix B: Analysis Models</w:t>
      </w:r>
    </w:p>
    <w:p>
      <w:pPr>
        <w:pStyle w:val="FirstParagraph"/>
      </w:pPr>
      <w:r>
        <w:t xml:space="preserve">The analysis models for this system live in Chapter 4 and are not duplicated here: the conceptual framework (Fig 8, §4.4.2) models the offline-training versus at-use data flow, the system-architecture diagram (Fig 9, §4.5.2) models the layered client-server structure, and the iterative-incremental SDLC model (Fig 10, §4.6) models the build sequence.</w:t>
      </w:r>
    </w:p>
    <w:p>
      <w:pPr>
        <w:pStyle w:val="BodyText"/>
      </w:pPr>
      <w:r>
        <w:rPr>
          <w:b/>
          <w:bCs/>
        </w:rPr>
        <w:t xml:space="preserve">Traceability.</w:t>
      </w:r>
      <w:r>
        <w:t xml:space="preserve"> </w:t>
      </w:r>
      <w:r>
        <w:t xml:space="preserve">System features 4.1–4.4 realize the §4.5.1 functional requirements (upload · isolate crop · Top-K or unknown · font preview) and are served by the §4.5.2 architecture (Fig 9). Zones in the §3.1 wireframe map one-to-one to features 4.1 (Input), 4.2 (Processing), and 4.3–4.4 (Results).</w:t>
      </w:r>
    </w:p>
    <w:p>
      <w:r>
        <w:br w:type="page"/>
      </w:r>
    </w:p>
    <w:p>
      <w:pPr>
        <w:pStyle w:val="Heading1"/>
      </w:pPr>
      <w:r>
        <w:t xml:space="preserve">APPENDIX B</w:t>
      </w:r>
    </w:p>
    <w:p>
      <w:pPr>
        <w:pStyle w:val="Heading1"/>
      </w:pPr>
      <w:r>
        <w:t xml:space="preserve">EXPERT-PANEL RATING FORM</w:t>
      </w:r>
    </w:p>
    <w:p>
      <w:pPr>
        <w:pStyle w:val="FirstParagraph"/>
      </w:pPr>
      <w:r>
        <w:t xml:space="preserve">This appendix reproduces the layout of the web-based rating form that delivers the human-proxy consensus instrument of Section 4.2.3. The form has two screens. Screen A is shown once: it states the task, the ground rules (independent, self-paced, blind to the model’s predictions and to the other raters), and the palette reference sheet the rater keeps open while rating. Screen B repeats for each of the [N = 100] real generative text crops: the crop is displayed beside an excerpt of the reference sheet, and the rater makes two required judgments — first, the closest palette font, found through a searchable list, or the</w:t>
      </w:r>
      <w:r>
        <w:t xml:space="preserve"> </w:t>
      </w:r>
      <w:r>
        <w:t xml:space="preserve">“Unknown / hallucinated”</w:t>
      </w:r>
      <w:r>
        <w:t xml:space="preserve"> </w:t>
      </w:r>
      <w:r>
        <w:t xml:space="preserve">verdict when no palette font matches; and second, whether the crop appears set in one typeface throughout or in more than one, with a</w:t>
      </w:r>
      <w:r>
        <w:t xml:space="preserve"> </w:t>
      </w:r>
      <w:r>
        <w:t xml:space="preserve">“cannot tell”</w:t>
      </w:r>
      <w:r>
        <w:t xml:space="preserve"> </w:t>
      </w:r>
      <w:r>
        <w:t xml:space="preserve">option (the coherence judgment of Section 4.2.3, which measures the prevalence of font-incoherent generative text and validates the pipeline’s homogeneity check).</w:t>
      </w:r>
    </w:p>
    <w:p>
      <w:pPr>
        <w:pStyle w:val="BodyText"/>
      </w:pPr>
      <w:r>
        <w:t xml:space="preserve">The layout is platform-neutral: it specifies the content and controls of each screen, not a hosting service, so any standard web-form platform can deliver it without altering the instrument. The item texts shown (crop wording, specimen names, item counter) are illustrative.</w:t>
      </w:r>
    </w:p>
    <w:p>
      <w:pPr>
        <w:pStyle w:val="BodyText"/>
        <w:keepNext/>
      </w:pPr>
      <w:r>
        <w:rPr>
          <w:b/>
          <w:bCs/>
        </w:rPr>
        <w:t xml:space="preserve">Figure B1</w:t>
      </w:r>
    </w:p>
    <w:p>
      <w:pPr>
        <w:pStyle w:val="BodyText"/>
        <w:keepNext/>
      </w:pPr>
      <w:r>
        <w:rPr>
          <w:i/>
          <w:iCs/>
        </w:rPr>
        <w:t xml:space="preserve">Expert-Panel Rating Form — Instructions Screen and Per-Crop Rating Item</w:t>
      </w:r>
    </w:p>
    <w:p>
      <w:pPr>
        <w:pStyle w:val="CaptionedFigure"/>
      </w:pPr>
      <w:r>
        <w:drawing>
          <wp:inline>
            <wp:extent cx="5334000" cy="2830778"/>
            <wp:effectExtent b="0" l="0" r="0" t="0"/>
            <wp:docPr descr="Two-panel wireframe. Panel A, the instructions screen: task description (rate 100 text crops from AI-generated images, pick the closest Google Font or mark Unknown/hallucinated), ground rules (work independently, self-paced, never shown the model’s predictions or other raters’ answers), a callout for the palette reference sheet, and a begin button. Panel B, the rating item: an item counter with progress bar, the AI-generated text crop displayed beside a palette-reference-sheet excerpt of labeled specimens, a required question with a searchable palette dropdown, an alternative Unknown/hallucinated radio option, and Back / Save-and-next buttons with per-item saving noted" title="" id="169" name="Picture"/>
            <a:graphic>
              <a:graphicData uri="http://schemas.openxmlformats.org/drawingml/2006/picture">
                <pic:pic>
                  <pic:nvPicPr>
                    <pic:cNvPr descr="assets/figures/expert_panel_form.png" id="170" name="Picture"/>
                    <pic:cNvPicPr>
                      <a:picLocks noChangeArrowheads="1" noChangeAspect="1"/>
                    </pic:cNvPicPr>
                  </pic:nvPicPr>
                  <pic:blipFill>
                    <a:blip r:embed="rId168"/>
                    <a:stretch>
                      <a:fillRect/>
                    </a:stretch>
                  </pic:blipFill>
                  <pic:spPr bwMode="auto">
                    <a:xfrm>
                      <a:off x="0" y="0"/>
                      <a:ext cx="5334000" cy="2830778"/>
                    </a:xfrm>
                    <a:prstGeom prst="rect">
                      <a:avLst/>
                    </a:prstGeom>
                    <a:noFill/>
                    <a:ln w="9525">
                      <a:noFill/>
                      <a:headEnd/>
                      <a:tailEnd/>
                    </a:ln>
                  </pic:spPr>
                </pic:pic>
              </a:graphicData>
            </a:graphic>
          </wp:inline>
        </w:drawing>
      </w:r>
    </w:p>
    <w:p>
      <w:pPr>
        <w:pStyle w:val="BodyText"/>
      </w:pPr>
      <w:r>
        <w:t xml:space="preserve">Per-item responses save individually, so a rater may pause and resume without loss; each rater submits one complete response set, and the three sets are combined under the 2-of-3 consensus rule of Section 4.2.3.</w:t>
      </w:r>
    </w:p>
    <w:p>
      <w:r>
        <w:br w:type="page"/>
      </w:r>
    </w:p>
    <w:p>
      <w:pPr>
        <w:pStyle w:val="Heading1"/>
      </w:pPr>
      <w:r>
        <w:t xml:space="preserve">Bibliography</w:t>
      </w:r>
    </w:p>
    <w:p>
      <w:pPr>
        <w:pStyle w:val="FirstParagraph"/>
      </w:pPr>
      <w:r>
        <w:rPr>
          <w:i/>
          <w:iCs/>
        </w:rPr>
        <w:t xml:space="preserve">Formatted in APA 7th edition. Entries are grouped by source type (books, journal articles, conference proceedings articles, web articles) and alphabetized by the first author’s surname within each group. Source of record:</w:t>
      </w:r>
      <w:r>
        <w:rPr>
          <w:i/>
          <w:iCs/>
        </w:rPr>
        <w:t xml:space="preserve"> </w:t>
      </w:r>
      <w:r>
        <w:rPr>
          <w:rStyle w:val="VerbatimChar"/>
          <w:i/>
          <w:iCs/>
        </w:rPr>
        <w:t xml:space="preserve">literature/references.md</w:t>
      </w:r>
      <w:r>
        <w:rPr>
          <w:i/>
          <w:iCs/>
        </w:rPr>
        <w:t xml:space="preserve"> </w:t>
      </w:r>
      <w:r>
        <w:rPr>
          <w:i/>
          <w:iCs/>
        </w:rPr>
        <w:t xml:space="preserve">(35 rows). Apply a hanging indent (0.5 in) and double spacing when exported.</w:t>
      </w:r>
    </w:p>
    <w:p>
      <w:pPr>
        <w:pStyle w:val="Heading2"/>
      </w:pPr>
      <w:r>
        <w:t xml:space="preserve">Books</w:t>
      </w:r>
    </w:p>
    <w:p>
      <w:pPr>
        <w:pStyle w:val="FirstParagraph"/>
      </w:pPr>
      <w:r>
        <w:t xml:space="preserve">Goodfellow, I., Bengio, Y., &amp; Courville, A. (2016).</w:t>
      </w:r>
      <w:r>
        <w:t xml:space="preserve"> </w:t>
      </w:r>
      <w:r>
        <w:rPr>
          <w:i/>
          <w:iCs/>
        </w:rPr>
        <w:t xml:space="preserve">Deep learning</w:t>
      </w:r>
      <w:r>
        <w:t xml:space="preserve">. MIT Press. https://www.deeplearningbook.org/</w:t>
      </w:r>
    </w:p>
    <w:p>
      <w:pPr>
        <w:pStyle w:val="Heading2"/>
      </w:pPr>
      <w:r>
        <w:t xml:space="preserve">Journal Articles</w:t>
      </w:r>
    </w:p>
    <w:p>
      <w:pPr>
        <w:pStyle w:val="FirstParagraph"/>
      </w:pPr>
      <w:r>
        <w:t xml:space="preserve">Huang, Z., &amp; Zhou, J. (2022). Specialized deep metric and feature topology.</w:t>
      </w:r>
      <w:r>
        <w:t xml:space="preserve"> </w:t>
      </w:r>
      <w:r>
        <w:rPr>
          <w:i/>
          <w:iCs/>
        </w:rPr>
        <w:t xml:space="preserve">Neurocomputing</w:t>
      </w:r>
      <w:r>
        <w:t xml:space="preserve">. https://www.sciencedirect.com/science/article/pii/S0925231221013886</w:t>
      </w:r>
    </w:p>
    <w:p>
      <w:pPr>
        <w:pStyle w:val="BodyText"/>
        <w:ind w:left="720" w:hanging="720"/>
        <w:jc w:val="left"/>
      </w:pPr>
      <w:r>
        <w:t xml:space="preserve">Karunanayake, N., Seneviratne, S., &amp; Chawla, S. (2025). ExCeL: Combined extreme and collective logit information for enhancing out-of-distribution detection.</w:t>
      </w:r>
      <w:r>
        <w:t xml:space="preserve"> </w:t>
      </w:r>
      <w:r>
        <w:rPr>
          <w:i/>
          <w:iCs/>
        </w:rPr>
        <w:t xml:space="preserve">Transactions on Machine Learning Research</w:t>
      </w:r>
      <w:r>
        <w:t xml:space="preserve">. https://arxiv.org/abs/2311.14754</w:t>
      </w:r>
    </w:p>
    <w:p>
      <w:pPr>
        <w:pStyle w:val="BodyText"/>
        <w:ind w:left="720" w:hanging="720"/>
        <w:jc w:val="left"/>
      </w:pPr>
      <w:r>
        <w:t xml:space="preserve">LeCun, Y., Bengio, Y., &amp; Hinton, G. (2015). Deep learning.</w:t>
      </w:r>
      <w:r>
        <w:t xml:space="preserve"> </w:t>
      </w:r>
      <w:r>
        <w:rPr>
          <w:i/>
          <w:iCs/>
        </w:rPr>
        <w:t xml:space="preserve">Nature, 521</w:t>
      </w:r>
      <w:r>
        <w:t xml:space="preserve">(7553), 436–444. https://doi.org/10.1038/nature14539</w:t>
      </w:r>
    </w:p>
    <w:p>
      <w:pPr>
        <w:pStyle w:val="BodyText"/>
        <w:ind w:left="720" w:hanging="720"/>
        <w:jc w:val="left"/>
      </w:pPr>
      <w:r>
        <w:t xml:space="preserve">Lu, S., Wang, Y., Sheng, L., He, L., Zheng, A., &amp; Liang, J. (2025). Out-of-distribution detection: A task-oriented survey of recent advances.</w:t>
      </w:r>
      <w:r>
        <w:t xml:space="preserve"> </w:t>
      </w:r>
      <w:r>
        <w:rPr>
          <w:i/>
          <w:iCs/>
        </w:rPr>
        <w:t xml:space="preserve">ACM Computing Surveys</w:t>
      </w:r>
      <w:r>
        <w:t xml:space="preserve">. https://doi.org/10.48550/arXiv.2409.11884</w:t>
      </w:r>
    </w:p>
    <w:p>
      <w:pPr>
        <w:pStyle w:val="BodyText"/>
        <w:ind w:left="720" w:hanging="720"/>
        <w:jc w:val="left"/>
      </w:pPr>
      <w:r>
        <w:t xml:space="preserve">Oquab, M., Darcet, T., Moutakanni, T., Vo, H., Szafraniec, M., Khalidov, V., Fernandez, P., Haziza, D., Massa, F., El-Nouby, A., Assran, M., Ballas, N., Galuba, W., Howes, R., Huang, P.-Y., Li, S.-W., Misra, I., Rabbat, M., Sharma, V., … Bojanowski, P. (2024). DINOv2: Learning robust visual features without supervision.</w:t>
      </w:r>
      <w:r>
        <w:t xml:space="preserve"> </w:t>
      </w:r>
      <w:r>
        <w:rPr>
          <w:i/>
          <w:iCs/>
        </w:rPr>
        <w:t xml:space="preserve">Transactions on Machine Learning Research</w:t>
      </w:r>
      <w:r>
        <w:t xml:space="preserve">. https://arxiv.org/abs/2304.07193</w:t>
      </w:r>
    </w:p>
    <w:p>
      <w:pPr>
        <w:pStyle w:val="BodyText"/>
        <w:ind w:left="720" w:hanging="720"/>
        <w:jc w:val="left"/>
      </w:pPr>
      <w:r>
        <w:t xml:space="preserve">Plastropoulos, A., &amp; Tegos, K. (2024). A review of machine learning and deep learning for object detection, semantic segmentation, and human action recognition in machine and robotic vision.</w:t>
      </w:r>
      <w:r>
        <w:t xml:space="preserve"> </w:t>
      </w:r>
      <w:r>
        <w:rPr>
          <w:i/>
          <w:iCs/>
        </w:rPr>
        <w:t xml:space="preserve">Technologies, 12</w:t>
      </w:r>
      <w:r>
        <w:t xml:space="preserve">(2), 15. https://doi.org/10.3390/technologies12020015</w:t>
      </w:r>
    </w:p>
    <w:p>
      <w:pPr>
        <w:pStyle w:val="BodyText"/>
        <w:ind w:left="720" w:hanging="720"/>
        <w:jc w:val="left"/>
      </w:pPr>
      <w:r>
        <w:t xml:space="preserve">Ponnuru, M., Sridevi Ponmalar, P., Likhitha, A., Tanu Sree, B., &amp; Guna Chaitanya, G. (2024). OCR for prescription data extraction.</w:t>
      </w:r>
      <w:r>
        <w:t xml:space="preserve"> </w:t>
      </w:r>
      <w:r>
        <w:rPr>
          <w:i/>
          <w:iCs/>
        </w:rPr>
        <w:t xml:space="preserve">Procedia Computer Science</w:t>
      </w:r>
      <w:r>
        <w:t xml:space="preserve">. https://www.sciencedirect.com/science/article/pii/S1877050924007786</w:t>
      </w:r>
    </w:p>
    <w:p>
      <w:pPr>
        <w:pStyle w:val="BodyText"/>
        <w:ind w:left="720" w:hanging="720"/>
        <w:jc w:val="left"/>
      </w:pPr>
      <w:r>
        <w:t xml:space="preserve">Sarker, I. H. (2021). Deep learning: A comprehensive overview on techniques, taxonomy, applications and research directions.</w:t>
      </w:r>
      <w:r>
        <w:t xml:space="preserve"> </w:t>
      </w:r>
      <w:r>
        <w:rPr>
          <w:i/>
          <w:iCs/>
        </w:rPr>
        <w:t xml:space="preserve">SN Computer Science, 2</w:t>
      </w:r>
      <w:r>
        <w:t xml:space="preserve">, 420. https://doi.org/10.1007/s42979-021-00815-1</w:t>
      </w:r>
    </w:p>
    <w:p>
      <w:pPr>
        <w:pStyle w:val="BodyText"/>
        <w:ind w:left="720" w:hanging="720"/>
        <w:jc w:val="left"/>
      </w:pPr>
      <w:r>
        <w:t xml:space="preserve">Umer, S., Mondal, R., Pandey, H. M., &amp; Rout, R. K. (2022). Soft computing frameworks for visual alignment.</w:t>
      </w:r>
      <w:r>
        <w:t xml:space="preserve"> </w:t>
      </w:r>
      <w:r>
        <w:rPr>
          <w:i/>
          <w:iCs/>
        </w:rPr>
        <w:t xml:space="preserve">Applied Soft Computing</w:t>
      </w:r>
      <w:r>
        <w:t xml:space="preserve">. https://www.sciencedirect.com/science/article/pii/S1568494621008395</w:t>
      </w:r>
    </w:p>
    <w:p>
      <w:pPr>
        <w:pStyle w:val="BodyText"/>
        <w:ind w:left="720" w:hanging="720"/>
        <w:jc w:val="left"/>
      </w:pPr>
      <w:r>
        <w:t xml:space="preserve">Wang, Y., Lv, W., Wu, W., Xie, G., Lu, B., Wang, C., Zhan, C., &amp; Su, B. (2025). TransTab: A transformer-based approach for table detection and tabular data extraction from scanned document images.</w:t>
      </w:r>
      <w:r>
        <w:t xml:space="preserve"> </w:t>
      </w:r>
      <w:r>
        <w:rPr>
          <w:i/>
          <w:iCs/>
        </w:rPr>
        <w:t xml:space="preserve">Machine Learning with Applications</w:t>
      </w:r>
      <w:r>
        <w:t xml:space="preserve">. https://www.sciencedirect.com/science/article/pii/S2666827025000489</w:t>
      </w:r>
    </w:p>
    <w:p>
      <w:pPr>
        <w:pStyle w:val="BodyText"/>
        <w:ind w:left="720" w:hanging="720"/>
        <w:jc w:val="left"/>
      </w:pPr>
      <w:r>
        <w:t xml:space="preserve">Wang, Z., Bovik, A. C., Sheikh, H. R., &amp; Simoncelli, E. P. (2004). Image quality assessment: From error visibility to structural similarity.</w:t>
      </w:r>
      <w:r>
        <w:t xml:space="preserve"> </w:t>
      </w:r>
      <w:r>
        <w:rPr>
          <w:i/>
          <w:iCs/>
        </w:rPr>
        <w:t xml:space="preserve">IEEE Transactions on Image Processing, 13</w:t>
      </w:r>
      <w:r>
        <w:t xml:space="preserve">(4), 600–612. https://doi.org/10.1109/TIP.2003.819861</w:t>
      </w:r>
    </w:p>
    <w:p>
      <w:pPr>
        <w:pStyle w:val="Heading2"/>
      </w:pPr>
      <w:r>
        <w:t xml:space="preserve">Conference Proceedings Articles</w:t>
      </w:r>
    </w:p>
    <w:p>
      <w:pPr>
        <w:pStyle w:val="FirstParagraph"/>
      </w:pPr>
      <w:r>
        <w:t xml:space="preserve">Bhunia, A. K., Bhunia, A. K., Banerjee, P., Konwer, A., Bhowmick, A., Roy, P. P., &amp; Pal, U. (2018). Document processing and geometric boundary layouts. In</w:t>
      </w:r>
      <w:r>
        <w:t xml:space="preserve"> </w:t>
      </w:r>
      <w:r>
        <w:rPr>
          <w:i/>
          <w:iCs/>
        </w:rPr>
        <w:t xml:space="preserve">2018 24th International Conference on Pattern Recognition (ICPR)</w:t>
      </w:r>
      <w:r>
        <w:t xml:space="preserve">. IEEE. https://ieeexplore.ieee.org/abstract/document/8545184</w:t>
      </w:r>
    </w:p>
    <w:p>
      <w:pPr>
        <w:pStyle w:val="BodyText"/>
        <w:ind w:left="720" w:hanging="720"/>
        <w:jc w:val="left"/>
      </w:pPr>
      <w:r>
        <w:t xml:space="preserve">Chowdhury, A., Mehrab, K. S., Campolongo, E. G., Rubenstein, D., Stewart, C. V., Karpatne, A., Berger-Wolf, T., Su, Y., &amp; Chao, W.-L. (2025). Prompt-CAM: Making vision transformers interpretable for fine-grained analysis. In</w:t>
      </w:r>
      <w:r>
        <w:t xml:space="preserve"> </w:t>
      </w:r>
      <w:r>
        <w:rPr>
          <w:i/>
          <w:iCs/>
        </w:rPr>
        <w:t xml:space="preserve">Proceedings of the IEEE/CVF Conference on Computer Vision and Pattern Recognition (CVPR)</w:t>
      </w:r>
      <w:r>
        <w:t xml:space="preserve">. https://arxiv.org/abs/2501.09333</w:t>
      </w:r>
    </w:p>
    <w:p>
      <w:pPr>
        <w:pStyle w:val="BodyText"/>
        <w:ind w:left="720" w:hanging="720"/>
        <w:jc w:val="left"/>
      </w:pPr>
      <w:r>
        <w:t xml:space="preserve">Darcet, T., Oquab, M., Mairal, J., &amp; Bojanowski, P. (2024). Vision transformers need registers. In</w:t>
      </w:r>
      <w:r>
        <w:t xml:space="preserve"> </w:t>
      </w:r>
      <w:r>
        <w:rPr>
          <w:i/>
          <w:iCs/>
        </w:rPr>
        <w:t xml:space="preserve">International Conference on Learning Representations (ICLR)</w:t>
      </w:r>
      <w:r>
        <w:t xml:space="preserve">. https://arxiv.org/abs/2309.16588</w:t>
      </w:r>
    </w:p>
    <w:p>
      <w:pPr>
        <w:pStyle w:val="BodyText"/>
        <w:ind w:left="720" w:hanging="720"/>
        <w:jc w:val="left"/>
      </w:pPr>
      <w:r>
        <w:t xml:space="preserve">Hofmann, C., Schmid, S., Lehner, B., Klotz, D., &amp; Hochreiter, S. (2024). Energy-based Hopfield boosting for out-of-distribution detection. In</w:t>
      </w:r>
      <w:r>
        <w:t xml:space="preserve"> </w:t>
      </w:r>
      <w:r>
        <w:rPr>
          <w:i/>
          <w:iCs/>
        </w:rPr>
        <w:t xml:space="preserve">Advances in Neural Information Processing Systems</w:t>
      </w:r>
      <w:r>
        <w:t xml:space="preserve"> </w:t>
      </w:r>
      <w:r>
        <w:t xml:space="preserve">(Vol. 37). https://proceedings.neurips.cc/paper_files/paper/2024/hash/ee20461718669c6c9c5da478d46d60d9-Abstract-Conference.html</w:t>
      </w:r>
    </w:p>
    <w:p>
      <w:pPr>
        <w:pStyle w:val="BodyText"/>
        <w:ind w:left="720" w:hanging="720"/>
        <w:jc w:val="left"/>
      </w:pPr>
      <w:r>
        <w:t xml:space="preserve">Jiang, B., Yuan, Y., Bai, X., Hao, Z., Yin, A., Hu, Y., Liao, W., Ungar, L., &amp; Taylor, C. J. (2025). ControlText: Unlocking controllable fonts in multilingual text rendering without font annotations. In</w:t>
      </w:r>
      <w:r>
        <w:t xml:space="preserve"> </w:t>
      </w:r>
      <w:r>
        <w:rPr>
          <w:i/>
          <w:iCs/>
        </w:rPr>
        <w:t xml:space="preserve">Findings of the Association for Computational Linguistics: EMNLP 2025</w:t>
      </w:r>
      <w:r>
        <w:t xml:space="preserve">. https://arxiv.org/abs/2502.10999</w:t>
      </w:r>
    </w:p>
    <w:p>
      <w:pPr>
        <w:pStyle w:val="BodyText"/>
        <w:ind w:left="720" w:hanging="720"/>
        <w:jc w:val="left"/>
      </w:pPr>
      <w:r>
        <w:t xml:space="preserve">Kondo, T., Takezaki, S., Haraguchi, D., &amp; Uchida, S. (2024). Font style interpolation with diffusion models. In</w:t>
      </w:r>
      <w:r>
        <w:t xml:space="preserve"> </w:t>
      </w:r>
      <w:r>
        <w:rPr>
          <w:i/>
          <w:iCs/>
        </w:rPr>
        <w:t xml:space="preserve">Document Analysis and Recognition – ICDAR 2024</w:t>
      </w:r>
      <w:r>
        <w:t xml:space="preserve">. Springer. https://doi.org/10.1007/978-3-031-70536-6_6</w:t>
      </w:r>
    </w:p>
    <w:p>
      <w:pPr>
        <w:pStyle w:val="BodyText"/>
        <w:ind w:left="720" w:hanging="720"/>
        <w:jc w:val="left"/>
      </w:pPr>
      <w:r>
        <w:t xml:space="preserve">Li, Z., Li, X., Fu, X., Zhang, X., Wang, W., Chen, S., &amp; Yang, J. (2024). PromptKD: Unsupervised prompt distillation for vision-language models. In</w:t>
      </w:r>
      <w:r>
        <w:t xml:space="preserve"> </w:t>
      </w:r>
      <w:r>
        <w:rPr>
          <w:i/>
          <w:iCs/>
        </w:rPr>
        <w:t xml:space="preserve">Proceedings of the IEEE/CVF Conference on Computer Vision and Pattern Recognition (CVPR)</w:t>
      </w:r>
      <w:r>
        <w:t xml:space="preserve">. https://arxiv.org/abs/2403.02781</w:t>
      </w:r>
    </w:p>
    <w:p>
      <w:pPr>
        <w:pStyle w:val="BodyText"/>
        <w:ind w:left="720" w:hanging="720"/>
        <w:jc w:val="left"/>
      </w:pPr>
      <w:r>
        <w:t xml:space="preserve">Schroff, F., Kalenichenko, D., &amp; Philbin, J. (2015). FaceNet: A unified embedding for face recognition and clustering. In</w:t>
      </w:r>
      <w:r>
        <w:t xml:space="preserve"> </w:t>
      </w:r>
      <w:r>
        <w:rPr>
          <w:i/>
          <w:iCs/>
        </w:rPr>
        <w:t xml:space="preserve">Proceedings of the IEEE Conference on Computer Vision and Pattern Recognition (CVPR)</w:t>
      </w:r>
      <w:r>
        <w:t xml:space="preserve"> </w:t>
      </w:r>
      <w:r>
        <w:t xml:space="preserve">(pp. 815–823). https://doi.org/10.1109/CVPR.2015.7298682</w:t>
      </w:r>
    </w:p>
    <w:p>
      <w:pPr>
        <w:pStyle w:val="BodyText"/>
        <w:ind w:left="720" w:hanging="720"/>
        <w:jc w:val="left"/>
      </w:pPr>
      <w:r>
        <w:t xml:space="preserve">Sheikh, T. U., Shehzadi, T., Hashmi, K. A., Stricker, D., &amp; Afzal, M. Z. (2024). UnSupDLA: Towards unsupervised document layout analysis. In</w:t>
      </w:r>
      <w:r>
        <w:t xml:space="preserve"> </w:t>
      </w:r>
      <w:r>
        <w:rPr>
          <w:i/>
          <w:iCs/>
        </w:rPr>
        <w:t xml:space="preserve">Document Analysis and Recognition – ICDAR 2024 Workshops</w:t>
      </w:r>
      <w:r>
        <w:t xml:space="preserve">. Springer. https://doi.org/10.1007/978-3-031-70546-5_2</w:t>
      </w:r>
    </w:p>
    <w:p>
      <w:pPr>
        <w:pStyle w:val="BodyText"/>
        <w:ind w:left="720" w:hanging="720"/>
        <w:jc w:val="left"/>
      </w:pPr>
      <w:r>
        <w:t xml:space="preserve">Vaswani, A., Shazeer, N., Parmar, N., Uszkoreit, J., Jones, L., Gomez, A. N., Kaiser, Ł., &amp; Polosukhin, I. (2017). Attention is all you need. In</w:t>
      </w:r>
      <w:r>
        <w:t xml:space="preserve"> </w:t>
      </w:r>
      <w:r>
        <w:rPr>
          <w:i/>
          <w:iCs/>
        </w:rPr>
        <w:t xml:space="preserve">Advances in Neural Information Processing Systems</w:t>
      </w:r>
      <w:r>
        <w:t xml:space="preserve"> </w:t>
      </w:r>
      <w:r>
        <w:t xml:space="preserve">(Vol. 30). https://proceedings.neurips.cc/paper/2017/hash/3f5ee243547dee91fbd053c1c4a845aa-Abstract.html</w:t>
      </w:r>
    </w:p>
    <w:p>
      <w:pPr>
        <w:pStyle w:val="BodyText"/>
        <w:ind w:left="720" w:hanging="720"/>
        <w:jc w:val="left"/>
      </w:pPr>
      <w:r>
        <w:t xml:space="preserve">Wang, Y., Zhang, Q., Guo, Y., &amp; Wang, Y. (2024). Non-negative contrastive learning. In</w:t>
      </w:r>
      <w:r>
        <w:t xml:space="preserve"> </w:t>
      </w:r>
      <w:r>
        <w:rPr>
          <w:i/>
          <w:iCs/>
        </w:rPr>
        <w:t xml:space="preserve">International Conference on Learning Representations (ICLR)</w:t>
      </w:r>
      <w:r>
        <w:t xml:space="preserve">. https://arxiv.org/abs/2403.12459</w:t>
      </w:r>
    </w:p>
    <w:p>
      <w:pPr>
        <w:pStyle w:val="BodyText"/>
        <w:ind w:left="720" w:hanging="720"/>
        <w:jc w:val="left"/>
      </w:pPr>
      <w:r>
        <w:t xml:space="preserve">Wang, Z., Yang, J., Jin, H., Shechtman, E., Agarwala, A., Brandt, J., &amp; Huang, T. S. (2015). DeepFont: Identify your font from an image. In</w:t>
      </w:r>
      <w:r>
        <w:t xml:space="preserve"> </w:t>
      </w:r>
      <w:r>
        <w:rPr>
          <w:i/>
          <w:iCs/>
        </w:rPr>
        <w:t xml:space="preserve">Proceedings of the 23rd ACM International Conference on Multimedia</w:t>
      </w:r>
      <w:r>
        <w:t xml:space="preserve"> </w:t>
      </w:r>
      <w:r>
        <w:t xml:space="preserve">(pp. 451–459). https://doi.org/10.1145/2733373.2806219</w:t>
      </w:r>
    </w:p>
    <w:p>
      <w:pPr>
        <w:pStyle w:val="Heading2"/>
      </w:pPr>
      <w:r>
        <w:t xml:space="preserve">Web Articles</w:t>
      </w:r>
    </w:p>
    <w:p>
      <w:pPr>
        <w:pStyle w:val="FirstParagraph"/>
      </w:pPr>
      <w:r>
        <w:t xml:space="preserve">Ding, T., Fermanian, J.-B., &amp; Salmon, J. (2025). Conformal prediction for long-tailed classification.</w:t>
      </w:r>
      <w:r>
        <w:t xml:space="preserve"> </w:t>
      </w:r>
      <w:r>
        <w:rPr>
          <w:i/>
          <w:iCs/>
        </w:rPr>
        <w:t xml:space="preserve">arXiv</w:t>
      </w:r>
      <w:r>
        <w:t xml:space="preserve">. https://arxiv.org/abs/2507.06867</w:t>
      </w:r>
    </w:p>
    <w:p>
      <w:pPr>
        <w:pStyle w:val="BodyText"/>
        <w:ind w:left="720" w:hanging="720"/>
        <w:jc w:val="left"/>
      </w:pPr>
      <w:r>
        <w:t xml:space="preserve">Djurisic, A., Liu, R., &amp; Nikolic, M. (2024). Logit scaling for out-of-distribution detection.</w:t>
      </w:r>
      <w:r>
        <w:t xml:space="preserve"> </w:t>
      </w:r>
      <w:r>
        <w:rPr>
          <w:i/>
          <w:iCs/>
        </w:rPr>
        <w:t xml:space="preserve">arXiv</w:t>
      </w:r>
      <w:r>
        <w:t xml:space="preserve">. https://arxiv.org/abs/2409.01175</w:t>
      </w:r>
    </w:p>
    <w:p>
      <w:pPr>
        <w:pStyle w:val="BodyText"/>
        <w:ind w:left="720" w:hanging="720"/>
        <w:jc w:val="left"/>
      </w:pPr>
      <w:r>
        <w:t xml:space="preserve">Du, N., Xie, R., Chen, Z., Wang, Q., Jiang, Z., Zhang, K., Yang, J., &amp; Tai, Y. (2025). TextCrafter: Investigating text insulation and attention mechanisms for complex visual text generation.</w:t>
      </w:r>
      <w:r>
        <w:t xml:space="preserve"> </w:t>
      </w:r>
      <w:r>
        <w:rPr>
          <w:i/>
          <w:iCs/>
        </w:rPr>
        <w:t xml:space="preserve">arXiv</w:t>
      </w:r>
      <w:r>
        <w:t xml:space="preserve">. https://arxiv.org/abs/2503.23461</w:t>
      </w:r>
    </w:p>
    <w:p>
      <w:pPr>
        <w:pStyle w:val="BodyText"/>
        <w:ind w:left="720" w:hanging="720"/>
        <w:jc w:val="left"/>
      </w:pPr>
      <w:r>
        <w:t xml:space="preserve">Gillani, S. A., Baig, M. S. A., Khan, O. A., Shah, S. M., Mujeeb, U., &amp; Ali, M. (2025). TextPixs: Glyph-conditioned diffusion with character-aware attention and OCR-guided supervision.</w:t>
      </w:r>
      <w:r>
        <w:t xml:space="preserve"> </w:t>
      </w:r>
      <w:r>
        <w:rPr>
          <w:i/>
          <w:iCs/>
        </w:rPr>
        <w:t xml:space="preserve">arXiv</w:t>
      </w:r>
      <w:r>
        <w:t xml:space="preserve">. https://arxiv.org/abs/2507.06033</w:t>
      </w:r>
    </w:p>
    <w:p>
      <w:pPr>
        <w:pStyle w:val="BodyText"/>
        <w:ind w:left="720" w:hanging="720"/>
        <w:jc w:val="left"/>
      </w:pPr>
      <w:r>
        <w:t xml:space="preserve">Li, Y., Chen, M., Wang, K., Ma, J., Bovik, A. C., &amp; Zhang, Y. (2025). SAMScore: A content structural similarity metric for image translation evaluation.</w:t>
      </w:r>
      <w:r>
        <w:t xml:space="preserve"> </w:t>
      </w:r>
      <w:r>
        <w:rPr>
          <w:i/>
          <w:iCs/>
        </w:rPr>
        <w:t xml:space="preserve">arXiv</w:t>
      </w:r>
      <w:r>
        <w:t xml:space="preserve">. https://arxiv.org/abs/2305.15367</w:t>
      </w:r>
    </w:p>
    <w:p>
      <w:pPr>
        <w:pStyle w:val="BodyText"/>
        <w:ind w:left="720" w:hanging="720"/>
        <w:jc w:val="left"/>
      </w:pPr>
      <w:r>
        <w:t xml:space="preserve">Li, Z., Song, G., Cai, Y., Xiong, Z., Yuan, J., &amp; Wang, Y. (2025). Texture or semantics? Vision-language models get lost in font recognition.</w:t>
      </w:r>
      <w:r>
        <w:t xml:space="preserve"> </w:t>
      </w:r>
      <w:r>
        <w:rPr>
          <w:i/>
          <w:iCs/>
        </w:rPr>
        <w:t xml:space="preserve">arXiv</w:t>
      </w:r>
      <w:r>
        <w:t xml:space="preserve">. https://arxiv.org/abs/2503.23768</w:t>
      </w:r>
    </w:p>
    <w:p>
      <w:pPr>
        <w:pStyle w:val="BodyText"/>
        <w:ind w:left="720" w:hanging="720"/>
        <w:jc w:val="left"/>
      </w:pPr>
      <w:r>
        <w:t xml:space="preserve">Liu, Z., Liang, W., Liang, Z., Luo, C., Li, J., Huang, G., &amp; Yuan, Y. (2024). Glyph-ByT5: A customized text encoder for accurate visual text rendering.</w:t>
      </w:r>
      <w:r>
        <w:t xml:space="preserve"> </w:t>
      </w:r>
      <w:r>
        <w:rPr>
          <w:i/>
          <w:iCs/>
        </w:rPr>
        <w:t xml:space="preserve">arXiv</w:t>
      </w:r>
      <w:r>
        <w:t xml:space="preserve">. https://arxiv.org/abs/2403.09622</w:t>
      </w:r>
    </w:p>
    <w:p>
      <w:pPr>
        <w:pStyle w:val="BodyText"/>
        <w:ind w:left="720" w:hanging="720"/>
        <w:jc w:val="left"/>
      </w:pPr>
      <w:r>
        <w:t xml:space="preserve">Shi, Y., Ghosh, S., Belkhouja, T., Doppa, J. R., &amp; Yan, Y. (2024). Conformal prediction for class-wise coverage via augmented label rank calibration.</w:t>
      </w:r>
      <w:r>
        <w:t xml:space="preserve"> </w:t>
      </w:r>
      <w:r>
        <w:rPr>
          <w:i/>
          <w:iCs/>
        </w:rPr>
        <w:t xml:space="preserve">arXiv</w:t>
      </w:r>
      <w:r>
        <w:t xml:space="preserve">. https://arxiv.org/abs/2406.06818</w:t>
      </w:r>
    </w:p>
    <w:p>
      <w:pPr>
        <w:pStyle w:val="BodyText"/>
        <w:ind w:left="720" w:hanging="720"/>
        <w:jc w:val="left"/>
      </w:pPr>
      <w:r>
        <w:t xml:space="preserve">Shu, Y., Zeng, W., Zhao, F., Chen, Z., Li, Z., Yang, X., Zhou, Y., Rota, P., Bai, X., Jin, L., Yin, X.-C., &amp; Sebe, N. (2025). Visual text processing: A comprehensive review and unified evaluation.</w:t>
      </w:r>
      <w:r>
        <w:t xml:space="preserve"> </w:t>
      </w:r>
      <w:r>
        <w:rPr>
          <w:i/>
          <w:iCs/>
        </w:rPr>
        <w:t xml:space="preserve">arXiv</w:t>
      </w:r>
      <w:r>
        <w:t xml:space="preserve">. https://arxiv.org/abs/2504.21682</w:t>
      </w:r>
    </w:p>
    <w:p>
      <w:pPr>
        <w:pStyle w:val="BodyText"/>
        <w:ind w:left="720" w:hanging="720"/>
        <w:jc w:val="left"/>
      </w:pPr>
      <w:r>
        <w:t xml:space="preserve">Zhang, K., Chen, W., Zhao, T., &amp; Wang, Z. (2024). Structural similarity in deep features: Image quality assessment robust to geometrically disparate reference.</w:t>
      </w:r>
      <w:r>
        <w:t xml:space="preserve"> </w:t>
      </w:r>
      <w:r>
        <w:rPr>
          <w:i/>
          <w:iCs/>
        </w:rPr>
        <w:t xml:space="preserve">arXiv</w:t>
      </w:r>
      <w:r>
        <w:t xml:space="preserve">. https://arxiv.org/abs/2412.19553</w:t>
      </w:r>
    </w:p>
    <w:p>
      <w:pPr>
        <w:pStyle w:val="BodyText"/>
        <w:ind w:left="720" w:hanging="720"/>
        <w:jc w:val="left"/>
      </w:pPr>
      <w:r>
        <w:t xml:space="preserve">Zhuang, S., Huang, M., Fu, F., Chen, N., Lei, B., &amp; Mao, Z. (2025). HDGlyph: A hierarchical disentangled glyph-based framework for long-tail text rendering in diffusion models.</w:t>
      </w:r>
      <w:r>
        <w:t xml:space="preserve"> </w:t>
      </w:r>
      <w:r>
        <w:rPr>
          <w:i/>
          <w:iCs/>
        </w:rPr>
        <w:t xml:space="preserve">arXiv</w:t>
      </w:r>
      <w:r>
        <w:t xml:space="preserve">. https://arxiv.org/abs/2505.06543</w:t>
      </w:r>
    </w:p>
    <w:sectPr>
      <w:footnotePr>
        <w:numRestart w:val="eachSect"/>
      </w:footnotePr>
      <w:pgSz w:w="11906" w:h="16838"/>
      <w:pgMar w:top="1440" w:right="1440" w:bottom="1440" w:left="216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Theme="minorEastAsia" w:hAnsi="Arial"/>
        <w:sz w:val="24"/>
        <w:szCs w:val="24"/>
        <w:lang w:bidi="ar-SA" w:eastAsia="zh-CN" w:val="en-U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line="360" w:lineRule="auto"/>
      <w:ind w:firstLine="720"/>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line="360" w:lineRule="auto"/>
      <w:ind w:firstLine="0"/>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Theme="majorEastAsia" w:hAnsi="Arial"/>
      <w:sz w:val="24"/>
      <w:szCs w:val="24"/>
    </w:rPr>
  </w:style>
  <w:style w:customStyle="1" w:styleId="TitleChar" w:type="character">
    <w:name w:val="Title Char"/>
    <w:basedOn w:val="DefaultParagraphFont"/>
    <w:link w:val="Title"/>
    <w:uiPriority w:val="10"/>
    <w:rsid w:val="00A10FD9"/>
    <w:rPr>
      <w:rFonts w:ascii="Arial" w:cs="Arial" w:eastAsiaTheme="majorEastAsia" w:hAnsi="Arial"/>
      <w:sz w:val="24"/>
      <w:szCs w:val="24"/>
    </w:rPr>
  </w:style>
  <w:style w:styleId="Subtitle" w:type="paragraph">
    <w:name w:val="Subtitle"/>
    <w:basedOn w:val="Title"/>
    <w:next w:val="BodyText"/>
    <w:link w:val="SubtitleChar"/>
    <w:uiPriority w:val="11"/>
    <w:qFormat/>
    <w:rsid w:val="00A10FD9"/>
    <w:pPr>
      <w:numPr>
        <w:ilvl w:val="1"/>
      </w:numPr>
    </w:pPr>
    <w:rPr>
      <w:rFonts w:cs="Arial" w:eastAsiaTheme="majorEastAsia"/>
      <w:spacing w:val="15" w:line="360" w:lineRule="auto"/>
      <w:sz w:val="24"/>
      <w:szCs w:val="24"/>
    </w:rPr>
  </w:style>
  <w:style w:customStyle="1" w:styleId="SubtitleChar" w:type="character">
    <w:name w:val="Subtitle Char"/>
    <w:basedOn w:val="DefaultParagraphFont"/>
    <w:link w:val="Subtitle"/>
    <w:uiPriority w:val="11"/>
    <w:rsid w:val="00A10FD9"/>
    <w:rPr>
      <w:rFonts w:cs="Arial" w:eastAsiaTheme="majorEastAsia"/>
      <w:color w:val="000000"/>
      <w:spacing w:val="15" w:line="360" w:lineRule="auto"/>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line="360" w:lineRule="auto"/>
      <w:jc w:val="center"/>
    </w:pPr>
    <w:rPr>
      <w:b/>
      <w:sz w:val="24"/>
      <w:szCs w:val="24"/>
    </w:rPr>
  </w:style>
  <w:style w:customStyle="1" w:styleId="Abstract" w:type="paragraph">
    <w:name w:val="Abstract"/>
    <w:basedOn w:val="Normal"/>
    <w:next w:val="BodyText"/>
    <w:qFormat/>
    <w:pPr>
      <w:keepNext/>
      <w:keepLines/>
      <w:spacing w:after="300" w:before="100" w:line="360" w:lineRule="auto"/>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b/>
      <w:bCs/>
      <w:rFonts w:ascii="Arial" w:cs="Arial" w:eastAsiaTheme="majorEastAsia" w:hAnsi="Arial"/>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b/>
      <w:bCs/>
      <w:rFonts w:ascii="Arial" w:cs="Arial" w:eastAsiaTheme="majorEastAsia" w:hAnsi="Arial"/>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b/>
      <w:bCs/>
      <w:rFonts w:cs="Arial" w:eastAsiaTheme="majorEastAsia"/>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b/>
      <w:bCs/>
      <w:rFonts w:cs="Arial"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b/>
      <w:bCs/>
      <w:rFonts w:cs="Arial"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b/>
      <w:bCs/>
      <w:rFonts w:cs="Arial"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line="360" w:lineRule="auto"/>
      <w:outlineLvl w:val="6"/>
    </w:pPr>
    <w:rPr>
      <w:rFonts w:cs="Arial"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line="360" w:lineRule="auto"/>
      <w:outlineLvl w:val="7"/>
    </w:pPr>
    <w:rPr>
      <w:rFonts w:cs="Arial"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line="360" w:lineRule="auto"/>
      <w:outlineLvl w:val="8"/>
    </w:pPr>
    <w:rPr>
      <w:rFonts w:cs="Arial" w:eastAsiaTheme="majorEastAsia"/>
      <w:color w:val="000000"/>
    </w:rPr>
  </w:style>
  <w:style w:customStyle="1" w:styleId="Heading1Char" w:type="character">
    <w:name w:val="Heading 1 Char"/>
    <w:basedOn w:val="DefaultParagraphFont"/>
    <w:link w:val="Heading1"/>
    <w:uiPriority w:val="9"/>
    <w:rsid w:val="00A10FD9"/>
    <w:rPr>
      <w:rFonts w:ascii="Arial" w:cs="Arial" w:eastAsiaTheme="majorEastAsia" w:hAnsi="Arial"/>
      <w:color w:val="000000"/>
      <w:sz w:val="24"/>
      <w:szCs w:val="24"/>
    </w:rPr>
  </w:style>
  <w:style w:customStyle="1" w:styleId="Heading2Char" w:type="character">
    <w:name w:val="Heading 2 Char"/>
    <w:basedOn w:val="DefaultParagraphFont"/>
    <w:link w:val="Heading2"/>
    <w:uiPriority w:val="9"/>
    <w:semiHidden/>
    <w:rsid w:val="00A10FD9"/>
    <w:rPr>
      <w:rFonts w:ascii="Arial" w:cs="Arial" w:eastAsiaTheme="majorEastAsia" w:hAnsi="Arial"/>
      <w:color w:val="000000"/>
      <w:sz w:val="24"/>
      <w:szCs w:val="24"/>
    </w:rPr>
  </w:style>
  <w:style w:customStyle="1" w:styleId="Heading3Char" w:type="character">
    <w:name w:val="Heading 3 Char"/>
    <w:basedOn w:val="DefaultParagraphFont"/>
    <w:link w:val="Heading3"/>
    <w:uiPriority w:val="9"/>
    <w:semiHidden/>
    <w:rsid w:val="00A10FD9"/>
    <w:rPr>
      <w:rFonts w:cs="Arial" w:eastAsiaTheme="majorEastAsia"/>
      <w:color w:val="000000"/>
      <w:sz w:val="24"/>
      <w:szCs w:val="24"/>
    </w:rPr>
  </w:style>
  <w:style w:customStyle="1" w:styleId="Heading4Char" w:type="character">
    <w:name w:val="Heading 4 Char"/>
    <w:basedOn w:val="DefaultParagraphFont"/>
    <w:link w:val="Heading4"/>
    <w:uiPriority w:val="9"/>
    <w:semiHidden/>
    <w:rsid w:val="00A10FD9"/>
    <w:rPr>
      <w:rFonts w:cs="Arial" w:eastAsiaTheme="majorEastAsia"/>
      <w:i/>
      <w:iCs/>
      <w:color w:val="000000"/>
    </w:rPr>
  </w:style>
  <w:style w:customStyle="1" w:styleId="Heading5Char" w:type="character">
    <w:name w:val="Heading 5 Char"/>
    <w:basedOn w:val="DefaultParagraphFont"/>
    <w:link w:val="Heading5"/>
    <w:uiPriority w:val="9"/>
    <w:semiHidden/>
    <w:rsid w:val="00A10FD9"/>
    <w:rPr>
      <w:rFonts w:cs="Arial" w:eastAsiaTheme="majorEastAsia"/>
      <w:color w:val="000000"/>
    </w:rPr>
  </w:style>
  <w:style w:customStyle="1" w:styleId="Heading6Char" w:type="character">
    <w:name w:val="Heading 6 Char"/>
    <w:basedOn w:val="DefaultParagraphFont"/>
    <w:link w:val="Heading6"/>
    <w:uiPriority w:val="9"/>
    <w:semiHidden/>
    <w:rsid w:val="00A10FD9"/>
    <w:rPr>
      <w:rFonts w:cs="Arial" w:eastAsiaTheme="majorEastAsia"/>
      <w:i/>
      <w:iCs/>
      <w:color w:val="000000"/>
    </w:rPr>
  </w:style>
  <w:style w:customStyle="1" w:styleId="Heading7Char" w:type="character">
    <w:name w:val="Heading 7 Char"/>
    <w:basedOn w:val="DefaultParagraphFont"/>
    <w:link w:val="Heading7"/>
    <w:uiPriority w:val="9"/>
    <w:semiHidden/>
    <w:rsid w:val="00A10FD9"/>
    <w:rPr>
      <w:rFonts w:cs="Arial" w:eastAsiaTheme="majorEastAsia"/>
      <w:color w:val="000000"/>
    </w:rPr>
  </w:style>
  <w:style w:customStyle="1" w:styleId="Heading8Char" w:type="character">
    <w:name w:val="Heading 8 Char"/>
    <w:basedOn w:val="DefaultParagraphFont"/>
    <w:link w:val="Heading8"/>
    <w:uiPriority w:val="9"/>
    <w:semiHidden/>
    <w:rsid w:val="00A10FD9"/>
    <w:rPr>
      <w:rFonts w:cs="Arial" w:eastAsiaTheme="majorEastAsia"/>
      <w:i/>
      <w:iCs/>
      <w:color w:val="000000"/>
    </w:rPr>
  </w:style>
  <w:style w:customStyle="1" w:styleId="Heading9Char" w:type="character">
    <w:name w:val="Heading 9 Char"/>
    <w:basedOn w:val="DefaultParagraphFont"/>
    <w:link w:val="Heading9"/>
    <w:uiPriority w:val="9"/>
    <w:semiHidden/>
    <w:rsid w:val="00A10FD9"/>
    <w:rPr>
      <w:rFonts w:cs="Arial" w:eastAsiaTheme="majorEastAsia"/>
      <w:color w:val="000000"/>
    </w:rPr>
  </w:style>
  <w:style w:styleId="BlockText" w:type="paragraph">
    <w:name w:val="Block Text"/>
    <w:basedOn w:val="BodyText"/>
    <w:next w:val="BodyText"/>
    <w:uiPriority w:val="9"/>
    <w:unhideWhenUsed/>
    <w:qFormat/>
    <w:pPr>
      <w:spacing w:after="100" w:before="100" w:line="360"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line="360" w:lineRule="auto"/>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val="single"/>
        <w:bottom w:val="single"/>
      </w:tblBorders>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b/>
    </w:rPr>
  </w:style>
  <w:style w:customStyle="1" w:styleId="Definition" w:type="paragraph">
    <w:name w:val="Definition"/>
    <w:basedOn w:val="Normal"/>
  </w:style>
  <w:style w:styleId="Caption" w:type="paragraph">
    <w:name w:val="Caption"/>
    <w:basedOn w:val="Normal"/>
    <w:link w:val="BodyTextChar"/>
    <w:pPr>
      <w:spacing w:after="120" w:before="0" w:line="360" w:lineRule="auto"/>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hAnsi="Arial"/>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Arial" w:cs="Arial" w:eastAsiaTheme="majorEastAsia" w:hAnsi="Arial"/>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2" Target="media/rId132.png" /><Relationship Type="http://schemas.openxmlformats.org/officeDocument/2006/relationships/image" Id="rId33" Target="media/rId33.png" /><Relationship Type="http://schemas.openxmlformats.org/officeDocument/2006/relationships/image" Id="rId79" Target="media/rId79.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168" Target="media/rId168.png" /><Relationship Type="http://schemas.openxmlformats.org/officeDocument/2006/relationships/image" Id="rId29" Target="media/rId29.png" /><Relationship Type="http://schemas.openxmlformats.org/officeDocument/2006/relationships/image" Id="rId105" Target="media/rId105.png" /><Relationship Type="http://schemas.openxmlformats.org/officeDocument/2006/relationships/image" Id="rId95" Target="media/rId95.png" /><Relationship Type="http://schemas.openxmlformats.org/officeDocument/2006/relationships/image" Id="rId56" Target="media/rId56.png" /><Relationship Type="http://schemas.openxmlformats.org/officeDocument/2006/relationships/image" Id="rId87" Target="media/rId87.png" /><Relationship Type="http://schemas.openxmlformats.org/officeDocument/2006/relationships/image" Id="rId62" Target="media/rId62.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2026-08-07T16:42:03Z</dcterms:created>
  <dcterms:modified xsi:type="dcterms:W3CDTF">2026-08-07T16:42:03Z</dcterms:modified>
</cp:coreProperties>
</file>

<file path=docProps/custom.xml><?xml version="1.0" encoding="utf-8"?>
<Properties xmlns="http://schemas.openxmlformats.org/officeDocument/2006/custom-properties" xmlns:vt="http://schemas.openxmlformats.org/officeDocument/2006/docPropsVTypes"/>
</file>