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33.png" ContentType="image/png"/>
  <Override PartName="/word/media/rId79.png" ContentType="image/png"/>
  <Override PartName="/word/media/rId37.png" ContentType="image/png"/>
  <Override PartName="/word/media/rId45.png" ContentType="image/png"/>
  <Override PartName="/word/media/rId168.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97656"/>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97656"/>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347029"/>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34702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4740200" cy="9376422"/>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4740200" cy="9376422"/>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00235"/>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0023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79692"/>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79692"/>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accepted input is a raster image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and animated or photographic formats (GIF, HEIC) fall outside the study’s scope of directly generated still images.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 the pristine renders together with their degraded variants —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The threshold is not chosen by hand; it is fixed during the offline calibration to the operating point of Section 4.10.2, the cutoff at which 95% of validation crops whose font truly is in the palette are accepted. The test also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since those ranks serve as next-closest alternatives rather than independent match claims. A crop whose closest font falls short of</w:t>
      </w:r>
      <w:r>
        <w:t xml:space="preserve"> </w:t>
      </w:r>
      <m:oMath>
        <m:r>
          <m:t>τ</m:t>
        </m:r>
      </m:oMath>
      <w:r>
        <w:t xml:space="preserve"> </w:t>
      </w:r>
      <w:r>
        <w:t xml:space="preserve">yields an explicit</w:t>
      </w:r>
      <w:r>
        <w:t xml:space="preserve"> </w:t>
      </w:r>
      <w:r>
        <w:t xml:space="preserve">“unknown font”</w:t>
      </w:r>
      <w:r>
        <w:t xml:space="preserve"> </w:t>
      </w:r>
      <w:r>
        <w:t xml:space="preserve">verdict, in which the system names no font at all, and no partial shortlist exists because every other font is farther still.</w:t>
      </w:r>
    </w:p>
    <w:p>
      <w:pPr>
        <w:pStyle w:val="BodyText"/>
      </w:pPr>
      <w:r>
        <w:rPr>
          <w:b/>
          <w:bCs/>
        </w:rPr>
        <w:t xml:space="preserve">Word-level granularity and mixed typography.</w:t>
      </w:r>
      <w:r>
        <w:t xml:space="preserve"> </w:t>
      </w:r>
      <w:r>
        <w:t xml:space="preserve">The text regions of Figure 8 are delimited at word granularity: the localizer emits one bounding box per word, under the assumption that each word is set in a single typeface. This holds for the overwhelming majority of designed text, where font changes fall between words — a heading face against an accent face — rather than inside them, so word crops make the one-font-per-crop premise of the match test approximately true by construction; adjacent words that receive the same verdict are merged back into a single region in the presentation layer, so a five-word headline still reads as one result. The assumption is checked rather than trusted. The ViT encoder’s forward pass already yields one token per image patch, and when a crop’s patch tokens disagree about style — the signature of two typefaces sharing one box, or of a localizer box that swallowed two words — the crop is flagged as inhomogeneous at no additional inference cost, split at the token-cluster boundary, and each half is matched on its own. A half that remains incoherent after one split receives a third verdict,</w:t>
      </w:r>
      <w:r>
        <w:t xml:space="preserve"> </w:t>
      </w:r>
      <w:r>
        <w:rPr>
          <w:b/>
          <w:bCs/>
        </w:rPr>
        <w:t xml:space="preserve">“mixed typography”</w:t>
      </w:r>
      <w:r>
        <w:t xml:space="preserve">: distinct from</w:t>
      </w:r>
      <w:r>
        <w:t xml:space="preserve"> </w:t>
      </w:r>
      <w:r>
        <w:t xml:space="preserve">“unknown,”</w:t>
      </w:r>
      <w:r>
        <w:t xml:space="preserve"> </w:t>
      </w:r>
      <w:r>
        <w:t xml:space="preserve">it reports that the crop violates the single-font premise and that no one font can honestly be assigned, instead of confidently naming the majority face and silently discarding the other. Attribution finer than one split — per-glyph styling inside an unsplittable word — is out of scope: it would require character segmentation on precisely the malformed glyphs that defeat segmenters, and a word deliberately set in two typefaces has no single reconstructable font for the template goal in any case.</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expanded by the operator D with degraded look-alikes, and the combined pristine-plus-degraded corpus trains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p>
      <w:pPr>
        <w:pStyle w:val="BodyText"/>
      </w:pPr>
      <w:r>
        <w:rPr>
          <w:b/>
          <w:bCs/>
        </w:rPr>
        <w:t xml:space="preserve">The framework as a step-by-step process.</w:t>
      </w:r>
      <w:r>
        <w:t xml:space="preserve"> </w:t>
      </w:r>
      <w:r>
        <w:t xml:space="preserve">For an outside researcher, the three bands of Figure 8 unfold into the following ordered procedure. Each step names its input, its operation, and its output; the section that owns a step’s parameters is cited in place, so the full detail of any step is one reference away.</w:t>
      </w:r>
    </w:p>
    <w:p>
      <w:pPr>
        <w:pStyle w:val="BodyText"/>
      </w:pPr>
      <w:r>
        <w:rPr>
          <w:i/>
          <w:iCs/>
        </w:rPr>
        <w:t xml:space="preserve">Before deployment — executed once by the researchers:</w:t>
      </w:r>
    </w:p>
    <w:p>
      <w:pPr>
        <w:pStyle w:val="Compact"/>
        <w:numPr>
          <w:ilvl w:val="0"/>
          <w:numId w:val="1004"/>
        </w:numPr>
      </w:pPr>
      <w:r>
        <w:rPr>
          <w:b/>
          <w:bCs/>
        </w:rPr>
        <w:t xml:space="preserve">Select the palette.</w:t>
      </w:r>
      <w:r>
        <w:t xml:space="preserve"> </w:t>
      </w:r>
      <w:r>
        <w:t xml:space="preserve">The top 50–100 Google Fonts are curated across the four structural family classes under the bounding rationale of Section 4.1. Output: a fixed set of font files, each a named class.</w:t>
      </w:r>
    </w:p>
    <w:p>
      <w:pPr>
        <w:pStyle w:val="Compact"/>
        <w:numPr>
          <w:ilvl w:val="0"/>
          <w:numId w:val="1004"/>
        </w:numPr>
      </w:pPr>
      <w:r>
        <w:rPr>
          <w:b/>
          <w:bCs/>
        </w:rPr>
        <w:t xml:space="preserve">Render pristine crops.</w:t>
      </w:r>
      <w:r>
        <w:t xml:space="preserve"> </w:t>
      </w:r>
      <w:r>
        <w:t xml:space="preserve">Every palette font is rendered into word crops under the image and text properties of Section 4.3.1. Output: labeled clean images, the font of each known by construction.</w:t>
      </w:r>
    </w:p>
    <w:p>
      <w:pPr>
        <w:pStyle w:val="Compact"/>
        <w:numPr>
          <w:ilvl w:val="0"/>
          <w:numId w:val="1004"/>
        </w:numPr>
      </w:pPr>
      <w:r>
        <w:rPr>
          <w:b/>
          <w:bCs/>
        </w:rPr>
        <w:t xml:space="preserve">Degrade.</w:t>
      </w:r>
      <w:r>
        <w:t xml:space="preserve"> </w:t>
      </w:r>
      <w:r>
        <w:t xml:space="preserve">Each pristine crop passes through the operator</w:t>
      </w:r>
      <w:r>
        <w:t xml:space="preserve"> </w:t>
      </w:r>
      <m:oMath>
        <m:r>
          <m:t>D</m:t>
        </m:r>
      </m:oMath>
      <w:r>
        <w:t xml:space="preserve"> </w:t>
      </w:r>
      <w:r>
        <w:t xml:space="preserve">of Section 3.2.3 at logged intensities. Output: hallucinated look-alikes carrying the same label; the corpus holds both the pristine crops and the degraded copies, one metadata row each (Table 1).</w:t>
      </w:r>
    </w:p>
    <w:p>
      <w:pPr>
        <w:pStyle w:val="Compact"/>
        <w:numPr>
          <w:ilvl w:val="0"/>
          <w:numId w:val="1004"/>
        </w:numPr>
      </w:pPr>
      <w:r>
        <w:rPr>
          <w:b/>
          <w:bCs/>
        </w:rPr>
        <w:t xml:space="preserve">Partition.</w:t>
      </w:r>
      <w:r>
        <w:t xml:space="preserve"> </w:t>
      </w:r>
      <w:r>
        <w:t xml:space="preserve">The corpus splits 70/15/15 into training, validation, and test sets, stratified as in Section 4.3.2. The validation and test slices are not touched again until steps 8 and 11.</w:t>
      </w:r>
    </w:p>
    <w:p>
      <w:pPr>
        <w:pStyle w:val="Compact"/>
        <w:numPr>
          <w:ilvl w:val="0"/>
          <w:numId w:val="1004"/>
        </w:numPr>
      </w:pPr>
      <w:r>
        <w:rPr>
          <w:b/>
          <w:bCs/>
        </w:rPr>
        <w:t xml:space="preserve">Train the teacher.</w:t>
      </w:r>
      <w:r>
        <w:t xml:space="preserve"> </w:t>
      </w:r>
      <w:r>
        <w:t xml:space="preserve">DINOv2 with the LoRA adaptation of Section 4.3.2 is fitted to the font labels on the training slice. Output: a supervising model that never leaves this band.</w:t>
      </w:r>
    </w:p>
    <w:p>
      <w:pPr>
        <w:pStyle w:val="Compact"/>
        <w:numPr>
          <w:ilvl w:val="0"/>
          <w:numId w:val="1004"/>
        </w:numPr>
      </w:pPr>
      <w:r>
        <w:rPr>
          <w:b/>
          <w:bCs/>
        </w:rPr>
        <w:t xml:space="preserve">Train the student.</w:t>
      </w:r>
      <w:r>
        <w:t xml:space="preserve"> </w:t>
      </w:r>
      <w:r>
        <w:t xml:space="preserve">The metric head</w:t>
      </w:r>
      <w:r>
        <w:t xml:space="preserve"> </w:t>
      </w:r>
      <m:oMath>
        <m:sSub>
          <m:e>
            <m:r>
              <m:t>f</m:t>
            </m:r>
          </m:e>
          <m:sub>
            <m:r>
              <m:t>θ</m:t>
            </m:r>
          </m:sub>
        </m:sSub>
      </m:oMath>
      <w:r>
        <w:t xml:space="preserve"> </w:t>
      </w:r>
      <w:r>
        <w:t xml:space="preserve">trains on the same slice under two simultaneous signals — the triplet objective on the labels (Chapter 3) and distillation toward the teacher’s similarity judgments, which consults no labels. Output: an embedding function that maps any crop to a font-style fingerprint.</w:t>
      </w:r>
    </w:p>
    <w:p>
      <w:pPr>
        <w:pStyle w:val="Compact"/>
        <w:numPr>
          <w:ilvl w:val="0"/>
          <w:numId w:val="1004"/>
        </w:numPr>
      </w:pPr>
      <w:r>
        <w:rPr>
          <w:b/>
          <w:bCs/>
        </w:rPr>
        <w:t xml:space="preserve">Build the palette map.</w:t>
      </w:r>
      <w:r>
        <w:t xml:space="preserve"> </w:t>
      </w:r>
      <w:r>
        <w:t xml:space="preserve">Every training crop of each font is embedded by the finished student and averaged into that font’s prototype. Output: one reference fingerprint per palette font.</w:t>
      </w:r>
    </w:p>
    <w:p>
      <w:pPr>
        <w:pStyle w:val="Compact"/>
        <w:numPr>
          <w:ilvl w:val="0"/>
          <w:numId w:val="1004"/>
        </w:numPr>
      </w:pPr>
      <w:r>
        <w:rPr>
          <w:b/>
          <w:bCs/>
        </w:rPr>
        <w:t xml:space="preserve">Calibrate.</w:t>
      </w:r>
      <w:r>
        <w:t xml:space="preserve"> </w:t>
      </w:r>
      <w:r>
        <w:t xml:space="preserve">Validation crops are embedded and scored against their nearest prototypes;</w:t>
      </w:r>
      <w:r>
        <w:t xml:space="preserve"> </w:t>
      </w:r>
      <m:oMath>
        <m:r>
          <m:t>τ</m:t>
        </m:r>
      </m:oMath>
      <w:r>
        <w:t xml:space="preserve"> </w:t>
      </w:r>
      <w:r>
        <w:t xml:space="preserve">is fixed at the cutoff that accepts 95% of the crops whose font truly is in the palette, the operating point of Section 4.10.2. Output: the trained model —</w:t>
      </w:r>
      <w:r>
        <w:t xml:space="preserve"> </w:t>
      </w:r>
      <m:oMath>
        <m:sSub>
          <m:e>
            <m:r>
              <m:t>f</m:t>
            </m:r>
          </m:e>
          <m:sub>
            <m:r>
              <m:t>θ</m:t>
            </m:r>
          </m:sub>
        </m:sSub>
      </m:oMath>
      <w:r>
        <w:t xml:space="preserve">, the prototypes, and</w:t>
      </w:r>
      <w:r>
        <w:t xml:space="preserve"> </w:t>
      </w:r>
      <m:oMath>
        <m:r>
          <m:t>τ</m:t>
        </m:r>
      </m:oMath>
      <w:r>
        <w:t xml:space="preserve">. The teacher is discarded.</w:t>
      </w:r>
    </w:p>
    <w:p>
      <w:pPr>
        <w:pStyle w:val="FirstParagraph"/>
      </w:pPr>
      <w:r>
        <w:rPr>
          <w:i/>
          <w:iCs/>
        </w:rPr>
        <w:t xml:space="preserve">At use — executed for every uploaded image:</w:t>
      </w:r>
    </w:p>
    <w:p>
      <w:pPr>
        <w:pStyle w:val="Compact"/>
        <w:numPr>
          <w:ilvl w:val="0"/>
          <w:numId w:val="1005"/>
        </w:numPr>
      </w:pPr>
      <w:r>
        <w:rPr>
          <w:b/>
          <w:bCs/>
        </w:rPr>
        <w:t xml:space="preserve">Ingest.</w:t>
      </w:r>
      <w:r>
        <w:t xml:space="preserve"> </w:t>
      </w:r>
      <w:r>
        <w:t xml:space="preserve">The user submits a raster image in an accepted format (Section 4.2.4). The off-the-shelf localizer emits one bounding box per word, and each word crop proceeds independently.</w:t>
      </w:r>
    </w:p>
    <w:p>
      <w:pPr>
        <w:pStyle w:val="Compact"/>
        <w:numPr>
          <w:ilvl w:val="0"/>
          <w:numId w:val="1005"/>
        </w:numPr>
      </w:pPr>
      <w:r>
        <w:rPr>
          <w:b/>
          <w:bCs/>
        </w:rPr>
        <w:t xml:space="preserve">Embed and check.</w:t>
      </w:r>
      <w:r>
        <w:t xml:space="preserve"> </w:t>
      </w:r>
      <w:r>
        <w:t xml:space="preserve">Inside the model’s forward pass each crop is prepared (square-pad, 224², grayscale, normalize; Section 4.3.2), encoded by the frozen backbone, and projected by</w:t>
      </w:r>
      <w:r>
        <w:t xml:space="preserve"> </w:t>
      </w:r>
      <m:oMath>
        <m:sSub>
          <m:e>
            <m:r>
              <m:t>f</m:t>
            </m:r>
          </m:e>
          <m:sub>
            <m:r>
              <m:t>θ</m:t>
            </m:r>
          </m:sub>
        </m:sSub>
      </m:oMath>
      <w:r>
        <w:t xml:space="preserve"> </w:t>
      </w:r>
      <w:r>
        <w:t xml:space="preserve">into a fingerprint. The same pass yields the patch tokens for the homogeneity check described above; a flagged crop is split once and each half re-enters this step, and a half that stays incoherent exits with the mixed-typography verdict.</w:t>
      </w:r>
    </w:p>
    <w:p>
      <w:pPr>
        <w:pStyle w:val="Compact"/>
        <w:numPr>
          <w:ilvl w:val="0"/>
          <w:numId w:val="1005"/>
        </w:numPr>
      </w:pPr>
      <w:r>
        <w:rPr>
          <w:b/>
          <w:bCs/>
        </w:rPr>
        <w:t xml:space="preserve">Decide.</w:t>
      </w:r>
      <w:r>
        <w:t xml:space="preserve"> </w:t>
      </w:r>
      <w:r>
        <w:t xml:space="preserve">The fingerprint’s similarity to its nearest prototype meets the match test: at or above</w:t>
      </w:r>
      <w:r>
        <w:t xml:space="preserve"> </w:t>
      </w:r>
      <m:oMath>
        <m:r>
          <m:t>τ</m:t>
        </m:r>
      </m:oMath>
      <w:r>
        <w:t xml:space="preserve">, the crop returns its Top-3 shortlist with similarity scores and live font previews; below</w:t>
      </w:r>
      <w:r>
        <w:t xml:space="preserve"> </w:t>
      </w:r>
      <m:oMath>
        <m:r>
          <m:t>τ</m:t>
        </m:r>
      </m:oMath>
      <w:r>
        <w:t xml:space="preserve">, it returns the unknown-font verdict. Adjacent words with the same verdict merge into one region card in the interface (Section 4.5).</w:t>
      </w:r>
    </w:p>
    <w:p>
      <w:pPr>
        <w:pStyle w:val="FirstParagraph"/>
      </w:pPr>
      <w:r>
        <w:rPr>
          <w:i/>
          <w:iCs/>
        </w:rPr>
        <w:t xml:space="preserve">How we measure it — executed offline on held-out data:</w:t>
      </w:r>
    </w:p>
    <w:p>
      <w:pPr>
        <w:pStyle w:val="Compact"/>
        <w:numPr>
          <w:ilvl w:val="0"/>
          <w:numId w:val="1006"/>
        </w:numPr>
      </w:pPr>
      <w:r>
        <w:rPr>
          <w:b/>
          <w:bCs/>
        </w:rPr>
        <w:t xml:space="preserve">Score recognition.</w:t>
      </w:r>
      <w:r>
        <w:t xml:space="preserve"> </w:t>
      </w:r>
      <w:r>
        <w:t xml:space="preserve">Top-1/Top-3 accuracy on the untouched synthetic test slice and on the real-generative set, whose ground truth is the human-proxy panel consensus of Section 4.2.3.</w:t>
      </w:r>
    </w:p>
    <w:p>
      <w:pPr>
        <w:pStyle w:val="Compact"/>
        <w:numPr>
          <w:ilvl w:val="0"/>
          <w:numId w:val="1006"/>
        </w:numPr>
      </w:pPr>
      <w:r>
        <w:rPr>
          <w:b/>
          <w:bCs/>
        </w:rPr>
        <w:t xml:space="preserve">Verify predictions structurally.</w:t>
      </w:r>
      <w:r>
        <w:t xml:space="preserve"> </w:t>
      </w:r>
      <w:r>
        <w:t xml:space="preserve">The re-render check of Section 4.2.2 scores each accepted prediction against its input crop.</w:t>
      </w:r>
    </w:p>
    <w:p>
      <w:pPr>
        <w:pStyle w:val="Compact"/>
        <w:numPr>
          <w:ilvl w:val="0"/>
          <w:numId w:val="1006"/>
        </w:numPr>
      </w:pPr>
      <w:r>
        <w:rPr>
          <w:b/>
          <w:bCs/>
        </w:rPr>
        <w:t xml:space="preserve">Compare.</w:t>
      </w:r>
      <w:r>
        <w:t xml:space="preserve"> </w:t>
      </w:r>
      <w:r>
        <w:t xml:space="preserve">The closed-set baselines and the backbone comparison run under the protocol of Section 4.10.2, on the same data and calibration recipe.</w:t>
      </w:r>
    </w:p>
    <w:p>
      <w:pPr>
        <w:pStyle w:val="FirstParagraph"/>
      </w:pPr>
      <w:r>
        <w:t xml:space="preserve">Any researcher holding the released code, the pinned seeds and versions (Section 4.7.3), and this sequence can regenerate the corpus bit-for-bit, retrain both models, arrive at the same</w:t>
      </w:r>
      <w:r>
        <w:t xml:space="preserve"> </w:t>
      </w:r>
      <m:oMath>
        <m:r>
          <m:t>τ</m:t>
        </m:r>
      </m:oMath>
      <w:r>
        <w:t xml:space="preserve">, and reproduce the reported tables — which is the standard the framework is built to meet.</w:t>
      </w:r>
    </w:p>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7"/>
        </w:numPr>
      </w:pPr>
      <w:r>
        <w:t xml:space="preserve">Accept an uploaded generative-AI image in common raster formats (PNG, JPEG) through the browser.</w:t>
      </w:r>
    </w:p>
    <w:p>
      <w:pPr>
        <w:pStyle w:val="Compact"/>
        <w:numPr>
          <w:ilvl w:val="0"/>
          <w:numId w:val="1007"/>
        </w:numPr>
      </w:pPr>
      <w:r>
        <w:t xml:space="preserve">Localize and crop each text region in the image using an off-the-shelf text detector.</w:t>
      </w:r>
    </w:p>
    <w:p>
      <w:pPr>
        <w:pStyle w:val="Compact"/>
        <w:numPr>
          <w:ilvl w:val="0"/>
          <w:numId w:val="1007"/>
        </w:numPr>
      </w:pPr>
      <w:r>
        <w:t xml:space="preserve">Preprocess each crop and embed it with the frozen DINOv2 encoder and the trained metric head.</w:t>
      </w:r>
    </w:p>
    <w:p>
      <w:pPr>
        <w:pStyle w:val="Compact"/>
        <w:numPr>
          <w:ilvl w:val="0"/>
          <w:numId w:val="1007"/>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7"/>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7"/>
        </w:numPr>
      </w:pPr>
      <w:r>
        <w:t xml:space="preserve">Render a preview of each candidate font so the user can compare it against the source text.</w:t>
      </w:r>
    </w:p>
    <w:p>
      <w:pPr>
        <w:pStyle w:val="Compact"/>
        <w:numPr>
          <w:ilvl w:val="0"/>
          <w:numId w:val="1007"/>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7"/>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8"/>
        </w:numPr>
      </w:pPr>
      <w:r>
        <w:t xml:space="preserve">Be usable through a single upload-and-review interaction that hides the underlying model (usability).</w:t>
      </w:r>
    </w:p>
    <w:p>
      <w:pPr>
        <w:pStyle w:val="Compact"/>
        <w:numPr>
          <w:ilvl w:val="0"/>
          <w:numId w:val="1008"/>
        </w:numPr>
      </w:pPr>
      <w:r>
        <w:t xml:space="preserve">Return results at interactive latency on a single machine, targeting a response within a few seconds per image (responsiveness).</w:t>
      </w:r>
    </w:p>
    <w:p>
      <w:pPr>
        <w:pStyle w:val="Compact"/>
        <w:numPr>
          <w:ilvl w:val="0"/>
          <w:numId w:val="1008"/>
        </w:numPr>
      </w:pPr>
      <w:r>
        <w:t xml:space="preserve">Produce the same output for the same input, through deterministic preprocessing and pinned model weights and seeds (reproducibility).</w:t>
      </w:r>
    </w:p>
    <w:p>
      <w:pPr>
        <w:pStyle w:val="Compact"/>
        <w:numPr>
          <w:ilvl w:val="0"/>
          <w:numId w:val="1008"/>
        </w:numPr>
      </w:pPr>
      <w:r>
        <w:t xml:space="preserve">Run from a single Docker image on one host, with no external service dependencies at inference time beyond the bundled weights and font files (portability).</w:t>
      </w:r>
    </w:p>
    <w:p>
      <w:pPr>
        <w:pStyle w:val="Compact"/>
        <w:numPr>
          <w:ilvl w:val="0"/>
          <w:numId w:val="1008"/>
        </w:numPr>
      </w:pPr>
      <w:r>
        <w:t xml:space="preserve">Keep the localizer, encoder, metric head, and open-set decision as separable components, so any one can be replaced without rewriting the others (maintainability).</w:t>
      </w:r>
    </w:p>
    <w:p>
      <w:pPr>
        <w:pStyle w:val="Compact"/>
        <w:numPr>
          <w:ilvl w:val="0"/>
          <w:numId w:val="1008"/>
        </w:numPr>
      </w:pPr>
      <w:r>
        <w:t xml:space="preserve">Operate as a single-user local demo, with no authentication, accounts, or multi-user scaling in scope (a deliberate delimitation, consistent with Section 4.1).</w:t>
      </w:r>
    </w:p>
    <w:p>
      <w:pPr>
        <w:pStyle w:val="Compact"/>
        <w:numPr>
          <w:ilvl w:val="0"/>
          <w:numId w:val="1008"/>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938346"/>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938346"/>
                    </a:xfrm>
                    <a:prstGeom prst="rect">
                      <a:avLst/>
                    </a:prstGeom>
                    <a:noFill/>
                    <a:ln w="9525">
                      <a:noFill/>
                      <a:headEnd/>
                      <a:tailEnd/>
                    </a:ln>
                  </pic:spPr>
                </pic:pic>
              </a:graphicData>
            </a:graphic>
          </wp:inline>
        </w:drawing>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9"/>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9"/>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9"/>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9"/>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4213"/>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4213"/>
                    </a:xfrm>
                    <a:prstGeom prst="rect">
                      <a:avLst/>
                    </a:prstGeom>
                    <a:noFill/>
                    <a:ln w="9525">
                      <a:noFill/>
                      <a:headEnd/>
                      <a:tailEnd/>
                    </a:ln>
                  </pic:spPr>
                </pic:pic>
              </a:graphicData>
            </a:graphic>
          </wp:inline>
        </w:drawing>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Git and GitHub provide version control and repository hosting, and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p>
      <w:pPr>
        <w:pStyle w:val="BodyText"/>
      </w:pPr>
      <w:r>
        <w:t xml:space="preserve">Two validation instruments follow from the word-level design of Section 4.4.2. First, the mixed-typography verdict is validated against a</w:t>
      </w:r>
      <w:r>
        <w:t xml:space="preserve"> </w:t>
      </w:r>
      <w:r>
        <w:rPr>
          <w:b/>
          <w:bCs/>
        </w:rPr>
        <w:t xml:space="preserve">mixed-font stressor set</w:t>
      </w:r>
      <w:r>
        <w:t xml:space="preserve"> </w:t>
      </w:r>
      <w:r>
        <w:t xml:space="preserve">the synthetic pipeline renders on demand: lines and words deliberately set in two palette fonts at controlled mixing ratios, degraded by the operator</w:t>
      </w:r>
      <w:r>
        <w:t xml:space="preserve"> </w:t>
      </w:r>
      <m:oMath>
        <m:r>
          <m:t>D</m:t>
        </m:r>
      </m:oMath>
      <w:r>
        <w:t xml:space="preserve"> </w:t>
      </w:r>
      <w:r>
        <w:t xml:space="preserve">like every other crop, so the detection rate and false-alarm rate of the homogeneity check are measured on labeled data that no in-the-wild collection could supply. Because the served unit is the word crop, the threshold calibration of this section is likewise performed on word-granularity validation crops. Second, the choice of encoder is validated by a</w:t>
      </w:r>
      <w:r>
        <w:t xml:space="preserve"> </w:t>
      </w:r>
      <w:r>
        <w:rPr>
          <w:b/>
          <w:bCs/>
        </w:rPr>
        <w:t xml:space="preserve">backbone comparison</w:t>
      </w:r>
      <w:r>
        <w:t xml:space="preserve"> </w:t>
      </w:r>
      <w:r>
        <w:t xml:space="preserve">rather than assumed: the same frozen-encoder-plus-metric-head recipe, corpus, and calibration procedure are re-run with the backbone swapped — the incumbent DINOv2 against a contrastively pretrained vision-language encoder, a supervised ViT, and a convolutional baseline — holding everything else fixed, and each candidate is reported with its Top-1/Top-3 accuracy, false-positive rate at 95% recall, parameter count, and CPU and GPU inference latency. The homogeneity check narrows the field before speed and accuracy decide it: the check reads per-patch tokens, so a qualifying backbone must expose patch-level features, which is a property of the ViT family that a pooled convolutional embedding does not natively provide. The comparison therefore selects the deployed model on measured evidence, with the architecture class justified by the capability the pipeline requires of it.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pPr>
      <w:r>
        <w:t xml:space="preserve">IEEE 830 / ISO·IEC·IEEE 29148 Format</w:t>
      </w:r>
    </w:p>
    <w:p>
      <w:pPr>
        <w:pStyle w:val="BodyText"/>
      </w:pPr>
      <w:r>
        <w:rPr>
          <w:b/>
          <w:bCs/>
        </w:rPr>
        <w:t xml:space="preserve">Addressing Typographic Hallucination in Generative AI Images: An Open-Set Metric Learning Approach to Font Style Recognition</w:t>
      </w:r>
    </w:p>
    <w:p>
      <w:pPr>
        <w:pStyle w:val="BodyText"/>
      </w:pPr>
      <w:r>
        <w:t xml:space="preserve">Version 1.2 · August 3, 2026</w:t>
      </w:r>
    </w:p>
    <w:p>
      <w:pPr>
        <w:pStyle w:val="BodyText"/>
      </w:pPr>
      <w:r>
        <w:t xml:space="preserve">By</w:t>
      </w:r>
      <w:r>
        <w:t xml:space="preserve"> </w:t>
      </w:r>
      <w:r>
        <w:t xml:space="preserve">Janritch Diputado</w:t>
      </w:r>
      <w:r>
        <w:t xml:space="preserve"> </w:t>
      </w:r>
      <w:r>
        <w:t xml:space="preserve">Matt Cabarrubias</w:t>
      </w:r>
    </w:p>
    <w:p>
      <w:pPr>
        <w:pStyle w:val="BodyText"/>
        <w:keepNext/>
      </w:pPr>
      <w:r>
        <w:t xml:space="preserve">Christine D. Bandalan, MEng</w:t>
      </w:r>
      <w:r>
        <w:t xml:space="preserve"> </w:t>
      </w:r>
      <w:r>
        <w:t xml:space="preserve">Faculty Adviser</w:t>
      </w:r>
    </w:p>
    <w:p>
      <w:pPr>
        <w:pStyle w:val="Heading2"/>
        <w:keepNext/>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r>
        <w:tc>
          <w:tcPr/>
          <w:p>
            <w:pPr>
              <w:pStyle w:val="Compact"/>
              <w:jc w:val="left"/>
            </w:pPr>
            <w:r>
              <w:t xml:space="preserve">2026-07-26</w:t>
            </w:r>
          </w:p>
        </w:tc>
        <w:tc>
          <w:tcPr/>
          <w:p>
            <w:pPr>
              <w:pStyle w:val="Compact"/>
              <w:jc w:val="left"/>
            </w:pPr>
            <w:r>
              <w:t xml:space="preserve">1.1</w:t>
            </w:r>
          </w:p>
        </w:tc>
        <w:tc>
          <w:tcPr/>
          <w:p>
            <w:pPr>
              <w:pStyle w:val="Compact"/>
              <w:jc w:val="left"/>
            </w:pPr>
            <w:r>
              <w:t xml:space="preserve">Restructured to the IEEE 830 capstone template; adviser format revisions</w:t>
            </w:r>
          </w:p>
        </w:tc>
        <w:tc>
          <w:tcPr/>
          <w:p>
            <w:pPr>
              <w:pStyle w:val="Compact"/>
              <w:jc w:val="left"/>
            </w:pPr>
            <w:r>
              <w:t xml:space="preserve">Research team</w:t>
            </w:r>
          </w:p>
        </w:tc>
      </w:tr>
      <w:tr>
        <w:tc>
          <w:tcPr/>
          <w:p>
            <w:pPr>
              <w:pStyle w:val="Compact"/>
              <w:jc w:val="left"/>
            </w:pPr>
            <w:r>
              <w:t xml:space="preserve">2026-08-03</w:t>
            </w:r>
          </w:p>
        </w:tc>
        <w:tc>
          <w:tcPr/>
          <w:p>
            <w:pPr>
              <w:pStyle w:val="Compact"/>
              <w:jc w:val="left"/>
            </w:pPr>
            <w:r>
              <w:t xml:space="preserve">1.2</w:t>
            </w:r>
          </w:p>
        </w:tc>
        <w:tc>
          <w:tcPr/>
          <w:p>
            <w:pPr>
              <w:pStyle w:val="Compact"/>
              <w:jc w:val="left"/>
            </w:pPr>
            <w:r>
              <w:t xml:space="preserve">Post-defense revisions: word-level localization, mixed-typography verdict, word-merge presentation</w:t>
            </w:r>
          </w:p>
        </w:tc>
        <w:tc>
          <w:tcPr/>
          <w:p>
            <w:pPr>
              <w:pStyle w:val="Compact"/>
              <w:jc w:val="left"/>
            </w:pPr>
            <w:r>
              <w:t xml:space="preserve">Research team</w:t>
            </w:r>
          </w:p>
        </w:tc>
      </w:tr>
    </w:tbl>
    <w:p>
      <w:pPr>
        <w:pStyle w:val="Heading2"/>
      </w:pPr>
      <w:r>
        <w:t xml:space="preserve">1. Introduction</w:t>
      </w:r>
    </w:p>
    <w:p>
      <w:pPr>
        <w:pStyle w:val="Heading3"/>
      </w:pPr>
      <w:r>
        <w:t xml:space="preserve">1.1 Purpose</w:t>
      </w:r>
    </w:p>
    <w:p>
      <w:pPr>
        <w:pStyle w:val="FirstParagraph"/>
      </w:pPr>
      <w:r>
        <w:t xml:space="preserve">This Software Requirements Specification (SRS) defines the functional and non-functional requirements for</w:t>
      </w:r>
      <w:r>
        <w:t xml:space="preserve"> </w:t>
      </w:r>
      <w:r>
        <w:rPr>
          <w:b/>
          <w:bCs/>
        </w:rPr>
        <w:t xml:space="preserve">FontID</w:t>
      </w:r>
      <w:r>
        <w:t xml:space="preserve"> </w:t>
      </w:r>
      <w:r>
        <w:t xml:space="preserve">version 1.x, the web demonstrator that exposes the thesis’s font-recognition model to a user. It is the</w:t>
      </w:r>
      <w:r>
        <w:t xml:space="preserve"> </w:t>
      </w:r>
      <w:r>
        <w:rPr>
          <w:i/>
          <w:iCs/>
        </w:rPr>
        <w:t xml:space="preserve">artifact</w:t>
      </w:r>
      <w:r>
        <w:t xml:space="preserve"> </w:t>
      </w:r>
      <w:r>
        <w:t xml:space="preserve">half of the study’s build method (Ch4 §4.10): a single-page application that accepts a generative-AI image, runs the open-set metric-learning pipeline, and returns a ranked shortlist of the closest Google Fonts for each detected line of text — or rejects the text as out-of-palette. The software will not perform font vectorization, licensing, or any commercial identification.</w:t>
      </w:r>
    </w:p>
    <w:p>
      <w:pPr>
        <w:pStyle w:val="Heading3"/>
      </w:pPr>
      <w:r>
        <w:t xml:space="preserve">1.2 Document Conventions</w:t>
      </w:r>
    </w:p>
    <w:p>
      <w:pPr>
        <w:pStyle w:val="FirstParagraph"/>
      </w:pPr>
      <w:r>
        <w:t xml:space="preserve">Each requirement is labeled</w:t>
      </w:r>
      <w:r>
        <w:t xml:space="preserve"> </w:t>
      </w:r>
      <w:r>
        <w:rPr>
          <w:rStyle w:val="VerbatimChar"/>
        </w:rPr>
        <w:t xml:space="preserve">REQ-&lt;section&gt;-&lt;n&gt;</w:t>
      </w:r>
      <w:r>
        <w:t xml:space="preserve"> </w:t>
      </w:r>
      <w:r>
        <w:t xml:space="preserve">(e.g., REQ-4.1-2) with priority</w:t>
      </w:r>
      <w:r>
        <w:t xml:space="preserve"> </w:t>
      </w:r>
      <w:r>
        <w:rPr>
          <w:b/>
          <w:bCs/>
        </w:rPr>
        <w:t xml:space="preserve">High / Med / Low</w:t>
      </w:r>
      <w:r>
        <w:t xml:space="preserve">. Mandatory behavior uses</w:t>
      </w:r>
      <w:r>
        <w:t xml:space="preserve"> </w:t>
      </w:r>
      <w:r>
        <w:rPr>
          <w:b/>
          <w:bCs/>
        </w:rPr>
        <w:t xml:space="preserve">shall</w:t>
      </w:r>
      <w:r>
        <w:t xml:space="preserve">; desired behavior uses</w:t>
      </w:r>
      <w:r>
        <w:t xml:space="preserve"> </w:t>
      </w:r>
      <w:r>
        <w:rPr>
          <w:b/>
          <w:bCs/>
        </w:rPr>
        <w:t xml:space="preserve">should</w:t>
      </w:r>
      <w:r>
        <w:t xml:space="preserve">. Tables and figures follow APA 7th edition formatting.</w:t>
      </w:r>
    </w:p>
    <w:p>
      <w:pPr>
        <w:pStyle w:val="Heading3"/>
      </w:pPr>
      <w:r>
        <w:t xml:space="preserve">1.3 Intended Audience and Reading Suggestions</w:t>
      </w:r>
    </w:p>
    <w:p>
      <w:pPr>
        <w:pStyle w:val="FirstParagraph"/>
      </w:pPr>
      <w:r>
        <w:t xml:space="preserve">The document is intended for the two researcher-developers, the faculty adviser, and the panel evaluating the demonstrator. The panel and adviser may read Section 2 for a high-level view of scope and functions; the developers should read Sections 3–5 in full; evaluators verifying the demo should focus on Section 4 (features) and Section 5 (non-functional requirements) to derive test cases.</w:t>
      </w:r>
    </w:p>
    <w:p>
      <w:pPr>
        <w:pStyle w:val="Heading3"/>
      </w:pPr>
      <w:r>
        <w:t xml:space="preserve">1.4 Product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1.5 References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Ref#</w:t>
            </w:r>
          </w:p>
        </w:tc>
        <w:tc>
          <w:tcPr/>
          <w:p>
            <w:pPr>
              <w:pStyle w:val="Compact"/>
              <w:jc w:val="left"/>
            </w:pPr>
            <w:r>
              <w:t xml:space="preserve">Document Title</w:t>
            </w:r>
          </w:p>
        </w:tc>
        <w:tc>
          <w:tcPr/>
          <w:p>
            <w:pPr>
              <w:pStyle w:val="Compact"/>
              <w:jc w:val="left"/>
            </w:pPr>
            <w:r>
              <w:t xml:space="preserve">Version/Date</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Thesis Chapter 4 — Methodology (conceptual framework §4.4, architecture §4.5, build method §4.10)</w:t>
            </w:r>
          </w:p>
        </w:tc>
        <w:tc>
          <w:tcPr/>
          <w:p>
            <w:pPr>
              <w:pStyle w:val="Compact"/>
              <w:jc w:val="left"/>
            </w:pPr>
            <w:r>
              <w:t xml:space="preserve">2026</w:t>
            </w:r>
          </w:p>
        </w:tc>
        <w:tc>
          <w:tcPr/>
          <w:p>
            <w:pPr>
              <w:pStyle w:val="Compact"/>
              <w:jc w:val="left"/>
            </w:pPr>
            <w:r>
              <w:t xml:space="preserve">This thesis</w:t>
            </w:r>
          </w:p>
        </w:tc>
      </w:tr>
      <w:tr>
        <w:tc>
          <w:tcPr/>
          <w:p>
            <w:pPr>
              <w:pStyle w:val="Compact"/>
              <w:jc w:val="left"/>
            </w:pPr>
            <w:r>
              <w:t xml:space="preserve">[2]</w:t>
            </w:r>
          </w:p>
        </w:tc>
        <w:tc>
          <w:tcPr/>
          <w:p>
            <w:pPr>
              <w:pStyle w:val="Compact"/>
              <w:jc w:val="left"/>
            </w:pPr>
            <w:r>
              <w:t xml:space="preserve">IEEE Std 830-1998, Recommended Practice for Software Requirements Specifications</w:t>
            </w:r>
          </w:p>
        </w:tc>
        <w:tc>
          <w:tcPr/>
          <w:p>
            <w:pPr>
              <w:pStyle w:val="Compact"/>
              <w:jc w:val="left"/>
            </w:pPr>
            <w:r>
              <w:t xml:space="preserve">1998</w:t>
            </w:r>
          </w:p>
        </w:tc>
        <w:tc>
          <w:tcPr/>
          <w:p>
            <w:pPr>
              <w:pStyle w:val="Compact"/>
              <w:jc w:val="left"/>
            </w:pPr>
            <w:r>
              <w:t xml:space="preserve">IEEE</w:t>
            </w:r>
          </w:p>
        </w:tc>
      </w:tr>
      <w:tr>
        <w:tc>
          <w:tcPr/>
          <w:p>
            <w:pPr>
              <w:pStyle w:val="Compact"/>
              <w:jc w:val="left"/>
            </w:pPr>
            <w:r>
              <w:t xml:space="preserve">[3]</w:t>
            </w:r>
          </w:p>
        </w:tc>
        <w:tc>
          <w:tcPr/>
          <w:p>
            <w:pPr>
              <w:pStyle w:val="Compact"/>
              <w:jc w:val="left"/>
            </w:pPr>
            <w:r>
              <w:t xml:space="preserve">ISO/IEC/IEEE 29148:2018, Requirements engineering</w:t>
            </w:r>
          </w:p>
        </w:tc>
        <w:tc>
          <w:tcPr/>
          <w:p>
            <w:pPr>
              <w:pStyle w:val="Compact"/>
              <w:jc w:val="left"/>
            </w:pPr>
            <w:r>
              <w:t xml:space="preserve">2018</w:t>
            </w:r>
          </w:p>
        </w:tc>
        <w:tc>
          <w:tcPr/>
          <w:p>
            <w:pPr>
              <w:pStyle w:val="Compact"/>
              <w:jc w:val="left"/>
            </w:pPr>
            <w:r>
              <w:t xml:space="preserve">ISO/IEC/IEEE</w:t>
            </w:r>
          </w:p>
        </w:tc>
      </w:tr>
      <w:tr>
        <w:tc>
          <w:tcPr/>
          <w:p>
            <w:pPr>
              <w:pStyle w:val="Compact"/>
              <w:jc w:val="left"/>
            </w:pPr>
            <w:r>
              <w:t xml:space="preserve">[4]</w:t>
            </w:r>
          </w:p>
        </w:tc>
        <w:tc>
          <w:tcPr/>
          <w:p>
            <w:pPr>
              <w:pStyle w:val="Compact"/>
              <w:jc w:val="left"/>
            </w:pPr>
            <w:r>
              <w:t xml:space="preserve">Google Fonts open-source font library</w:t>
            </w:r>
          </w:p>
        </w:tc>
        <w:tc>
          <w:tcPr/>
          <w:p>
            <w:pPr>
              <w:pStyle w:val="Compact"/>
              <w:jc w:val="left"/>
            </w:pPr>
            <w:r>
              <w:t xml:space="preserve">current</w:t>
            </w:r>
          </w:p>
        </w:tc>
        <w:tc>
          <w:tcPr/>
          <w:p>
            <w:pPr>
              <w:pStyle w:val="Compact"/>
              <w:jc w:val="left"/>
            </w:pPr>
            <w:r>
              <w:t xml:space="preserve">https://fonts.google.com</w:t>
            </w:r>
          </w:p>
        </w:tc>
      </w:tr>
    </w:tbl>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10"/>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10"/>
        </w:numPr>
      </w:pPr>
      <w:r>
        <w:t xml:space="preserve">Localize the text in the image at word granularity and crop each word.</w:t>
      </w:r>
    </w:p>
    <w:p>
      <w:pPr>
        <w:pStyle w:val="Compact"/>
        <w:numPr>
          <w:ilvl w:val="0"/>
          <w:numId w:val="1010"/>
        </w:numPr>
      </w:pPr>
      <w:r>
        <w:t xml:space="preserve">Embed each crop, check it for font homogeneity, and rank it against the font palette.</w:t>
      </w:r>
    </w:p>
    <w:p>
      <w:pPr>
        <w:pStyle w:val="Compact"/>
        <w:numPr>
          <w:ilvl w:val="0"/>
          <w:numId w:val="1010"/>
        </w:numPr>
      </w:pPr>
      <w:r>
        <w:t xml:space="preserve">Return a Top-K shortlist per crop with a similarity score, reject it as out-of-palette, or report it as mixed typography; adjacent words with the same verdict merge into one result.</w:t>
      </w:r>
    </w:p>
    <w:p>
      <w:pPr>
        <w:pStyle w:val="Compact"/>
        <w:keepNext/>
        <w:numPr>
          <w:ilvl w:val="0"/>
          <w:numId w:val="1010"/>
        </w:numPr>
      </w:pPr>
      <w:r>
        <w:t xml:space="preserve">Render each candidate font as a live preview of the detected text for visual confirmation.</w:t>
      </w:r>
    </w:p>
    <w:p>
      <w:pPr>
        <w:pStyle w:val="Heading3"/>
        <w:keepNext/>
      </w:pPr>
      <w: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Privileges/Access</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Standard access: 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Full local access: drives the demo, inspects backend score/τ logs, confirms open-set reject behavior.</w:t>
            </w:r>
          </w:p>
        </w:tc>
      </w:tr>
    </w:tbl>
    <w:p>
      <w:pPr>
        <w:pStyle w:val="Heading3"/>
      </w:pPr>
      <w:r>
        <w:t xml:space="preserve">2.4 Operating Environment</w:t>
      </w:r>
    </w:p>
    <w:p>
      <w:pPr>
        <w:pStyle w:val="Compact"/>
        <w:numPr>
          <w:ilvl w:val="0"/>
          <w:numId w:val="1011"/>
        </w:numPr>
      </w:pPr>
      <w:r>
        <w:rPr>
          <w:b/>
          <w:bCs/>
        </w:rPr>
        <w:t xml:space="preserve">Client:</w:t>
      </w:r>
      <w:r>
        <w:t xml:space="preserve"> </w:t>
      </w:r>
      <w:r>
        <w:t xml:space="preserve">current Chrome / Firefox / Edge (latest two versions), desktop viewport.</w:t>
      </w:r>
    </w:p>
    <w:p>
      <w:pPr>
        <w:pStyle w:val="Compact"/>
        <w:numPr>
          <w:ilvl w:val="0"/>
          <w:numId w:val="1011"/>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11"/>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12"/>
        </w:numPr>
      </w:pPr>
      <w:r>
        <w:t xml:space="preserve">Stack is fixed by the methodology (Ch4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12"/>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(Ch4 §4.3.2).</w:t>
      </w:r>
    </w:p>
    <w:p>
      <w:pPr>
        <w:pStyle w:val="Compact"/>
        <w:numPr>
          <w:ilvl w:val="0"/>
          <w:numId w:val="1012"/>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3"/>
        </w:numPr>
      </w:pPr>
      <w:r>
        <w:t xml:space="preserve">The trained metric head and palette are available on disk at startup.</w:t>
      </w:r>
    </w:p>
    <w:p>
      <w:pPr>
        <w:pStyle w:val="Compact"/>
        <w:numPr>
          <w:ilvl w:val="0"/>
          <w:numId w:val="1013"/>
        </w:numPr>
      </w:pPr>
      <w:r>
        <w:t xml:space="preserve">The uploaded image contains legible rendered text (not handwriting / heavy occlusion).</w:t>
      </w:r>
    </w:p>
    <w:p>
      <w:pPr>
        <w:pStyle w:val="Compact"/>
        <w:numPr>
          <w:ilvl w:val="0"/>
          <w:numId w:val="1013"/>
        </w:numPr>
      </w:pPr>
      <w:r>
        <w:t xml:space="preserve">The off-the-shelf text-localization component is available and returns bounding boxes.</w:t>
      </w:r>
    </w:p>
    <w:p>
      <w:pPr>
        <w:pStyle w:val="Compact"/>
        <w:numPr>
          <w:ilvl w:val="0"/>
          <w:numId w:val="1013"/>
        </w:numPr>
      </w:pPr>
      <w:r>
        <w:t xml:space="preserve">The HuggingFace Hub remains reachable for the one-time weight download; after that the app runs offline.</w:t>
      </w:r>
    </w:p>
    <w:p>
      <w:pPr>
        <w:pStyle w:val="Heading2"/>
      </w:pPr>
      <w:r>
        <w:t xml:space="preserve">3. External Interface Requirements</w:t>
      </w:r>
    </w:p>
    <w:p>
      <w:pPr>
        <w:pStyle w:val="Heading3"/>
      </w:pPr>
      <w:r>
        <w:t xml:space="preserve">3.1 User Interfaces</w:t>
      </w:r>
    </w:p>
    <w:p>
      <w:pPr>
        <w:pStyle w:val="FirstParagraph"/>
      </w:pPr>
      <w:r>
        <w:t xml:space="preserve">Single page, three vertically stacked zones (wireframe below):</w:t>
      </w:r>
    </w:p>
    <w:p>
      <w:pPr>
        <w:pStyle w:val="Compact"/>
        <w:numPr>
          <w:ilvl w:val="0"/>
          <w:numId w:val="1014"/>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4"/>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4"/>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 / MIXED</w:t>
      </w:r>
      <w:r>
        <w:t xml:space="preserve"> </w:t>
      </w:r>
      <w:r>
        <w:t xml:space="preserve">badge for the open-set decision.</w:t>
      </w:r>
    </w:p>
    <w:p>
      <w:pPr>
        <w:pStyle w:val="FirstParagraph"/>
      </w:pPr>
      <w:r>
        <w:t xml:space="preserve">The interface shall 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3" name="Picture"/>
            <a:graphic>
              <a:graphicData uri="http://schemas.openxmlformats.org/drawingml/2006/picture">
                <pic:pic>
                  <pic:nvPicPr>
                    <pic:cNvPr descr="assets/figures/app_wireframe.png" id="134" name="Picture"/>
                    <pic:cNvPicPr>
                      <a:picLocks noChangeArrowheads="1" noChangeAspect="1"/>
                    </pic:cNvPicPr>
                  </pic:nvPicPr>
                  <pic:blipFill>
                    <a:blip r:embed="rId132"/>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Hardware Interfaces</w:t>
      </w:r>
    </w:p>
    <w:p>
      <w:pPr>
        <w:pStyle w:val="FirstParagraph"/>
        <w:keepNext/>
      </w:pPr>
      <w:r>
        <w:t xml:space="preserve">No dedicated hardware interface exists. The system runs on a commodity laptop; an NVIDIA GPU, when present, is used through the standard CUDA driver stack, and CPU-only operation is supported. No scanners, sensors, or printers are involved.</w:t>
      </w:r>
    </w:p>
    <w:p>
      <w:pPr>
        <w:pStyle w:val="Heading3"/>
        <w:keepNext/>
      </w:pPr>
      <w: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Heading3"/>
      </w:pPr>
      <w:r>
        <w:t xml:space="preserve">3.4 Communications Interfaces</w:t>
      </w:r>
    </w:p>
    <w:p>
      <w:pPr>
        <w:pStyle w:val="FirstParagraph"/>
      </w:pPr>
      <w:r>
        <w:t xml:space="preserve">All client–server traffic is HTTP over</w:t>
      </w:r>
      <w:r>
        <w:t xml:space="preserve"> </w:t>
      </w:r>
      <w:r>
        <w:rPr>
          <w:rStyle w:val="VerbatimChar"/>
        </w:rPr>
        <w:t xml:space="preserve">localhost</w:t>
      </w:r>
      <w:r>
        <w:t xml:space="preserve"> </w:t>
      </w:r>
      <w:r>
        <w:t xml:space="preserve">(REST, JSON, multipart upload). No external network traffic occurs at request time, no email or notification channels exist, and no TLS is required for the single-machine demo.</w:t>
      </w:r>
    </w:p>
    <w:p>
      <w:pPr>
        <w:pStyle w:val="Heading2"/>
      </w:pPr>
      <w:r>
        <w:t xml:space="preserve">4. System Features</w:t>
      </w:r>
    </w:p>
    <w:p>
      <w:pPr>
        <w:pStyle w:val="Heading3"/>
      </w:pPr>
      <w:r>
        <w:t xml:space="preserve">4.1 Image Input</w:t>
      </w:r>
    </w:p>
    <w:p>
      <w:pPr>
        <w:pStyle w:val="Heading4"/>
      </w:pPr>
      <w:r>
        <w:t xml:space="preserve">4.1.1 Description and Priority</w:t>
      </w:r>
    </w:p>
    <w:p>
      <w:pPr>
        <w:pStyle w:val="FirstParagraph"/>
      </w:pPr>
      <w:r>
        <w:t xml:space="preserve">User supplies a GenAI image by drag-drop, file browse, or a bundled sample. Priority:</w:t>
      </w:r>
      <w:r>
        <w:t xml:space="preserve"> </w:t>
      </w:r>
      <w:r>
        <w:rPr>
          <w:b/>
          <w:bCs/>
        </w:rPr>
        <w:t xml:space="preserve">High</w:t>
      </w:r>
      <w:r>
        <w:t xml:space="preserve">.</w:t>
      </w:r>
    </w:p>
    <w:p>
      <w:pPr>
        <w:pStyle w:val="Heading4"/>
      </w:pPr>
      <w:r>
        <w:t xml:space="preserve">4.1.2 Stimulus/Response Sequences</w:t>
      </w:r>
    </w:p>
    <w:p>
      <w:pPr>
        <w:pStyle w:val="FirstParagraph"/>
        <w:keepNext/>
      </w:pPr>
      <w:r>
        <w:t xml:space="preserve">User drops/selects an image → client shows a preview and enables</w:t>
      </w:r>
      <w:r>
        <w:t xml:space="preserve"> </w:t>
      </w:r>
      <w:r>
        <w:rPr>
          <w:b/>
          <w:bCs/>
        </w:rPr>
        <w:t xml:space="preserve">Identify Fonts</w:t>
      </w:r>
      <w:r>
        <w:t xml:space="preserve"> </w:t>
      </w:r>
      <w:r>
        <w:t xml:space="preserve">→ click posts the image to</w:t>
      </w:r>
      <w:r>
        <w:t xml:space="preserve"> </w:t>
      </w:r>
      <w:r>
        <w:rPr>
          <w:rStyle w:val="VerbatimChar"/>
        </w:rPr>
        <w:t xml:space="preserve">/predict</w:t>
      </w:r>
      <w:r>
        <w:t xml:space="preserve">.</w:t>
      </w:r>
    </w:p>
    <w:p>
      <w:pPr>
        <w:pStyle w:val="Heading4"/>
        <w:keepNext/>
      </w:pPr>
      <w:r>
        <w:t xml:space="preserve">4.1.3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w:t>
      </w:r>
    </w:p>
    <w:p>
      <w:pPr>
        <w:pStyle w:val="Heading4"/>
      </w:pPr>
      <w:r>
        <w:t xml:space="preserve">4.2.1 Description and Priority</w:t>
      </w:r>
    </w:p>
    <w:p>
      <w:pPr>
        <w:pStyle w:val="FirstParagraph"/>
      </w:pPr>
      <w:r>
        <w:t xml:space="preserve">The backend finds text regions and prepares each crop for matching. Priority:</w:t>
      </w:r>
      <w:r>
        <w:t xml:space="preserve"> </w:t>
      </w:r>
      <w:r>
        <w:rPr>
          <w:b/>
          <w:bCs/>
        </w:rPr>
        <w:t xml:space="preserve">High</w:t>
      </w:r>
      <w:r>
        <w:t xml:space="preserve">.</w:t>
      </w:r>
    </w:p>
    <w:p>
      <w:pPr>
        <w:pStyle w:val="Heading4"/>
      </w:pPr>
      <w:r>
        <w:t xml:space="preserve">4.2.2 Stimulus/Response Sequences</w:t>
      </w:r>
    </w:p>
    <w:p>
      <w:pPr>
        <w:pStyle w:val="FirstParagraph"/>
        <w:keepNext/>
      </w:pPr>
      <w:r>
        <w:rPr>
          <w:rStyle w:val="VerbatimChar"/>
        </w:rPr>
        <w:t xml:space="preserve">/predict</w:t>
      </w:r>
      <w:r>
        <w:t xml:space="preserve"> </w:t>
      </w:r>
      <w:r>
        <w:t xml:space="preserve">receives the image → localizer returns bounding boxes → each crop is preprocessed and embedded → status advances in the Processing zone.</w:t>
      </w:r>
    </w:p>
    <w:p>
      <w:pPr>
        <w:pStyle w:val="Heading4"/>
        <w:keepNext/>
      </w:pPr>
      <w:r>
        <w:t xml:space="preserve">4.2.3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localize text at word granularity (one bounding box per word) and crop each word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r>
        <w:tc>
          <w:tcPr/>
          <w:p>
            <w:pPr>
              <w:pStyle w:val="Compact"/>
              <w:jc w:val="left"/>
            </w:pPr>
            <w:r>
              <w:t xml:space="preserve">REQ-4.2-5</w:t>
            </w:r>
          </w:p>
        </w:tc>
        <w:tc>
          <w:tcPr/>
          <w:p>
            <w:pPr>
              <w:pStyle w:val="Compact"/>
              <w:jc w:val="left"/>
            </w:pPr>
            <w:r>
              <w:t xml:space="preserve">The system shall check each crop for font homogeneity using the encoder’s patch-level features; a flagged crop shall be split once at the detected boundary and each half matched independently.</w:t>
            </w:r>
          </w:p>
        </w:tc>
        <w:tc>
          <w:tcPr/>
          <w:p>
            <w:pPr>
              <w:pStyle w:val="Compact"/>
              <w:jc w:val="left"/>
            </w:pPr>
            <w:r>
              <w:t xml:space="preserve">High</w:t>
            </w:r>
          </w:p>
        </w:tc>
      </w:tr>
    </w:tbl>
    <w:p>
      <w:pPr>
        <w:pStyle w:val="Heading3"/>
      </w:pPr>
      <w:r>
        <w:t xml:space="preserve">4.3 Font Matching and Top-K Results</w:t>
      </w:r>
    </w:p>
    <w:p>
      <w:pPr>
        <w:pStyle w:val="Heading4"/>
      </w:pPr>
      <w:r>
        <w:t xml:space="preserve">4.3.1 Description and Priority</w:t>
      </w:r>
    </w:p>
    <w:p>
      <w:pPr>
        <w:pStyle w:val="FirstParagraph"/>
      </w:pPr>
      <w:r>
        <w:t xml:space="preserve">For each crop, the system ranks the palette and decides known, unknown, or mixed typography. Priority:</w:t>
      </w:r>
      <w:r>
        <w:t xml:space="preserve"> </w:t>
      </w:r>
      <w:r>
        <w:rPr>
          <w:b/>
          <w:bCs/>
        </w:rPr>
        <w:t xml:space="preserve">High</w:t>
      </w:r>
      <w:r>
        <w:t xml:space="preserve">.</w:t>
      </w:r>
    </w:p>
    <w:p>
      <w:pPr>
        <w:pStyle w:val="Heading4"/>
      </w:pPr>
      <w:r>
        <w:t xml:space="preserve">4.3.2 Stimulus/Response Sequences</w:t>
      </w:r>
    </w:p>
    <w:p>
      <w:pPr>
        <w:pStyle w:val="FirstParagraph"/>
        <w:keepNext/>
      </w:pPr>
      <w:r>
        <w:t xml:space="preserve">Embedding is compared to the palette → if best similarity ≥ τ, return the ranked Top-K; else mark the crop out-of-palette.</w:t>
      </w:r>
    </w:p>
    <w:p>
      <w:pPr>
        <w:pStyle w:val="Heading4"/>
        <w:keepNext/>
      </w:pPr>
      <w:r>
        <w:t xml:space="preserve">4.3.3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result as its own card in a carousel with previous/next navigation and a region indicator (e.g.,</w:t>
            </w:r>
            <w:r>
              <w:t xml:space="preserve"> </w:t>
            </w:r>
            <w:r>
              <w:t xml:space="preserve">“Region 1 of 2”</w:t>
            </w:r>
            <w:r>
              <w:t xml:space="preserve">), each card labeled KNOWN, UNKNOWN, or MIXED.</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r>
        <w:tc>
          <w:tcPr/>
          <w:p>
            <w:pPr>
              <w:pStyle w:val="Compact"/>
              <w:jc w:val="left"/>
            </w:pPr>
            <w:r>
              <w:t xml:space="preserve">REQ-4.3-6</w:t>
            </w:r>
          </w:p>
        </w:tc>
        <w:tc>
          <w:tcPr/>
          <w:p>
            <w:pPr>
              <w:pStyle w:val="Compact"/>
              <w:jc w:val="left"/>
            </w:pPr>
            <w:r>
              <w:t xml:space="preserve">The system shall report a crop that remains font-inhomogeneous after one split as</w:t>
            </w:r>
            <w:r>
              <w:t xml:space="preserve"> </w:t>
            </w:r>
            <w:r>
              <w:t xml:space="preserve">“mixed typography”</w:t>
            </w:r>
            <w:r>
              <w:t xml:space="preserve"> </w:t>
            </w:r>
            <w:r>
              <w:t xml:space="preserve">rather than assigning a single font, and shall merge adjacent word crops that share the same verdict into one region card.</w:t>
            </w:r>
          </w:p>
        </w:tc>
        <w:tc>
          <w:tcPr/>
          <w:p>
            <w:pPr>
              <w:pStyle w:val="Compact"/>
              <w:jc w:val="left"/>
            </w:pPr>
            <w:r>
              <w:t xml:space="preserve">High</w:t>
            </w:r>
          </w:p>
        </w:tc>
      </w:tr>
    </w:tbl>
    <w:p>
      <w:pPr>
        <w:pStyle w:val="Heading3"/>
      </w:pPr>
      <w:r>
        <w:t xml:space="preserve">4.4 Font Preview</w:t>
      </w:r>
    </w:p>
    <w:p>
      <w:pPr>
        <w:pStyle w:val="Heading4"/>
      </w:pPr>
      <w:r>
        <w:t xml:space="preserve">4.4.1 Description and Priority</w:t>
      </w:r>
    </w:p>
    <w:p>
      <w:pPr>
        <w:pStyle w:val="FirstParagraph"/>
      </w:pPr>
      <w:r>
        <w:t xml:space="preserve">The user visually confirms a match against live-rendered candidates. Priority:</w:t>
      </w:r>
      <w:r>
        <w:t xml:space="preserve"> </w:t>
      </w:r>
      <w:r>
        <w:rPr>
          <w:b/>
          <w:bCs/>
        </w:rPr>
        <w:t xml:space="preserve">Med</w:t>
      </w:r>
      <w:r>
        <w:t xml:space="preserve">.</w:t>
      </w:r>
    </w:p>
    <w:p>
      <w:pPr>
        <w:pStyle w:val="Heading4"/>
      </w:pPr>
      <w:r>
        <w:t xml:space="preserve">4.4.2 Stimulus/Response Sequences</w:t>
      </w:r>
    </w:p>
    <w:p>
      <w:pPr>
        <w:pStyle w:val="FirstParagraph"/>
        <w:keepNext/>
      </w:pPr>
      <w:r>
        <w:t xml:space="preserve">For each candidate font, the app renders the detected text string in that font beside the crop.</w:t>
      </w:r>
    </w:p>
    <w:p>
      <w:pPr>
        <w:pStyle w:val="Heading4"/>
        <w:keepNext/>
      </w:pPr>
      <w:r>
        <w:t xml:space="preserve">4.4.3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pPr>
        <w:pStyle w:val="Heading2"/>
        <w:keepNext/>
      </w:pPr>
      <w:r>
        <w:t xml:space="preserve">5. Other Nonfunctional Requirements</w:t>
      </w:r>
    </w:p>
    <w:p>
      <w:pPr>
        <w:pStyle w:val="Heading3"/>
        <w:keepNext/>
      </w:pPr>
      <w:r>
        <w:t xml:space="preserve">5.1 Performance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keepNext/>
      </w:pPr>
      <w:r>
        <w:t xml:space="preserve">5.2 Safety Requirements</w:t>
      </w:r>
    </w:p>
    <w:p>
      <w:pPr>
        <w:pStyle w:val="FirstParagraph"/>
        <w:keepNext/>
      </w:pPr>
      <w:r>
        <w:t xml:space="preserve">The system controls no physical process, so no physical-safety hazards exist. Against data loss: uploaded images are processed in memory and never written to disk, so a crash can lose at most the in-flight request; model weights and font assets are read-only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The system shall open model weights and font assets read-only at runtime, so a failed request cannot corrupt them.</w:t>
            </w:r>
          </w:p>
        </w:tc>
        <w:tc>
          <w:tcPr/>
          <w:p>
            <w:pPr>
              <w:pStyle w:val="Compact"/>
              <w:jc w:val="left"/>
            </w:pPr>
            <w:r>
              <w:t xml:space="preserve">Med</w:t>
            </w:r>
          </w:p>
        </w:tc>
      </w:tr>
    </w:tbl>
    <w:p>
      <w:pPr>
        <w:pStyle w:val="Heading3"/>
        <w:keepNext/>
      </w:pPr>
      <w:r>
        <w:t xml:space="preserve">5.3 Security Requirements</w:t>
      </w:r>
    </w:p>
    <w:p>
      <w:pPr>
        <w:pStyle w:val="FirstParagraph"/>
        <w:keepNext/>
      </w:pPr>
      <w:r>
        <w:t xml:space="preserve">As a single-user local demo the app has no authentication and no persistence; no personal data is collected, so no retention obligations arise under data-privacy regulation.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process uploads in memory and discard them when the request completes; no upload shall be stored beyond the request lifetime.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server shall bind only to the</w:t>
            </w:r>
            <w:r>
              <w:t xml:space="preserve"> </w:t>
            </w:r>
            <w:r>
              <w:rPr>
                <w:rStyle w:val="VerbatimChar"/>
              </w:rPr>
              <w:t xml:space="preserve">localhost</w:t>
            </w:r>
            <w:r>
              <w:t xml:space="preserve"> </w:t>
            </w:r>
            <w:r>
              <w:t xml:space="preserve">interface and accept no remote connections.</w:t>
            </w:r>
          </w:p>
        </w:tc>
        <w:tc>
          <w:tcPr/>
          <w:p>
            <w:pPr>
              <w:pStyle w:val="Compact"/>
              <w:keepNext/>
              <w:jc w:val="left"/>
            </w:pPr>
            <w:r>
              <w:t xml:space="preserve">Med</w:t>
            </w:r>
          </w:p>
        </w:tc>
      </w:tr>
    </w:tbl>
    <w:p>
      <w:pPr>
        <w:pStyle w:val="Heading3"/>
        <w:keepNext/>
      </w:pPr>
      <w:r>
        <w:t xml:space="preserve">5.4 Software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REQ-5.4-1</w:t>
            </w:r>
          </w:p>
        </w:tc>
        <w:tc>
          <w:tcPr/>
          <w:p>
            <w:pPr>
              <w:pStyle w:val="Compact"/>
              <w:jc w:val="left"/>
            </w:pPr>
            <w:r>
              <w:t xml:space="preserve">Usability: 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REQ-5.4-2</w:t>
            </w:r>
          </w:p>
        </w:tc>
        <w:tc>
          <w:tcPr/>
          <w:p>
            <w:pPr>
              <w:pStyle w:val="Compact"/>
              <w:jc w:val="left"/>
            </w:pPr>
            <w:r>
              <w:t xml:space="preserve">Usability: scores and known/unknown status shall be visible without interaction.</w:t>
            </w:r>
          </w:p>
        </w:tc>
        <w:tc>
          <w:tcPr/>
          <w:p>
            <w:pPr>
              <w:pStyle w:val="Compact"/>
              <w:jc w:val="left"/>
            </w:pPr>
            <w:r>
              <w:t xml:space="preserve">Med</w:t>
            </w:r>
          </w:p>
        </w:tc>
      </w:tr>
      <w:tr>
        <w:tc>
          <w:tcPr/>
          <w:p>
            <w:pPr>
              <w:pStyle w:val="Compact"/>
              <w:jc w:val="left"/>
            </w:pPr>
            <w:r>
              <w:t xml:space="preserve">REQ-5.4-3</w:t>
            </w:r>
          </w:p>
        </w:tc>
        <w:tc>
          <w:tcPr/>
          <w:p>
            <w:pPr>
              <w:pStyle w:val="Compact"/>
              <w:jc w:val="left"/>
            </w:pPr>
            <w:r>
              <w:t xml:space="preserve">Reliability: 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REQ-5.4-4</w:t>
            </w:r>
          </w:p>
        </w:tc>
        <w:tc>
          <w:tcPr/>
          <w:p>
            <w:pPr>
              <w:pStyle w:val="Compact"/>
              <w:jc w:val="left"/>
            </w:pPr>
            <w:r>
              <w:t xml:space="preserve">Portability: the system shall run from a single Docker image on a clean machine with no manual dependency setup.</w:t>
            </w:r>
          </w:p>
        </w:tc>
        <w:tc>
          <w:tcPr/>
          <w:p>
            <w:pPr>
              <w:pStyle w:val="Compact"/>
              <w:jc w:val="left"/>
            </w:pPr>
            <w:r>
              <w:t xml:space="preserve">Med</w:t>
            </w:r>
          </w:p>
        </w:tc>
      </w:tr>
    </w:tbl>
    <w:p>
      <w:pPr>
        <w:pStyle w:val="Heading3"/>
      </w:pPr>
      <w:r>
        <w:t xml:space="preserve">5.5 Business Rules</w:t>
      </w:r>
    </w:p>
    <w:p>
      <w:pPr>
        <w:pStyle w:val="Compact"/>
        <w:numPr>
          <w:ilvl w:val="0"/>
          <w:numId w:val="1015"/>
        </w:numPr>
      </w:pPr>
      <w:r>
        <w:t xml:space="preserve">Only fonts from the open-source Google Fonts palette may be named in a result; the system never identifies or recommends a commercial font.</w:t>
      </w:r>
    </w:p>
    <w:p>
      <w:pPr>
        <w:pStyle w:val="Compact"/>
        <w:numPr>
          <w:ilvl w:val="0"/>
          <w:numId w:val="1015"/>
        </w:numPr>
      </w:pPr>
      <w:r>
        <w:t xml:space="preserve">A crop whose best similarity falls below τ must be reported as unknown; the system never forces a closed-set label onto an out-of-palette crop.</w:t>
      </w:r>
    </w:p>
    <w:p>
      <w:pPr>
        <w:pStyle w:val="Compact"/>
        <w:numPr>
          <w:ilvl w:val="0"/>
          <w:numId w:val="1015"/>
        </w:numPr>
      </w:pPr>
      <w:r>
        <w:t xml:space="preserve">Bundled sample images must come from real generative-AI output and must never overlap any training data.</w:t>
      </w:r>
    </w:p>
    <w:p>
      <w:pPr>
        <w:pStyle w:val="Heading2"/>
      </w:pPr>
      <w:r>
        <w:t xml:space="preserve">6. Other Requirements</w:t>
      </w:r>
    </w:p>
    <w:p>
      <w:pPr>
        <w:pStyle w:val="Compact"/>
        <w:numPr>
          <w:ilvl w:val="0"/>
          <w:numId w:val="1016"/>
        </w:numPr>
      </w:pPr>
      <w:r>
        <w:rPr>
          <w:b/>
          <w:bCs/>
        </w:rPr>
        <w:t xml:space="preserve">Licensing:</w:t>
      </w:r>
      <w:r>
        <w:t xml:space="preserve"> </w:t>
      </w:r>
      <w:r>
        <w:t xml:space="preserve">every runtime component and font asset is open-source; the system shall carry no mandatory license or subscription cost.</w:t>
      </w:r>
    </w:p>
    <w:p>
      <w:pPr>
        <w:pStyle w:val="Compact"/>
        <w:numPr>
          <w:ilvl w:val="0"/>
          <w:numId w:val="1016"/>
        </w:numPr>
      </w:pPr>
      <w:r>
        <w:rPr>
          <w:b/>
          <w:bCs/>
        </w:rPr>
        <w:t xml:space="preserve">Data retention:</w:t>
      </w:r>
      <w:r>
        <w:t xml:space="preserve"> </w:t>
      </w:r>
      <w:r>
        <w:t xml:space="preserve">none — the system stores no user data (see REQ-5.3-1).</w:t>
      </w:r>
    </w:p>
    <w:p>
      <w:pPr>
        <w:pStyle w:val="Compact"/>
        <w:keepNext/>
        <w:numPr>
          <w:ilvl w:val="0"/>
          <w:numId w:val="1016"/>
        </w:numPr>
      </w:pPr>
      <w:r>
        <w:rPr>
          <w:b/>
          <w:bCs/>
        </w:rPr>
        <w:t xml:space="preserve">Internationalization:</w:t>
      </w:r>
      <w:r>
        <w:t xml:space="preserve"> </w:t>
      </w:r>
      <w:r>
        <w:t xml:space="preserve">the interface is English-only; the recognition palette is limited to Latin-script fonts, matching the thesis scope.</w:t>
      </w:r>
    </w:p>
    <w:p>
      <w:pPr>
        <w:pStyle w:val="Heading2"/>
        <w:keepNext/>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Mixed typography</w:t>
            </w:r>
          </w:p>
        </w:tc>
        <w:tc>
          <w:tcPr/>
          <w:p>
            <w:pPr>
              <w:pStyle w:val="Compact"/>
              <w:jc w:val="left"/>
            </w:pPr>
            <w:r>
              <w:t xml:space="preserve">Verdict for a crop whose patch-level features indicate more than one typeface and that stays inhomogeneous after one split; no single font is assigned.</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pPr>
        <w:pStyle w:val="Heading2"/>
      </w:pPr>
      <w:r>
        <w:t xml:space="preserve">Appendix B: Analysis Models</w:t>
      </w:r>
    </w:p>
    <w:p>
      <w:pPr>
        <w:pStyle w:val="FirstParagraph"/>
      </w:pPr>
      <w:r>
        <w:t xml:space="preserve">The analysis models for this system live in Chapter 4 and are not duplicated here: the conceptual framework (Fig 8, §4.4.2) models the offline-training versus at-use data flow, the system-architecture diagram (Fig 9, §4.5.2) models the layered client-server structure, and the iterative-incremental SDLC model (Fig 10, §4.6) models the build sequence.</w:t>
      </w:r>
    </w:p>
    <w:p>
      <w:pPr>
        <w:pStyle w:val="BodyText"/>
      </w:pPr>
      <w:r>
        <w:rPr>
          <w:b/>
          <w:bCs/>
        </w:rPr>
        <w:t xml:space="preserve">Traceability.</w:t>
      </w:r>
      <w:r>
        <w:t xml:space="preserve"> </w:t>
      </w:r>
      <w:r>
        <w:t xml:space="preserve">System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exactly one required choice — the closest palette font, found through a searchable list, or the</w:t>
      </w:r>
      <w:r>
        <w:t xml:space="preserve"> </w:t>
      </w:r>
      <w:r>
        <w:t xml:space="preserve">“Unknown / hallucinated”</w:t>
      </w:r>
      <w:r>
        <w:t xml:space="preserve"> </w:t>
      </w:r>
      <w:r>
        <w:t xml:space="preserve">verdict when no palette font matches.</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69" name="Picture"/>
            <a:graphic>
              <a:graphicData uri="http://schemas.openxmlformats.org/drawingml/2006/picture">
                <pic:pic>
                  <pic:nvPicPr>
                    <pic:cNvPr descr="assets/figures/expert_panel_form.png" id="170" name="Picture"/>
                    <pic:cNvPicPr>
                      <a:picLocks noChangeArrowheads="1" noChangeAspect="1"/>
                    </pic:cNvPicPr>
                  </pic:nvPicPr>
                  <pic:blipFill>
                    <a:blip r:embed="rId168"/>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(35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68" Target="media/rId168.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2026-08-05T07:07:07Z</dcterms:created>
  <dcterms:modified xsi:type="dcterms:W3CDTF">2026-08-05T07:07:07Z</dcterms:modified>
</cp:coreProperties>
</file>

<file path=docProps/custom.xml><?xml version="1.0" encoding="utf-8"?>
<Properties xmlns="http://schemas.openxmlformats.org/officeDocument/2006/custom-properties" xmlns:vt="http://schemas.openxmlformats.org/officeDocument/2006/docPropsVTypes"/>
</file>