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33.png" ContentType="image/png"/>
  <Override PartName="/word/media/rId79.png" ContentType="image/png"/>
  <Override PartName="/word/media/rId37.png" ContentType="image/png"/>
  <Override PartName="/word/media/rId45.png" ContentType="image/png"/>
  <Override PartName="/word/media/rId168.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97656"/>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97656"/>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347029"/>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34702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4740200" cy="9376422"/>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4740200" cy="9376422"/>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00235"/>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0023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79692"/>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79692"/>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Each item also carries a second required judgment: whether the crop appears to be set in one typeface throughout or in more than one, with a</w:t>
      </w:r>
      <w:r>
        <w:t xml:space="preserve"> </w:t>
      </w:r>
      <w:r>
        <w:t xml:space="preserve">“cannot tell”</w:t>
      </w:r>
      <w:r>
        <w:t xml:space="preserve"> </w:t>
      </w:r>
      <w:r>
        <w:t xml:space="preserve">option, under the same blind protocol and consensus rule. This coherence question turns the single-typeface assumption of Section 4.4.2 from a premise into a measured quantity — the prevalence of font-incoherent text in real generative output — and its consensus answers double as the ground truth against which the pipeline’s homogeneity check is validated (Section 4.10.2).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accepted input is a raster image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and animated or photographic formats (GIF, HEIC) fall outside the study’s scope of directly generated still images.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 the pristine renders together with their degraded variants —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The threshold is not chosen by hand; it is fixed during the offline calibration to the operating point of Section 4.10.2, the cutoff at which 95% of validation crops whose font truly is in the palette are accepted. The test also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since those ranks serve as next-closest alternatives rather than independent match claims. A crop whose closest font falls short of</w:t>
      </w:r>
      <w:r>
        <w:t xml:space="preserve"> </w:t>
      </w:r>
      <m:oMath>
        <m:r>
          <m:t>τ</m:t>
        </m:r>
      </m:oMath>
      <w:r>
        <w:t xml:space="preserve"> </w:t>
      </w:r>
      <w:r>
        <w:t xml:space="preserve">yields an explicit</w:t>
      </w:r>
      <w:r>
        <w:t xml:space="preserve"> </w:t>
      </w:r>
      <w:r>
        <w:t xml:space="preserve">“unknown font”</w:t>
      </w:r>
      <w:r>
        <w:t xml:space="preserve"> </w:t>
      </w:r>
      <w:r>
        <w:t xml:space="preserve">verdict, in which the system names no font at all, and no partial shortlist exists because every other font is farther still.</w:t>
      </w:r>
    </w:p>
    <w:p>
      <w:pPr>
        <w:pStyle w:val="BodyText"/>
      </w:pPr>
      <w:r>
        <w:rPr>
          <w:b/>
          <w:bCs/>
        </w:rPr>
        <w:t xml:space="preserve">Word-level granularity and mixed typography.</w:t>
      </w:r>
      <w:r>
        <w:t xml:space="preserve"> </w:t>
      </w:r>
      <w:r>
        <w:t xml:space="preserve">The text regions of Figure 8 are delimited at word granularity: the localizer emits one bounding box per word, under the assumption that each word is set in a single typeface. This holds for the overwhelming majority of designed text, where font changes fall between words — a heading face against an accent face — rather than inside them, so word crops make the one-font-per-crop premise of the match test approximately true by construction. The assumption operates at the level of design intent: generators learn from designed text, so a word’s intended style is single, and style that drifts</w:t>
      </w:r>
      <w:r>
        <w:t xml:space="preserve"> </w:t>
      </w:r>
      <w:r>
        <w:rPr>
          <w:i/>
          <w:iCs/>
        </w:rPr>
        <w:t xml:space="preserve">within</w:t>
      </w:r>
      <w:r>
        <w:t xml:space="preserve"> </w:t>
      </w:r>
      <w:r>
        <w:t xml:space="preserve">a word is the hallucination this thesis studies — degradation around one intent, not a deliberate second typeface. How often real output violates even that intent-level reading is measured rather than presumed, through the panel’s coherence judgment (Section 4.2.3); adjacent words that receive the same verdict are merged back into a single region in the presentation layer, so a five-word headline still reads as one result. The assumption is checked rather than trusted. The ViT encoder’s forward pass already yields one token per image patch, and when a crop’s patch tokens disagree about style — the signature of two typefaces sharing one box, or of a localizer box that swallowed two words — the crop is flagged as inhomogeneous at no additional inference cost, split at the token-cluster boundary, and each half is matched on its own. A half that remains incoherent after one split receives a third verdict,</w:t>
      </w:r>
      <w:r>
        <w:t xml:space="preserve"> </w:t>
      </w:r>
      <w:r>
        <w:rPr>
          <w:b/>
          <w:bCs/>
        </w:rPr>
        <w:t xml:space="preserve">“mixed typography”</w:t>
      </w:r>
      <w:r>
        <w:t xml:space="preserve">: distinct from</w:t>
      </w:r>
      <w:r>
        <w:t xml:space="preserve"> </w:t>
      </w:r>
      <w:r>
        <w:t xml:space="preserve">“unknown,”</w:t>
      </w:r>
      <w:r>
        <w:t xml:space="preserve"> </w:t>
      </w:r>
      <w:r>
        <w:t xml:space="preserve">it reports that the crop violates the single-font premise and that no one font can honestly be assigned, instead of confidently naming the majority face and silently discarding the other. Attribution finer than one split — per-glyph styling inside an unsplittable word — is out of scope: it would require character segmentation on precisely the malformed glyphs that defeat segmenters, and a word deliberately set in two typefaces has no single reconstructable font for the template goal in any case.</w:t>
      </w:r>
    </w:p>
    <w:p>
      <w:pPr>
        <w:pStyle w:val="BodyText"/>
      </w:pPr>
      <w:r>
        <w:rPr>
          <w:b/>
          <w:bCs/>
        </w:rPr>
        <w:t xml:space="preserve">How a flagged crop is split.</w:t>
      </w:r>
      <w:r>
        <w:t xml:space="preserve"> </w:t>
      </w:r>
      <w:r>
        <w:t xml:space="preserve">The check and the split both read the encoder’s patch grid. A 224 × 224 input reaches the ViT as a 16 × 16 grid of patches, one token each; patches carrying no ink (padding margins, inter-letter gaps) are excluded by their attention weight, and the remaining tokens are pooled by grid column, giving a left-to-right style profile of the word. Homogeneity is judged by how tightly those column vectors group: when a two-group clustering separates them more widely than a dispersion cutoff — calibrated, like</w:t>
      </w:r>
      <w:r>
        <w:t xml:space="preserve"> </w:t>
      </w:r>
      <m:oMath>
        <m:r>
          <m:t>τ</m:t>
        </m:r>
      </m:oMath>
      <w:r>
        <w:t xml:space="preserve">, at an operating point on labeled data (Section 4.10.2) — the crop is flagged as inhomogeneous. The split then demands spatial contiguity. Only when the two groups occupy a contiguous left run and a contiguous right run of columns does a real boundary exist; the boundary column is mapped back to a pixel coordinate in the original crop, undoing the padding offset, and the cut is made with a margin of roughly half a character so that no glyph is bisected. Interleaved groups mean per-letter drift rather than composed typography — no boundary exists, and the crop takes the mixed-typography verdict directly, which is what prevents the system from imposing structure on noise. Each half re-enters the pipeline as an ordinary crop, and the split is attempted only once: a word still incoherent after one cut is not a composition of typefaces but deformation past recovery, for which</w:t>
      </w:r>
      <w:r>
        <w:t xml:space="preserve"> </w:t>
      </w:r>
      <w:r>
        <w:t xml:space="preserve">“mixed typography”</w:t>
      </w:r>
      <w:r>
        <w:t xml:space="preserve"> </w:t>
      </w:r>
      <w:r>
        <w:t xml:space="preserve">is already the honest answer. The added cost is negligible — the tokens exist from the original forward pass, the clustering runs over at most sixteen column vectors, and extra encoder passes arise only for the two halves of actually flagged crops.</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expanded by the operator D with degraded look-alikes, and the combined pristine-plus-degraded corpus trains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p>
      <w:pPr>
        <w:pStyle w:val="BodyText"/>
      </w:pPr>
      <w:r>
        <w:rPr>
          <w:b/>
          <w:bCs/>
        </w:rPr>
        <w:t xml:space="preserve">The framework as a step-by-step process.</w:t>
      </w:r>
      <w:r>
        <w:t xml:space="preserve"> </w:t>
      </w:r>
      <w:r>
        <w:t xml:space="preserve">For an outside researcher, the three bands of Figure 8 unfold into the following ordered procedure. Each step names its input, its operation, and its output; the section that owns a step’s parameters is cited in place, so the full detail of any step is one reference away.</w:t>
      </w:r>
    </w:p>
    <w:p>
      <w:pPr>
        <w:pStyle w:val="BodyText"/>
      </w:pPr>
      <w:r>
        <w:rPr>
          <w:i/>
          <w:iCs/>
        </w:rPr>
        <w:t xml:space="preserve">Before deployment — executed once by the researchers:</w:t>
      </w:r>
    </w:p>
    <w:p>
      <w:pPr>
        <w:pStyle w:val="Compact"/>
        <w:numPr>
          <w:ilvl w:val="0"/>
          <w:numId w:val="1004"/>
        </w:numPr>
      </w:pPr>
      <w:r>
        <w:rPr>
          <w:b/>
          <w:bCs/>
        </w:rPr>
        <w:t xml:space="preserve">Select the palette.</w:t>
      </w:r>
      <w:r>
        <w:t xml:space="preserve"> </w:t>
      </w:r>
      <w:r>
        <w:t xml:space="preserve">The top 50–100 Google Fonts are curated across the four structural family classes under the bounding rationale of Section 4.1. Output: a fixed set of font files, each a named class.</w:t>
      </w:r>
    </w:p>
    <w:p>
      <w:pPr>
        <w:pStyle w:val="Compact"/>
        <w:numPr>
          <w:ilvl w:val="0"/>
          <w:numId w:val="1004"/>
        </w:numPr>
      </w:pPr>
      <w:r>
        <w:rPr>
          <w:b/>
          <w:bCs/>
        </w:rPr>
        <w:t xml:space="preserve">Render pristine crops.</w:t>
      </w:r>
      <w:r>
        <w:t xml:space="preserve"> </w:t>
      </w:r>
      <w:r>
        <w:t xml:space="preserve">Every palette font is rendered into word crops under the image and text properties of Section 4.3.1. Output: labeled clean images, the font of each known by construction.</w:t>
      </w:r>
    </w:p>
    <w:p>
      <w:pPr>
        <w:pStyle w:val="Compact"/>
        <w:numPr>
          <w:ilvl w:val="0"/>
          <w:numId w:val="1004"/>
        </w:numPr>
      </w:pPr>
      <w:r>
        <w:rPr>
          <w:b/>
          <w:bCs/>
        </w:rPr>
        <w:t xml:space="preserve">Degrade.</w:t>
      </w:r>
      <w:r>
        <w:t xml:space="preserve"> </w:t>
      </w:r>
      <w:r>
        <w:t xml:space="preserve">Each pristine crop passes through the operator</w:t>
      </w:r>
      <w:r>
        <w:t xml:space="preserve"> </w:t>
      </w:r>
      <m:oMath>
        <m:r>
          <m:t>D</m:t>
        </m:r>
      </m:oMath>
      <w:r>
        <w:t xml:space="preserve"> </w:t>
      </w:r>
      <w:r>
        <w:t xml:space="preserve">of Section 3.2.3 at logged intensities. Output: hallucinated look-alikes carrying the same label; the corpus holds both the pristine crops and the degraded copies, one metadata row each (Table 1).</w:t>
      </w:r>
    </w:p>
    <w:p>
      <w:pPr>
        <w:pStyle w:val="Compact"/>
        <w:numPr>
          <w:ilvl w:val="0"/>
          <w:numId w:val="1004"/>
        </w:numPr>
      </w:pPr>
      <w:r>
        <w:rPr>
          <w:b/>
          <w:bCs/>
        </w:rPr>
        <w:t xml:space="preserve">Partition.</w:t>
      </w:r>
      <w:r>
        <w:t xml:space="preserve"> </w:t>
      </w:r>
      <w:r>
        <w:t xml:space="preserve">The corpus splits 70/15/15 into training, validation, and test sets, stratified as in Section 4.3.2. The validation and test slices are not touched again until steps 8 and 11.</w:t>
      </w:r>
    </w:p>
    <w:p>
      <w:pPr>
        <w:pStyle w:val="Compact"/>
        <w:numPr>
          <w:ilvl w:val="0"/>
          <w:numId w:val="1004"/>
        </w:numPr>
      </w:pPr>
      <w:r>
        <w:rPr>
          <w:b/>
          <w:bCs/>
        </w:rPr>
        <w:t xml:space="preserve">Train the teacher.</w:t>
      </w:r>
      <w:r>
        <w:t xml:space="preserve"> </w:t>
      </w:r>
      <w:r>
        <w:t xml:space="preserve">DINOv2 with the LoRA adaptation of Section 4.3.2 is fitted to the font labels on the training slice. Output: a supervising model that never leaves this band.</w:t>
      </w:r>
    </w:p>
    <w:p>
      <w:pPr>
        <w:pStyle w:val="Compact"/>
        <w:numPr>
          <w:ilvl w:val="0"/>
          <w:numId w:val="1004"/>
        </w:numPr>
      </w:pPr>
      <w:r>
        <w:rPr>
          <w:b/>
          <w:bCs/>
        </w:rPr>
        <w:t xml:space="preserve">Train the student.</w:t>
      </w:r>
      <w:r>
        <w:t xml:space="preserve"> </w:t>
      </w:r>
      <w:r>
        <w:t xml:space="preserve">The metric head</w:t>
      </w:r>
      <w:r>
        <w:t xml:space="preserve"> </w:t>
      </w:r>
      <m:oMath>
        <m:sSub>
          <m:e>
            <m:r>
              <m:t>f</m:t>
            </m:r>
          </m:e>
          <m:sub>
            <m:r>
              <m:t>θ</m:t>
            </m:r>
          </m:sub>
        </m:sSub>
      </m:oMath>
      <w:r>
        <w:t xml:space="preserve"> </w:t>
      </w:r>
      <w:r>
        <w:t xml:space="preserve">trains on the same slice under two simultaneous signals — the triplet objective on the labels (Chapter 3) and distillation toward the teacher’s similarity judgments, which consults no labels. Output: an embedding function that maps any crop to a font-style fingerprint.</w:t>
      </w:r>
    </w:p>
    <w:p>
      <w:pPr>
        <w:pStyle w:val="Compact"/>
        <w:numPr>
          <w:ilvl w:val="0"/>
          <w:numId w:val="1004"/>
        </w:numPr>
      </w:pPr>
      <w:r>
        <w:rPr>
          <w:b/>
          <w:bCs/>
        </w:rPr>
        <w:t xml:space="preserve">Build the palette map.</w:t>
      </w:r>
      <w:r>
        <w:t xml:space="preserve"> </w:t>
      </w:r>
      <w:r>
        <w:t xml:space="preserve">Every training crop of each font is embedded by the finished student and averaged into that font’s prototype. Output: one reference fingerprint per palette font.</w:t>
      </w:r>
    </w:p>
    <w:p>
      <w:pPr>
        <w:pStyle w:val="Compact"/>
        <w:numPr>
          <w:ilvl w:val="0"/>
          <w:numId w:val="1004"/>
        </w:numPr>
      </w:pPr>
      <w:r>
        <w:rPr>
          <w:b/>
          <w:bCs/>
        </w:rPr>
        <w:t xml:space="preserve">Calibrate.</w:t>
      </w:r>
      <w:r>
        <w:t xml:space="preserve"> </w:t>
      </w:r>
      <w:r>
        <w:t xml:space="preserve">Validation crops are embedded and scored against their nearest prototypes;</w:t>
      </w:r>
      <w:r>
        <w:t xml:space="preserve"> </w:t>
      </w:r>
      <m:oMath>
        <m:r>
          <m:t>τ</m:t>
        </m:r>
      </m:oMath>
      <w:r>
        <w:t xml:space="preserve"> </w:t>
      </w:r>
      <w:r>
        <w:t xml:space="preserve">is fixed at the cutoff that accepts 95% of the crops whose font truly is in the palette, the operating point of Section 4.10.2. Output: the trained model —</w:t>
      </w:r>
      <w:r>
        <w:t xml:space="preserve"> </w:t>
      </w:r>
      <m:oMath>
        <m:sSub>
          <m:e>
            <m:r>
              <m:t>f</m:t>
            </m:r>
          </m:e>
          <m:sub>
            <m:r>
              <m:t>θ</m:t>
            </m:r>
          </m:sub>
        </m:sSub>
      </m:oMath>
      <w:r>
        <w:t xml:space="preserve">, the prototypes, and</w:t>
      </w:r>
      <w:r>
        <w:t xml:space="preserve"> </w:t>
      </w:r>
      <m:oMath>
        <m:r>
          <m:t>τ</m:t>
        </m:r>
      </m:oMath>
      <w:r>
        <w:t xml:space="preserve">. The teacher is discarded.</w:t>
      </w:r>
    </w:p>
    <w:p>
      <w:pPr>
        <w:pStyle w:val="FirstParagraph"/>
      </w:pPr>
      <w:r>
        <w:rPr>
          <w:i/>
          <w:iCs/>
        </w:rPr>
        <w:t xml:space="preserve">At use — executed for every uploaded image:</w:t>
      </w:r>
    </w:p>
    <w:p>
      <w:pPr>
        <w:pStyle w:val="Compact"/>
        <w:numPr>
          <w:ilvl w:val="0"/>
          <w:numId w:val="1005"/>
        </w:numPr>
      </w:pPr>
      <w:r>
        <w:rPr>
          <w:b/>
          <w:bCs/>
        </w:rPr>
        <w:t xml:space="preserve">Ingest.</w:t>
      </w:r>
      <w:r>
        <w:t xml:space="preserve"> </w:t>
      </w:r>
      <w:r>
        <w:t xml:space="preserve">The user submits a raster image in an accepted format (Section 4.2.4). The off-the-shelf localizer emits one bounding box per word, and each word crop proceeds independently.</w:t>
      </w:r>
    </w:p>
    <w:p>
      <w:pPr>
        <w:pStyle w:val="Compact"/>
        <w:numPr>
          <w:ilvl w:val="0"/>
          <w:numId w:val="1005"/>
        </w:numPr>
      </w:pPr>
      <w:r>
        <w:rPr>
          <w:b/>
          <w:bCs/>
        </w:rPr>
        <w:t xml:space="preserve">Embed and check.</w:t>
      </w:r>
      <w:r>
        <w:t xml:space="preserve"> </w:t>
      </w:r>
      <w:r>
        <w:t xml:space="preserve">Inside the model’s forward pass each crop is prepared (square-pad, 224², grayscale, normalize; Section 4.3.2), encoded by the frozen backbone, and projected by</w:t>
      </w:r>
      <w:r>
        <w:t xml:space="preserve"> </w:t>
      </w:r>
      <m:oMath>
        <m:sSub>
          <m:e>
            <m:r>
              <m:t>f</m:t>
            </m:r>
          </m:e>
          <m:sub>
            <m:r>
              <m:t>θ</m:t>
            </m:r>
          </m:sub>
        </m:sSub>
      </m:oMath>
      <w:r>
        <w:t xml:space="preserve"> </w:t>
      </w:r>
      <w:r>
        <w:t xml:space="preserve">into a fingerprint. The same pass yields the patch tokens for the homogeneity check described above; a flagged crop is split once and each half re-enters this step, and a half that stays incoherent exits with the mixed-typography verdict.</w:t>
      </w:r>
    </w:p>
    <w:p>
      <w:pPr>
        <w:pStyle w:val="Compact"/>
        <w:numPr>
          <w:ilvl w:val="0"/>
          <w:numId w:val="1005"/>
        </w:numPr>
      </w:pPr>
      <w:r>
        <w:rPr>
          <w:b/>
          <w:bCs/>
        </w:rPr>
        <w:t xml:space="preserve">Decide.</w:t>
      </w:r>
      <w:r>
        <w:t xml:space="preserve"> </w:t>
      </w:r>
      <w:r>
        <w:t xml:space="preserve">The fingerprint’s similarity to its nearest prototype meets the match test: at or above</w:t>
      </w:r>
      <w:r>
        <w:t xml:space="preserve"> </w:t>
      </w:r>
      <m:oMath>
        <m:r>
          <m:t>τ</m:t>
        </m:r>
      </m:oMath>
      <w:r>
        <w:t xml:space="preserve">, the crop returns its Top-3 shortlist with similarity scores and live font previews; below</w:t>
      </w:r>
      <w:r>
        <w:t xml:space="preserve"> </w:t>
      </w:r>
      <m:oMath>
        <m:r>
          <m:t>τ</m:t>
        </m:r>
      </m:oMath>
      <w:r>
        <w:t xml:space="preserve">, it returns the unknown-font verdict. Adjacent words with the same verdict merge into one region card in the interface (Section 4.5).</w:t>
      </w:r>
    </w:p>
    <w:p>
      <w:pPr>
        <w:pStyle w:val="FirstParagraph"/>
      </w:pPr>
      <w:r>
        <w:rPr>
          <w:i/>
          <w:iCs/>
        </w:rPr>
        <w:t xml:space="preserve">How we measure it — executed offline on held-out data:</w:t>
      </w:r>
    </w:p>
    <w:p>
      <w:pPr>
        <w:pStyle w:val="Compact"/>
        <w:numPr>
          <w:ilvl w:val="0"/>
          <w:numId w:val="1006"/>
        </w:numPr>
      </w:pPr>
      <w:r>
        <w:rPr>
          <w:b/>
          <w:bCs/>
        </w:rPr>
        <w:t xml:space="preserve">Score recognition.</w:t>
      </w:r>
      <w:r>
        <w:t xml:space="preserve"> </w:t>
      </w:r>
      <w:r>
        <w:t xml:space="preserve">Top-1/Top-3 accuracy on the untouched synthetic test slice and on the real-generative set, whose ground truth is the human-proxy panel consensus of Section 4.2.3.</w:t>
      </w:r>
    </w:p>
    <w:p>
      <w:pPr>
        <w:pStyle w:val="Compact"/>
        <w:numPr>
          <w:ilvl w:val="0"/>
          <w:numId w:val="1006"/>
        </w:numPr>
      </w:pPr>
      <w:r>
        <w:rPr>
          <w:b/>
          <w:bCs/>
        </w:rPr>
        <w:t xml:space="preserve">Verify predictions structurally.</w:t>
      </w:r>
      <w:r>
        <w:t xml:space="preserve"> </w:t>
      </w:r>
      <w:r>
        <w:t xml:space="preserve">The re-render check of Section 4.2.2 scores each accepted prediction against its input crop.</w:t>
      </w:r>
    </w:p>
    <w:p>
      <w:pPr>
        <w:pStyle w:val="Compact"/>
        <w:numPr>
          <w:ilvl w:val="0"/>
          <w:numId w:val="1006"/>
        </w:numPr>
      </w:pPr>
      <w:r>
        <w:rPr>
          <w:b/>
          <w:bCs/>
        </w:rPr>
        <w:t xml:space="preserve">Compare.</w:t>
      </w:r>
      <w:r>
        <w:t xml:space="preserve"> </w:t>
      </w:r>
      <w:r>
        <w:t xml:space="preserve">The closed-set baselines and the backbone comparison run under the protocol of Section 4.10.2, on the same data and calibration recipe.</w:t>
      </w:r>
    </w:p>
    <w:p>
      <w:pPr>
        <w:pStyle w:val="FirstParagraph"/>
      </w:pPr>
      <w:r>
        <w:t xml:space="preserve">Any researcher holding the released code, the pinned seeds and versions (Section 4.7.3), and this sequence can regenerate the corpus bit-for-bit, retrain both models, arrive at the same</w:t>
      </w:r>
      <w:r>
        <w:t xml:space="preserve"> </w:t>
      </w:r>
      <m:oMath>
        <m:r>
          <m:t>τ</m:t>
        </m:r>
      </m:oMath>
      <w:r>
        <w:t xml:space="preserve">, and reproduce the reported tables — which is the standard the framework is built to meet.</w:t>
      </w:r>
    </w:p>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7"/>
        </w:numPr>
      </w:pPr>
      <w:r>
        <w:t xml:space="preserve">Accept an uploaded generative-AI image in common raster formats (PNG, JPEG) through the browser.</w:t>
      </w:r>
    </w:p>
    <w:p>
      <w:pPr>
        <w:pStyle w:val="Compact"/>
        <w:numPr>
          <w:ilvl w:val="0"/>
          <w:numId w:val="1007"/>
        </w:numPr>
      </w:pPr>
      <w:r>
        <w:t xml:space="preserve">Localize and crop each text region in the image using an off-the-shelf text detector.</w:t>
      </w:r>
    </w:p>
    <w:p>
      <w:pPr>
        <w:pStyle w:val="Compact"/>
        <w:numPr>
          <w:ilvl w:val="0"/>
          <w:numId w:val="1007"/>
        </w:numPr>
      </w:pPr>
      <w:r>
        <w:t xml:space="preserve">Preprocess each crop and embed it with the frozen DINOv2 encoder and the trained metric head.</w:t>
      </w:r>
    </w:p>
    <w:p>
      <w:pPr>
        <w:pStyle w:val="Compact"/>
        <w:numPr>
          <w:ilvl w:val="0"/>
          <w:numId w:val="1007"/>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7"/>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7"/>
        </w:numPr>
      </w:pPr>
      <w:r>
        <w:t xml:space="preserve">Render a preview of each candidate font so the user can compare it against the source text.</w:t>
      </w:r>
    </w:p>
    <w:p>
      <w:pPr>
        <w:pStyle w:val="Compact"/>
        <w:numPr>
          <w:ilvl w:val="0"/>
          <w:numId w:val="1007"/>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7"/>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8"/>
        </w:numPr>
      </w:pPr>
      <w:r>
        <w:t xml:space="preserve">Be usable through a single upload-and-review interaction that hides the underlying model (usability).</w:t>
      </w:r>
    </w:p>
    <w:p>
      <w:pPr>
        <w:pStyle w:val="Compact"/>
        <w:numPr>
          <w:ilvl w:val="0"/>
          <w:numId w:val="1008"/>
        </w:numPr>
      </w:pPr>
      <w:r>
        <w:t xml:space="preserve">Return results at interactive latency on a single machine, targeting a response within a few seconds per image (responsiveness).</w:t>
      </w:r>
    </w:p>
    <w:p>
      <w:pPr>
        <w:pStyle w:val="Compact"/>
        <w:numPr>
          <w:ilvl w:val="0"/>
          <w:numId w:val="1008"/>
        </w:numPr>
      </w:pPr>
      <w:r>
        <w:t xml:space="preserve">Produce the same output for the same input, through deterministic preprocessing and pinned model weights and seeds (reproducibility).</w:t>
      </w:r>
    </w:p>
    <w:p>
      <w:pPr>
        <w:pStyle w:val="Compact"/>
        <w:numPr>
          <w:ilvl w:val="0"/>
          <w:numId w:val="1008"/>
        </w:numPr>
      </w:pPr>
      <w:r>
        <w:t xml:space="preserve">Run from a single Docker image on one host, with no external service dependencies at inference time beyond the bundled weights and font files (portability).</w:t>
      </w:r>
    </w:p>
    <w:p>
      <w:pPr>
        <w:pStyle w:val="Compact"/>
        <w:numPr>
          <w:ilvl w:val="0"/>
          <w:numId w:val="1008"/>
        </w:numPr>
      </w:pPr>
      <w:r>
        <w:t xml:space="preserve">Keep the localizer, encoder, metric head, and open-set decision as separable components, so any one can be replaced without rewriting the others (maintainability).</w:t>
      </w:r>
    </w:p>
    <w:p>
      <w:pPr>
        <w:pStyle w:val="Compact"/>
        <w:numPr>
          <w:ilvl w:val="0"/>
          <w:numId w:val="1008"/>
        </w:numPr>
      </w:pPr>
      <w:r>
        <w:t xml:space="preserve">Operate as a single-user local demo, with no authentication, accounts, or multi-user scaling in scope (a deliberate delimitation, consistent with Section 4.1).</w:t>
      </w:r>
    </w:p>
    <w:p>
      <w:pPr>
        <w:pStyle w:val="Compact"/>
        <w:numPr>
          <w:ilvl w:val="0"/>
          <w:numId w:val="1008"/>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938346"/>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938346"/>
                    </a:xfrm>
                    <a:prstGeom prst="rect">
                      <a:avLst/>
                    </a:prstGeom>
                    <a:noFill/>
                    <a:ln w="9525">
                      <a:noFill/>
                      <a:headEnd/>
                      <a:tailEnd/>
                    </a:ln>
                  </pic:spPr>
                </pic:pic>
              </a:graphicData>
            </a:graphic>
          </wp:inline>
        </w:drawing>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9"/>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9"/>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9"/>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9"/>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4213"/>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4213"/>
                    </a:xfrm>
                    <a:prstGeom prst="rect">
                      <a:avLst/>
                    </a:prstGeom>
                    <a:noFill/>
                    <a:ln w="9525">
                      <a:noFill/>
                      <a:headEnd/>
                      <a:tailEnd/>
                    </a:ln>
                  </pic:spPr>
                </pic:pic>
              </a:graphicData>
            </a:graphic>
          </wp:inline>
        </w:drawing>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Git and GitHub provide version control and repository hosting, and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p>
      <w:pPr>
        <w:pStyle w:val="BodyText"/>
      </w:pPr>
      <w:r>
        <w:t xml:space="preserve">Two validation instruments follow from the word-level design of Section 4.4.2. First, the mixed-typography verdict is validated against a</w:t>
      </w:r>
      <w:r>
        <w:t xml:space="preserve"> </w:t>
      </w:r>
      <w:r>
        <w:rPr>
          <w:b/>
          <w:bCs/>
        </w:rPr>
        <w:t xml:space="preserve">mixed-font stressor set</w:t>
      </w:r>
      <w:r>
        <w:t xml:space="preserve"> </w:t>
      </w:r>
      <w:r>
        <w:t xml:space="preserve">the synthetic pipeline renders on demand: lines and words deliberately set in two palette fonts at controlled mixing ratios, degraded by the operator</w:t>
      </w:r>
      <w:r>
        <w:t xml:space="preserve"> </w:t>
      </w:r>
      <m:oMath>
        <m:r>
          <m:t>D</m:t>
        </m:r>
      </m:oMath>
      <w:r>
        <w:t xml:space="preserve"> </w:t>
      </w:r>
      <w:r>
        <w:t xml:space="preserve">like every other crop, so the detection rate and false-alarm rate of the homogeneity check are measured on labeled data that no in-the-wild collection could supply. The check’s dispersion cutoff is calibrated on the same stressor set by the operating-point recipe used for</w:t>
      </w:r>
      <w:r>
        <w:t xml:space="preserve"> </w:t>
      </w:r>
      <m:oMath>
        <m:r>
          <m:t>τ</m:t>
        </m:r>
      </m:oMath>
      <w:r>
        <w:t xml:space="preserve">, and its real-world validity is reported as the agreement between the flag and the panel’s coherence judgment (Section 4.2.3) on the real-generative crops. Because the served unit is the word crop, the threshold calibration of this section is likewise performed on word-granularity validation crops. Second, the choice of encoder is validated by a</w:t>
      </w:r>
      <w:r>
        <w:t xml:space="preserve"> </w:t>
      </w:r>
      <w:r>
        <w:rPr>
          <w:b/>
          <w:bCs/>
        </w:rPr>
        <w:t xml:space="preserve">backbone comparison</w:t>
      </w:r>
      <w:r>
        <w:t xml:space="preserve"> </w:t>
      </w:r>
      <w:r>
        <w:t xml:space="preserve">rather than assumed: the same frozen-encoder-plus-metric-head recipe, corpus, and calibration procedure are re-run with the backbone swapped — the incumbent DINOv2 against a contrastively pretrained vision-language encoder, a supervised ViT, and a convolutional baseline — holding everything else fixed, and each candidate is reported with its Top-1/Top-3 accuracy, false-positive rate at 95% recall, parameter count, and CPU and GPU inference latency. The homogeneity check narrows the field before speed and accuracy decide it: the check reads per-patch tokens, so a qualifying backbone must expose patch-level features, which is a property of the ViT family that a pooled convolutional embedding does not natively provide. The comparison therefore selects the deployed model on measured evidence, with the architecture class justified by the capability the pipeline requires of it.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pPr>
      <w:r>
        <w:t xml:space="preserve">IEEE 830 / ISO·IEC·IEEE 29148 Format</w:t>
      </w:r>
    </w:p>
    <w:p>
      <w:pPr>
        <w:pStyle w:val="BodyText"/>
      </w:pPr>
      <w:r>
        <w:rPr>
          <w:b/>
          <w:bCs/>
        </w:rPr>
        <w:t xml:space="preserve">Addressing Typographic Hallucination in Generative AI Images: An Open-Set Metric Learning Approach to Font Style Recognition</w:t>
      </w:r>
    </w:p>
    <w:p>
      <w:pPr>
        <w:pStyle w:val="BodyText"/>
      </w:pPr>
      <w:r>
        <w:t xml:space="preserve">Version 1.2 · August 3, 2026</w:t>
      </w:r>
    </w:p>
    <w:p>
      <w:pPr>
        <w:pStyle w:val="BodyText"/>
      </w:pPr>
      <w:r>
        <w:t xml:space="preserve">By</w:t>
      </w:r>
      <w:r>
        <w:t xml:space="preserve"> </w:t>
      </w:r>
      <w:r>
        <w:t xml:space="preserve">Janritch Diputado</w:t>
      </w:r>
      <w:r>
        <w:t xml:space="preserve"> </w:t>
      </w:r>
      <w:r>
        <w:t xml:space="preserve">Matt Cabarrubias</w:t>
      </w:r>
    </w:p>
    <w:p>
      <w:pPr>
        <w:pStyle w:val="BodyText"/>
        <w:keepNext/>
      </w:pPr>
      <w:r>
        <w:t xml:space="preserve">Christine D. Bandalan, MEng</w:t>
      </w:r>
      <w:r>
        <w:t xml:space="preserve"> </w:t>
      </w:r>
      <w:r>
        <w:t xml:space="preserve">Faculty Adviser</w:t>
      </w:r>
    </w:p>
    <w:p>
      <w:pPr>
        <w:pStyle w:val="Heading2"/>
        <w:keepNext/>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r>
        <w:tc>
          <w:tcPr/>
          <w:p>
            <w:pPr>
              <w:pStyle w:val="Compact"/>
              <w:jc w:val="left"/>
            </w:pPr>
            <w:r>
              <w:t xml:space="preserve">2026-07-26</w:t>
            </w:r>
          </w:p>
        </w:tc>
        <w:tc>
          <w:tcPr/>
          <w:p>
            <w:pPr>
              <w:pStyle w:val="Compact"/>
              <w:jc w:val="left"/>
            </w:pPr>
            <w:r>
              <w:t xml:space="preserve">1.1</w:t>
            </w:r>
          </w:p>
        </w:tc>
        <w:tc>
          <w:tcPr/>
          <w:p>
            <w:pPr>
              <w:pStyle w:val="Compact"/>
              <w:jc w:val="left"/>
            </w:pPr>
            <w:r>
              <w:t xml:space="preserve">Restructured to the IEEE 830 capstone template; adviser format revisions</w:t>
            </w:r>
          </w:p>
        </w:tc>
        <w:tc>
          <w:tcPr/>
          <w:p>
            <w:pPr>
              <w:pStyle w:val="Compact"/>
              <w:jc w:val="left"/>
            </w:pPr>
            <w:r>
              <w:t xml:space="preserve">Research team</w:t>
            </w:r>
          </w:p>
        </w:tc>
      </w:tr>
      <w:tr>
        <w:tc>
          <w:tcPr/>
          <w:p>
            <w:pPr>
              <w:pStyle w:val="Compact"/>
              <w:jc w:val="left"/>
            </w:pPr>
            <w:r>
              <w:t xml:space="preserve">2026-08-03</w:t>
            </w:r>
          </w:p>
        </w:tc>
        <w:tc>
          <w:tcPr/>
          <w:p>
            <w:pPr>
              <w:pStyle w:val="Compact"/>
              <w:jc w:val="left"/>
            </w:pPr>
            <w:r>
              <w:t xml:space="preserve">1.2</w:t>
            </w:r>
          </w:p>
        </w:tc>
        <w:tc>
          <w:tcPr/>
          <w:p>
            <w:pPr>
              <w:pStyle w:val="Compact"/>
              <w:jc w:val="left"/>
            </w:pPr>
            <w:r>
              <w:t xml:space="preserve">Post-defense revisions: word-level localization, mixed-typography verdict, word-merge presentation</w:t>
            </w:r>
          </w:p>
        </w:tc>
        <w:tc>
          <w:tcPr/>
          <w:p>
            <w:pPr>
              <w:pStyle w:val="Compact"/>
              <w:jc w:val="left"/>
            </w:pPr>
            <w:r>
              <w:t xml:space="preserve">Research team</w:t>
            </w:r>
          </w:p>
        </w:tc>
      </w:tr>
    </w:tbl>
    <w:p>
      <w:pPr>
        <w:pStyle w:val="Heading2"/>
      </w:pPr>
      <w:r>
        <w:t xml:space="preserve">1. Introduction</w:t>
      </w:r>
    </w:p>
    <w:p>
      <w:pPr>
        <w:pStyle w:val="Heading3"/>
      </w:pPr>
      <w:r>
        <w:t xml:space="preserve">1.1 Purpose</w:t>
      </w:r>
    </w:p>
    <w:p>
      <w:pPr>
        <w:pStyle w:val="FirstParagraph"/>
      </w:pPr>
      <w:r>
        <w:t xml:space="preserve">This Software Requirements Specification (SRS) defines the functional and non-functional requirements for</w:t>
      </w:r>
      <w:r>
        <w:t xml:space="preserve"> </w:t>
      </w:r>
      <w:r>
        <w:rPr>
          <w:b/>
          <w:bCs/>
        </w:rPr>
        <w:t xml:space="preserve">FontID</w:t>
      </w:r>
      <w:r>
        <w:t xml:space="preserve"> </w:t>
      </w:r>
      <w:r>
        <w:t xml:space="preserve">version 1.x, the web demonstrator that exposes the thesis’s font-recognition model to a user. It is the</w:t>
      </w:r>
      <w:r>
        <w:t xml:space="preserve"> </w:t>
      </w:r>
      <w:r>
        <w:rPr>
          <w:i/>
          <w:iCs/>
        </w:rPr>
        <w:t xml:space="preserve">artifact</w:t>
      </w:r>
      <w:r>
        <w:t xml:space="preserve"> </w:t>
      </w:r>
      <w:r>
        <w:t xml:space="preserve">half of the study’s build method (Ch4 §4.10): a single-page application that accepts a generative-AI image, runs the open-set metric-learning pipeline, and returns a ranked shortlist of the closest Google Fonts for each detected line of text — or rejects the text as out-of-palette. The software will not perform font vectorization, licensing, or any commercial identification.</w:t>
      </w:r>
    </w:p>
    <w:p>
      <w:pPr>
        <w:pStyle w:val="Heading3"/>
      </w:pPr>
      <w:r>
        <w:t xml:space="preserve">1.2 Document Conventions</w:t>
      </w:r>
    </w:p>
    <w:p>
      <w:pPr>
        <w:pStyle w:val="FirstParagraph"/>
      </w:pPr>
      <w:r>
        <w:t xml:space="preserve">Each requirement is labeled</w:t>
      </w:r>
      <w:r>
        <w:t xml:space="preserve"> </w:t>
      </w:r>
      <w:r>
        <w:rPr>
          <w:rStyle w:val="VerbatimChar"/>
        </w:rPr>
        <w:t xml:space="preserve">REQ-&lt;section&gt;-&lt;n&gt;</w:t>
      </w:r>
      <w:r>
        <w:t xml:space="preserve"> </w:t>
      </w:r>
      <w:r>
        <w:t xml:space="preserve">(e.g., REQ-4.1-2) with priority</w:t>
      </w:r>
      <w:r>
        <w:t xml:space="preserve"> </w:t>
      </w:r>
      <w:r>
        <w:rPr>
          <w:b/>
          <w:bCs/>
        </w:rPr>
        <w:t xml:space="preserve">High / Med / Low</w:t>
      </w:r>
      <w:r>
        <w:t xml:space="preserve">. Mandatory behavior uses</w:t>
      </w:r>
      <w:r>
        <w:t xml:space="preserve"> </w:t>
      </w:r>
      <w:r>
        <w:rPr>
          <w:b/>
          <w:bCs/>
        </w:rPr>
        <w:t xml:space="preserve">shall</w:t>
      </w:r>
      <w:r>
        <w:t xml:space="preserve">; desired behavior uses</w:t>
      </w:r>
      <w:r>
        <w:t xml:space="preserve"> </w:t>
      </w:r>
      <w:r>
        <w:rPr>
          <w:b/>
          <w:bCs/>
        </w:rPr>
        <w:t xml:space="preserve">should</w:t>
      </w:r>
      <w:r>
        <w:t xml:space="preserve">. Tables and figures follow APA 7th edition formatting.</w:t>
      </w:r>
    </w:p>
    <w:p>
      <w:pPr>
        <w:pStyle w:val="Heading3"/>
      </w:pPr>
      <w:r>
        <w:t xml:space="preserve">1.3 Intended Audience and Reading Suggestions</w:t>
      </w:r>
    </w:p>
    <w:p>
      <w:pPr>
        <w:pStyle w:val="FirstParagraph"/>
      </w:pPr>
      <w:r>
        <w:t xml:space="preserve">The document is intended for the two researcher-developers, the faculty adviser, and the panel evaluating the demonstrator. The panel and adviser may read Section 2 for a high-level view of scope and functions; the developers should read Sections 3–5 in full; evaluators verifying the demo should focus on Section 4 (features) and Section 5 (non-functional requirements) to derive test cases.</w:t>
      </w:r>
    </w:p>
    <w:p>
      <w:pPr>
        <w:pStyle w:val="Heading3"/>
      </w:pPr>
      <w:r>
        <w:t xml:space="preserve">1.4 Product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1.5 References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Ref#</w:t>
            </w:r>
          </w:p>
        </w:tc>
        <w:tc>
          <w:tcPr/>
          <w:p>
            <w:pPr>
              <w:pStyle w:val="Compact"/>
              <w:jc w:val="left"/>
            </w:pPr>
            <w:r>
              <w:t xml:space="preserve">Document Title</w:t>
            </w:r>
          </w:p>
        </w:tc>
        <w:tc>
          <w:tcPr/>
          <w:p>
            <w:pPr>
              <w:pStyle w:val="Compact"/>
              <w:jc w:val="left"/>
            </w:pPr>
            <w:r>
              <w:t xml:space="preserve">Version/Date</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Thesis Chapter 4 — Methodology (conceptual framework §4.4, architecture §4.5, build method §4.10)</w:t>
            </w:r>
          </w:p>
        </w:tc>
        <w:tc>
          <w:tcPr/>
          <w:p>
            <w:pPr>
              <w:pStyle w:val="Compact"/>
              <w:jc w:val="left"/>
            </w:pPr>
            <w:r>
              <w:t xml:space="preserve">2026</w:t>
            </w:r>
          </w:p>
        </w:tc>
        <w:tc>
          <w:tcPr/>
          <w:p>
            <w:pPr>
              <w:pStyle w:val="Compact"/>
              <w:jc w:val="left"/>
            </w:pPr>
            <w:r>
              <w:t xml:space="preserve">This thesis</w:t>
            </w:r>
          </w:p>
        </w:tc>
      </w:tr>
      <w:tr>
        <w:tc>
          <w:tcPr/>
          <w:p>
            <w:pPr>
              <w:pStyle w:val="Compact"/>
              <w:jc w:val="left"/>
            </w:pPr>
            <w:r>
              <w:t xml:space="preserve">[2]</w:t>
            </w:r>
          </w:p>
        </w:tc>
        <w:tc>
          <w:tcPr/>
          <w:p>
            <w:pPr>
              <w:pStyle w:val="Compact"/>
              <w:jc w:val="left"/>
            </w:pPr>
            <w:r>
              <w:t xml:space="preserve">IEEE Std 830-1998, Recommended Practice for Software Requirements Specifications</w:t>
            </w:r>
          </w:p>
        </w:tc>
        <w:tc>
          <w:tcPr/>
          <w:p>
            <w:pPr>
              <w:pStyle w:val="Compact"/>
              <w:jc w:val="left"/>
            </w:pPr>
            <w:r>
              <w:t xml:space="preserve">1998</w:t>
            </w:r>
          </w:p>
        </w:tc>
        <w:tc>
          <w:tcPr/>
          <w:p>
            <w:pPr>
              <w:pStyle w:val="Compact"/>
              <w:jc w:val="left"/>
            </w:pPr>
            <w:r>
              <w:t xml:space="preserve">IEEE</w:t>
            </w:r>
          </w:p>
        </w:tc>
      </w:tr>
      <w:tr>
        <w:tc>
          <w:tcPr/>
          <w:p>
            <w:pPr>
              <w:pStyle w:val="Compact"/>
              <w:jc w:val="left"/>
            </w:pPr>
            <w:r>
              <w:t xml:space="preserve">[3]</w:t>
            </w:r>
          </w:p>
        </w:tc>
        <w:tc>
          <w:tcPr/>
          <w:p>
            <w:pPr>
              <w:pStyle w:val="Compact"/>
              <w:jc w:val="left"/>
            </w:pPr>
            <w:r>
              <w:t xml:space="preserve">ISO/IEC/IEEE 29148:2018, Requirements engineering</w:t>
            </w:r>
          </w:p>
        </w:tc>
        <w:tc>
          <w:tcPr/>
          <w:p>
            <w:pPr>
              <w:pStyle w:val="Compact"/>
              <w:jc w:val="left"/>
            </w:pPr>
            <w:r>
              <w:t xml:space="preserve">2018</w:t>
            </w:r>
          </w:p>
        </w:tc>
        <w:tc>
          <w:tcPr/>
          <w:p>
            <w:pPr>
              <w:pStyle w:val="Compact"/>
              <w:jc w:val="left"/>
            </w:pPr>
            <w:r>
              <w:t xml:space="preserve">ISO/IEC/IEEE</w:t>
            </w:r>
          </w:p>
        </w:tc>
      </w:tr>
      <w:tr>
        <w:tc>
          <w:tcPr/>
          <w:p>
            <w:pPr>
              <w:pStyle w:val="Compact"/>
              <w:jc w:val="left"/>
            </w:pPr>
            <w:r>
              <w:t xml:space="preserve">[4]</w:t>
            </w:r>
          </w:p>
        </w:tc>
        <w:tc>
          <w:tcPr/>
          <w:p>
            <w:pPr>
              <w:pStyle w:val="Compact"/>
              <w:jc w:val="left"/>
            </w:pPr>
            <w:r>
              <w:t xml:space="preserve">Google Fonts open-source font library</w:t>
            </w:r>
          </w:p>
        </w:tc>
        <w:tc>
          <w:tcPr/>
          <w:p>
            <w:pPr>
              <w:pStyle w:val="Compact"/>
              <w:jc w:val="left"/>
            </w:pPr>
            <w:r>
              <w:t xml:space="preserve">current</w:t>
            </w:r>
          </w:p>
        </w:tc>
        <w:tc>
          <w:tcPr/>
          <w:p>
            <w:pPr>
              <w:pStyle w:val="Compact"/>
              <w:jc w:val="left"/>
            </w:pPr>
            <w:r>
              <w:t xml:space="preserve">https://fonts.google.com</w:t>
            </w:r>
          </w:p>
        </w:tc>
      </w:tr>
    </w:tbl>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10"/>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10"/>
        </w:numPr>
      </w:pPr>
      <w:r>
        <w:t xml:space="preserve">Localize the text in the image at word granularity and crop each word.</w:t>
      </w:r>
    </w:p>
    <w:p>
      <w:pPr>
        <w:pStyle w:val="Compact"/>
        <w:numPr>
          <w:ilvl w:val="0"/>
          <w:numId w:val="1010"/>
        </w:numPr>
      </w:pPr>
      <w:r>
        <w:t xml:space="preserve">Embed each crop, check it for font homogeneity, and rank it against the font palette.</w:t>
      </w:r>
    </w:p>
    <w:p>
      <w:pPr>
        <w:pStyle w:val="Compact"/>
        <w:numPr>
          <w:ilvl w:val="0"/>
          <w:numId w:val="1010"/>
        </w:numPr>
      </w:pPr>
      <w:r>
        <w:t xml:space="preserve">Return a Top-K shortlist per crop with a similarity score, reject it as out-of-palette, or report it as mixed typography; adjacent words with the same verdict merge into one result.</w:t>
      </w:r>
    </w:p>
    <w:p>
      <w:pPr>
        <w:pStyle w:val="Compact"/>
        <w:keepNext/>
        <w:numPr>
          <w:ilvl w:val="0"/>
          <w:numId w:val="1010"/>
        </w:numPr>
      </w:pPr>
      <w:r>
        <w:t xml:space="preserve">Render each candidate font as a live preview of the detected text for visual confirmation.</w:t>
      </w:r>
    </w:p>
    <w:p>
      <w:pPr>
        <w:pStyle w:val="Heading3"/>
        <w:keepNext/>
      </w:pPr>
      <w: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Privileges/Access</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Standard access: 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Full local access: drives the demo, inspects backend score/τ logs, confirms open-set reject behavior.</w:t>
            </w:r>
          </w:p>
        </w:tc>
      </w:tr>
    </w:tbl>
    <w:p>
      <w:pPr>
        <w:pStyle w:val="Heading3"/>
      </w:pPr>
      <w:r>
        <w:t xml:space="preserve">2.4 Operating Environment</w:t>
      </w:r>
    </w:p>
    <w:p>
      <w:pPr>
        <w:pStyle w:val="Compact"/>
        <w:numPr>
          <w:ilvl w:val="0"/>
          <w:numId w:val="1011"/>
        </w:numPr>
      </w:pPr>
      <w:r>
        <w:rPr>
          <w:b/>
          <w:bCs/>
        </w:rPr>
        <w:t xml:space="preserve">Client:</w:t>
      </w:r>
      <w:r>
        <w:t xml:space="preserve"> </w:t>
      </w:r>
      <w:r>
        <w:t xml:space="preserve">current Chrome / Firefox / Edge (latest two versions), desktop viewport.</w:t>
      </w:r>
    </w:p>
    <w:p>
      <w:pPr>
        <w:pStyle w:val="Compact"/>
        <w:numPr>
          <w:ilvl w:val="0"/>
          <w:numId w:val="1011"/>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11"/>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12"/>
        </w:numPr>
      </w:pPr>
      <w:r>
        <w:t xml:space="preserve">Stack is fixed by the methodology (Ch4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12"/>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(Ch4 §4.3.2).</w:t>
      </w:r>
    </w:p>
    <w:p>
      <w:pPr>
        <w:pStyle w:val="Compact"/>
        <w:numPr>
          <w:ilvl w:val="0"/>
          <w:numId w:val="1012"/>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3"/>
        </w:numPr>
      </w:pPr>
      <w:r>
        <w:t xml:space="preserve">The trained metric head and palette are available on disk at startup.</w:t>
      </w:r>
    </w:p>
    <w:p>
      <w:pPr>
        <w:pStyle w:val="Compact"/>
        <w:numPr>
          <w:ilvl w:val="0"/>
          <w:numId w:val="1013"/>
        </w:numPr>
      </w:pPr>
      <w:r>
        <w:t xml:space="preserve">The uploaded image contains legible rendered text (not handwriting / heavy occlusion).</w:t>
      </w:r>
    </w:p>
    <w:p>
      <w:pPr>
        <w:pStyle w:val="Compact"/>
        <w:numPr>
          <w:ilvl w:val="0"/>
          <w:numId w:val="1013"/>
        </w:numPr>
      </w:pPr>
      <w:r>
        <w:t xml:space="preserve">The off-the-shelf text-localization component is available and returns bounding boxes.</w:t>
      </w:r>
    </w:p>
    <w:p>
      <w:pPr>
        <w:pStyle w:val="Compact"/>
        <w:numPr>
          <w:ilvl w:val="0"/>
          <w:numId w:val="1013"/>
        </w:numPr>
      </w:pPr>
      <w:r>
        <w:t xml:space="preserve">The HuggingFace Hub remains reachable for the one-time weight download; after that the app runs offline.</w:t>
      </w:r>
    </w:p>
    <w:p>
      <w:pPr>
        <w:pStyle w:val="Heading2"/>
      </w:pPr>
      <w:r>
        <w:t xml:space="preserve">3. External Interface Requirements</w:t>
      </w:r>
    </w:p>
    <w:p>
      <w:pPr>
        <w:pStyle w:val="Heading3"/>
      </w:pPr>
      <w:r>
        <w:t xml:space="preserve">3.1 User Interfaces</w:t>
      </w:r>
    </w:p>
    <w:p>
      <w:pPr>
        <w:pStyle w:val="FirstParagraph"/>
      </w:pPr>
      <w:r>
        <w:t xml:space="preserve">Single page, three vertically stacked zones (wireframe below):</w:t>
      </w:r>
    </w:p>
    <w:p>
      <w:pPr>
        <w:pStyle w:val="Compact"/>
        <w:numPr>
          <w:ilvl w:val="0"/>
          <w:numId w:val="1014"/>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4"/>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4"/>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 / MIXED</w:t>
      </w:r>
      <w:r>
        <w:t xml:space="preserve"> </w:t>
      </w:r>
      <w:r>
        <w:t xml:space="preserve">badge for the open-set decision.</w:t>
      </w:r>
    </w:p>
    <w:p>
      <w:pPr>
        <w:pStyle w:val="FirstParagraph"/>
      </w:pPr>
      <w:r>
        <w:t xml:space="preserve">The interface shall 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3" name="Picture"/>
            <a:graphic>
              <a:graphicData uri="http://schemas.openxmlformats.org/drawingml/2006/picture">
                <pic:pic>
                  <pic:nvPicPr>
                    <pic:cNvPr descr="assets/figures/app_wireframe.png" id="134" name="Picture"/>
                    <pic:cNvPicPr>
                      <a:picLocks noChangeArrowheads="1" noChangeAspect="1"/>
                    </pic:cNvPicPr>
                  </pic:nvPicPr>
                  <pic:blipFill>
                    <a:blip r:embed="rId132"/>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Hardware Interfaces</w:t>
      </w:r>
    </w:p>
    <w:p>
      <w:pPr>
        <w:pStyle w:val="FirstParagraph"/>
        <w:keepNext/>
      </w:pPr>
      <w:r>
        <w:t xml:space="preserve">No dedicated hardware interface exists. The system runs on a commodity laptop; an NVIDIA GPU, when present, is used through the standard CUDA driver stack, and CPU-only operation is supported. No scanners, sensors, or printers are involved.</w:t>
      </w:r>
    </w:p>
    <w:p>
      <w:pPr>
        <w:pStyle w:val="Heading3"/>
        <w:keepNext/>
      </w:pPr>
      <w: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Heading3"/>
      </w:pPr>
      <w:r>
        <w:t xml:space="preserve">3.4 Communications Interfaces</w:t>
      </w:r>
    </w:p>
    <w:p>
      <w:pPr>
        <w:pStyle w:val="FirstParagraph"/>
      </w:pPr>
      <w:r>
        <w:t xml:space="preserve">All client–server traffic is HTTP over</w:t>
      </w:r>
      <w:r>
        <w:t xml:space="preserve"> </w:t>
      </w:r>
      <w:r>
        <w:rPr>
          <w:rStyle w:val="VerbatimChar"/>
        </w:rPr>
        <w:t xml:space="preserve">localhost</w:t>
      </w:r>
      <w:r>
        <w:t xml:space="preserve"> </w:t>
      </w:r>
      <w:r>
        <w:t xml:space="preserve">(REST, JSON, multipart upload). No external network traffic occurs at request time, no email or notification channels exist, and no TLS is required for the single-machine demo.</w:t>
      </w:r>
    </w:p>
    <w:p>
      <w:pPr>
        <w:pStyle w:val="Heading2"/>
      </w:pPr>
      <w:r>
        <w:t xml:space="preserve">4. System Features</w:t>
      </w:r>
    </w:p>
    <w:p>
      <w:pPr>
        <w:pStyle w:val="Heading3"/>
      </w:pPr>
      <w:r>
        <w:t xml:space="preserve">4.1 Image Input</w:t>
      </w:r>
    </w:p>
    <w:p>
      <w:pPr>
        <w:pStyle w:val="Heading4"/>
      </w:pPr>
      <w:r>
        <w:t xml:space="preserve">4.1.1 Description and Priority</w:t>
      </w:r>
    </w:p>
    <w:p>
      <w:pPr>
        <w:pStyle w:val="FirstParagraph"/>
      </w:pPr>
      <w:r>
        <w:t xml:space="preserve">User supplies a GenAI image by drag-drop, file browse, or a bundled sample. Priority:</w:t>
      </w:r>
      <w:r>
        <w:t xml:space="preserve"> </w:t>
      </w:r>
      <w:r>
        <w:rPr>
          <w:b/>
          <w:bCs/>
        </w:rPr>
        <w:t xml:space="preserve">High</w:t>
      </w:r>
      <w:r>
        <w:t xml:space="preserve">.</w:t>
      </w:r>
    </w:p>
    <w:p>
      <w:pPr>
        <w:pStyle w:val="Heading4"/>
      </w:pPr>
      <w:r>
        <w:t xml:space="preserve">4.1.2 Stimulus/Response Sequences</w:t>
      </w:r>
    </w:p>
    <w:p>
      <w:pPr>
        <w:pStyle w:val="FirstParagraph"/>
        <w:keepNext/>
      </w:pPr>
      <w:r>
        <w:t xml:space="preserve">User drops/selects an image → client shows a preview and enables</w:t>
      </w:r>
      <w:r>
        <w:t xml:space="preserve"> </w:t>
      </w:r>
      <w:r>
        <w:rPr>
          <w:b/>
          <w:bCs/>
        </w:rPr>
        <w:t xml:space="preserve">Identify Fonts</w:t>
      </w:r>
      <w:r>
        <w:t xml:space="preserve"> </w:t>
      </w:r>
      <w:r>
        <w:t xml:space="preserve">→ click posts the image to</w:t>
      </w:r>
      <w:r>
        <w:t xml:space="preserve"> </w:t>
      </w:r>
      <w:r>
        <w:rPr>
          <w:rStyle w:val="VerbatimChar"/>
        </w:rPr>
        <w:t xml:space="preserve">/predict</w:t>
      </w:r>
      <w:r>
        <w:t xml:space="preserve">.</w:t>
      </w:r>
    </w:p>
    <w:p>
      <w:pPr>
        <w:pStyle w:val="Heading4"/>
        <w:keepNext/>
      </w:pPr>
      <w:r>
        <w:t xml:space="preserve">4.1.3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w:t>
      </w:r>
    </w:p>
    <w:p>
      <w:pPr>
        <w:pStyle w:val="Heading4"/>
      </w:pPr>
      <w:r>
        <w:t xml:space="preserve">4.2.1 Description and Priority</w:t>
      </w:r>
    </w:p>
    <w:p>
      <w:pPr>
        <w:pStyle w:val="FirstParagraph"/>
      </w:pPr>
      <w:r>
        <w:t xml:space="preserve">The backend finds text regions and prepares each crop for matching. Priority:</w:t>
      </w:r>
      <w:r>
        <w:t xml:space="preserve"> </w:t>
      </w:r>
      <w:r>
        <w:rPr>
          <w:b/>
          <w:bCs/>
        </w:rPr>
        <w:t xml:space="preserve">High</w:t>
      </w:r>
      <w:r>
        <w:t xml:space="preserve">.</w:t>
      </w:r>
    </w:p>
    <w:p>
      <w:pPr>
        <w:pStyle w:val="Heading4"/>
      </w:pPr>
      <w:r>
        <w:t xml:space="preserve">4.2.2 Stimulus/Response Sequences</w:t>
      </w:r>
    </w:p>
    <w:p>
      <w:pPr>
        <w:pStyle w:val="FirstParagraph"/>
        <w:keepNext/>
      </w:pPr>
      <w:r>
        <w:rPr>
          <w:rStyle w:val="VerbatimChar"/>
        </w:rPr>
        <w:t xml:space="preserve">/predict</w:t>
      </w:r>
      <w:r>
        <w:t xml:space="preserve"> </w:t>
      </w:r>
      <w:r>
        <w:t xml:space="preserve">receives the image → localizer returns bounding boxes → each crop is preprocessed and embedded → status advances in the Processing zone.</w:t>
      </w:r>
    </w:p>
    <w:p>
      <w:pPr>
        <w:pStyle w:val="Heading4"/>
        <w:keepNext/>
      </w:pPr>
      <w:r>
        <w:t xml:space="preserve">4.2.3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localize text at word granularity (one bounding box per word) and crop each word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r>
        <w:tc>
          <w:tcPr/>
          <w:p>
            <w:pPr>
              <w:pStyle w:val="Compact"/>
              <w:jc w:val="left"/>
            </w:pPr>
            <w:r>
              <w:t xml:space="preserve">REQ-4.2-5</w:t>
            </w:r>
          </w:p>
        </w:tc>
        <w:tc>
          <w:tcPr/>
          <w:p>
            <w:pPr>
              <w:pStyle w:val="Compact"/>
              <w:jc w:val="left"/>
            </w:pPr>
            <w:r>
              <w:t xml:space="preserve">The system shall check each crop for font homogeneity using the encoder’s patch-level features; a flagged crop shall be split once at the detected boundary and each half matched independently.</w:t>
            </w:r>
          </w:p>
        </w:tc>
        <w:tc>
          <w:tcPr/>
          <w:p>
            <w:pPr>
              <w:pStyle w:val="Compact"/>
              <w:jc w:val="left"/>
            </w:pPr>
            <w:r>
              <w:t xml:space="preserve">High</w:t>
            </w:r>
          </w:p>
        </w:tc>
      </w:tr>
    </w:tbl>
    <w:p>
      <w:pPr>
        <w:pStyle w:val="Heading3"/>
      </w:pPr>
      <w:r>
        <w:t xml:space="preserve">4.3 Font Matching and Top-K Results</w:t>
      </w:r>
    </w:p>
    <w:p>
      <w:pPr>
        <w:pStyle w:val="Heading4"/>
      </w:pPr>
      <w:r>
        <w:t xml:space="preserve">4.3.1 Description and Priority</w:t>
      </w:r>
    </w:p>
    <w:p>
      <w:pPr>
        <w:pStyle w:val="FirstParagraph"/>
      </w:pPr>
      <w:r>
        <w:t xml:space="preserve">For each crop, the system ranks the palette and decides known, unknown, or mixed typography. Priority:</w:t>
      </w:r>
      <w:r>
        <w:t xml:space="preserve"> </w:t>
      </w:r>
      <w:r>
        <w:rPr>
          <w:b/>
          <w:bCs/>
        </w:rPr>
        <w:t xml:space="preserve">High</w:t>
      </w:r>
      <w:r>
        <w:t xml:space="preserve">.</w:t>
      </w:r>
    </w:p>
    <w:p>
      <w:pPr>
        <w:pStyle w:val="Heading4"/>
      </w:pPr>
      <w:r>
        <w:t xml:space="preserve">4.3.2 Stimulus/Response Sequences</w:t>
      </w:r>
    </w:p>
    <w:p>
      <w:pPr>
        <w:pStyle w:val="FirstParagraph"/>
        <w:keepNext/>
      </w:pPr>
      <w:r>
        <w:t xml:space="preserve">Embedding is compared to the palette → if best similarity ≥ τ, return the ranked Top-K; else mark the crop out-of-palette.</w:t>
      </w:r>
    </w:p>
    <w:p>
      <w:pPr>
        <w:pStyle w:val="Heading4"/>
        <w:keepNext/>
      </w:pPr>
      <w:r>
        <w:t xml:space="preserve">4.3.3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result as its own card in a carousel with previous/next navigation and a region indicator (e.g.,</w:t>
            </w:r>
            <w:r>
              <w:t xml:space="preserve"> </w:t>
            </w:r>
            <w:r>
              <w:t xml:space="preserve">“Region 1 of 2”</w:t>
            </w:r>
            <w:r>
              <w:t xml:space="preserve">), each card labeled KNOWN, UNKNOWN, or MIXED.</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r>
        <w:tc>
          <w:tcPr/>
          <w:p>
            <w:pPr>
              <w:pStyle w:val="Compact"/>
              <w:jc w:val="left"/>
            </w:pPr>
            <w:r>
              <w:t xml:space="preserve">REQ-4.3-6</w:t>
            </w:r>
          </w:p>
        </w:tc>
        <w:tc>
          <w:tcPr/>
          <w:p>
            <w:pPr>
              <w:pStyle w:val="Compact"/>
              <w:jc w:val="left"/>
            </w:pPr>
            <w:r>
              <w:t xml:space="preserve">The system shall report a crop that remains font-inhomogeneous after one split as</w:t>
            </w:r>
            <w:r>
              <w:t xml:space="preserve"> </w:t>
            </w:r>
            <w:r>
              <w:t xml:space="preserve">“mixed typography”</w:t>
            </w:r>
            <w:r>
              <w:t xml:space="preserve"> </w:t>
            </w:r>
            <w:r>
              <w:t xml:space="preserve">rather than assigning a single font, and shall merge adjacent word crops that share the same verdict into one region card.</w:t>
            </w:r>
          </w:p>
        </w:tc>
        <w:tc>
          <w:tcPr/>
          <w:p>
            <w:pPr>
              <w:pStyle w:val="Compact"/>
              <w:jc w:val="left"/>
            </w:pPr>
            <w:r>
              <w:t xml:space="preserve">High</w:t>
            </w:r>
          </w:p>
        </w:tc>
      </w:tr>
    </w:tbl>
    <w:p>
      <w:pPr>
        <w:pStyle w:val="Heading3"/>
      </w:pPr>
      <w:r>
        <w:t xml:space="preserve">4.4 Font Preview</w:t>
      </w:r>
    </w:p>
    <w:p>
      <w:pPr>
        <w:pStyle w:val="Heading4"/>
      </w:pPr>
      <w:r>
        <w:t xml:space="preserve">4.4.1 Description and Priority</w:t>
      </w:r>
    </w:p>
    <w:p>
      <w:pPr>
        <w:pStyle w:val="FirstParagraph"/>
      </w:pPr>
      <w:r>
        <w:t xml:space="preserve">The user visually confirms a match against live-rendered candidates. Priority:</w:t>
      </w:r>
      <w:r>
        <w:t xml:space="preserve"> </w:t>
      </w:r>
      <w:r>
        <w:rPr>
          <w:b/>
          <w:bCs/>
        </w:rPr>
        <w:t xml:space="preserve">Med</w:t>
      </w:r>
      <w:r>
        <w:t xml:space="preserve">.</w:t>
      </w:r>
    </w:p>
    <w:p>
      <w:pPr>
        <w:pStyle w:val="Heading4"/>
      </w:pPr>
      <w:r>
        <w:t xml:space="preserve">4.4.2 Stimulus/Response Sequences</w:t>
      </w:r>
    </w:p>
    <w:p>
      <w:pPr>
        <w:pStyle w:val="FirstParagraph"/>
        <w:keepNext/>
      </w:pPr>
      <w:r>
        <w:t xml:space="preserve">For each candidate font, the app renders the detected text string in that font beside the crop.</w:t>
      </w:r>
    </w:p>
    <w:p>
      <w:pPr>
        <w:pStyle w:val="Heading4"/>
        <w:keepNext/>
      </w:pPr>
      <w:r>
        <w:t xml:space="preserve">4.4.3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pPr>
        <w:pStyle w:val="Heading2"/>
        <w:keepNext/>
      </w:pPr>
      <w:r>
        <w:t xml:space="preserve">5. Other Nonfunctional Requirements</w:t>
      </w:r>
    </w:p>
    <w:p>
      <w:pPr>
        <w:pStyle w:val="Heading3"/>
        <w:keepNext/>
      </w:pPr>
      <w:r>
        <w:t xml:space="preserve">5.1 Performance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keepNext/>
      </w:pPr>
      <w:r>
        <w:t xml:space="preserve">5.2 Safety Requirements</w:t>
      </w:r>
    </w:p>
    <w:p>
      <w:pPr>
        <w:pStyle w:val="FirstParagraph"/>
        <w:keepNext/>
      </w:pPr>
      <w:r>
        <w:t xml:space="preserve">The system controls no physical process, so no physical-safety hazards exist. Against data loss: uploaded images are processed in memory and never written to disk, so a crash can lose at most the in-flight request; model weights and font assets are read-only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The system shall open model weights and font assets read-only at runtime, so a failed request cannot corrupt them.</w:t>
            </w:r>
          </w:p>
        </w:tc>
        <w:tc>
          <w:tcPr/>
          <w:p>
            <w:pPr>
              <w:pStyle w:val="Compact"/>
              <w:jc w:val="left"/>
            </w:pPr>
            <w:r>
              <w:t xml:space="preserve">Med</w:t>
            </w:r>
          </w:p>
        </w:tc>
      </w:tr>
    </w:tbl>
    <w:p>
      <w:pPr>
        <w:pStyle w:val="Heading3"/>
        <w:keepNext/>
      </w:pPr>
      <w:r>
        <w:t xml:space="preserve">5.3 Security Requirements</w:t>
      </w:r>
    </w:p>
    <w:p>
      <w:pPr>
        <w:pStyle w:val="FirstParagraph"/>
        <w:keepNext/>
      </w:pPr>
      <w:r>
        <w:t xml:space="preserve">As a single-user local demo the app has no authentication and no persistence; no personal data is collected, so no retention obligations arise under data-privacy regulation.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process uploads in memory and discard them when the request completes; no upload shall be stored beyond the request lifetime.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server shall bind only to the</w:t>
            </w:r>
            <w:r>
              <w:t xml:space="preserve"> </w:t>
            </w:r>
            <w:r>
              <w:rPr>
                <w:rStyle w:val="VerbatimChar"/>
              </w:rPr>
              <w:t xml:space="preserve">localhost</w:t>
            </w:r>
            <w:r>
              <w:t xml:space="preserve"> </w:t>
            </w:r>
            <w:r>
              <w:t xml:space="preserve">interface and accept no remote connections.</w:t>
            </w:r>
          </w:p>
        </w:tc>
        <w:tc>
          <w:tcPr/>
          <w:p>
            <w:pPr>
              <w:pStyle w:val="Compact"/>
              <w:keepNext/>
              <w:jc w:val="left"/>
            </w:pPr>
            <w:r>
              <w:t xml:space="preserve">Med</w:t>
            </w:r>
          </w:p>
        </w:tc>
      </w:tr>
    </w:tbl>
    <w:p>
      <w:pPr>
        <w:pStyle w:val="Heading3"/>
        <w:keepNext/>
      </w:pPr>
      <w:r>
        <w:t xml:space="preserve">5.4 Software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REQ-5.4-1</w:t>
            </w:r>
          </w:p>
        </w:tc>
        <w:tc>
          <w:tcPr/>
          <w:p>
            <w:pPr>
              <w:pStyle w:val="Compact"/>
              <w:jc w:val="left"/>
            </w:pPr>
            <w:r>
              <w:t xml:space="preserve">Usability: 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REQ-5.4-2</w:t>
            </w:r>
          </w:p>
        </w:tc>
        <w:tc>
          <w:tcPr/>
          <w:p>
            <w:pPr>
              <w:pStyle w:val="Compact"/>
              <w:jc w:val="left"/>
            </w:pPr>
            <w:r>
              <w:t xml:space="preserve">Usability: scores and known/unknown status shall be visible without interaction.</w:t>
            </w:r>
          </w:p>
        </w:tc>
        <w:tc>
          <w:tcPr/>
          <w:p>
            <w:pPr>
              <w:pStyle w:val="Compact"/>
              <w:jc w:val="left"/>
            </w:pPr>
            <w:r>
              <w:t xml:space="preserve">Med</w:t>
            </w:r>
          </w:p>
        </w:tc>
      </w:tr>
      <w:tr>
        <w:tc>
          <w:tcPr/>
          <w:p>
            <w:pPr>
              <w:pStyle w:val="Compact"/>
              <w:jc w:val="left"/>
            </w:pPr>
            <w:r>
              <w:t xml:space="preserve">REQ-5.4-3</w:t>
            </w:r>
          </w:p>
        </w:tc>
        <w:tc>
          <w:tcPr/>
          <w:p>
            <w:pPr>
              <w:pStyle w:val="Compact"/>
              <w:jc w:val="left"/>
            </w:pPr>
            <w:r>
              <w:t xml:space="preserve">Reliability: 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REQ-5.4-4</w:t>
            </w:r>
          </w:p>
        </w:tc>
        <w:tc>
          <w:tcPr/>
          <w:p>
            <w:pPr>
              <w:pStyle w:val="Compact"/>
              <w:jc w:val="left"/>
            </w:pPr>
            <w:r>
              <w:t xml:space="preserve">Portability: the system shall run from a single Docker image on a clean machine with no manual dependency setup.</w:t>
            </w:r>
          </w:p>
        </w:tc>
        <w:tc>
          <w:tcPr/>
          <w:p>
            <w:pPr>
              <w:pStyle w:val="Compact"/>
              <w:jc w:val="left"/>
            </w:pPr>
            <w:r>
              <w:t xml:space="preserve">Med</w:t>
            </w:r>
          </w:p>
        </w:tc>
      </w:tr>
    </w:tbl>
    <w:p>
      <w:pPr>
        <w:pStyle w:val="Heading3"/>
      </w:pPr>
      <w:r>
        <w:t xml:space="preserve">5.5 Business Rules</w:t>
      </w:r>
    </w:p>
    <w:p>
      <w:pPr>
        <w:pStyle w:val="Compact"/>
        <w:numPr>
          <w:ilvl w:val="0"/>
          <w:numId w:val="1015"/>
        </w:numPr>
      </w:pPr>
      <w:r>
        <w:t xml:space="preserve">Only fonts from the open-source Google Fonts palette may be named in a result; the system never identifies or recommends a commercial font.</w:t>
      </w:r>
    </w:p>
    <w:p>
      <w:pPr>
        <w:pStyle w:val="Compact"/>
        <w:numPr>
          <w:ilvl w:val="0"/>
          <w:numId w:val="1015"/>
        </w:numPr>
      </w:pPr>
      <w:r>
        <w:t xml:space="preserve">A crop whose best similarity falls below τ must be reported as unknown; the system never forces a closed-set label onto an out-of-palette crop.</w:t>
      </w:r>
    </w:p>
    <w:p>
      <w:pPr>
        <w:pStyle w:val="Compact"/>
        <w:numPr>
          <w:ilvl w:val="0"/>
          <w:numId w:val="1015"/>
        </w:numPr>
      </w:pPr>
      <w:r>
        <w:t xml:space="preserve">Bundled sample images must come from real generative-AI output and must never overlap any training data.</w:t>
      </w:r>
    </w:p>
    <w:p>
      <w:pPr>
        <w:pStyle w:val="Heading2"/>
      </w:pPr>
      <w:r>
        <w:t xml:space="preserve">6. Other Requirements</w:t>
      </w:r>
    </w:p>
    <w:p>
      <w:pPr>
        <w:pStyle w:val="Compact"/>
        <w:numPr>
          <w:ilvl w:val="0"/>
          <w:numId w:val="1016"/>
        </w:numPr>
      </w:pPr>
      <w:r>
        <w:rPr>
          <w:b/>
          <w:bCs/>
        </w:rPr>
        <w:t xml:space="preserve">Licensing:</w:t>
      </w:r>
      <w:r>
        <w:t xml:space="preserve"> </w:t>
      </w:r>
      <w:r>
        <w:t xml:space="preserve">every runtime component and font asset is open-source; the system shall carry no mandatory license or subscription cost.</w:t>
      </w:r>
    </w:p>
    <w:p>
      <w:pPr>
        <w:pStyle w:val="Compact"/>
        <w:numPr>
          <w:ilvl w:val="0"/>
          <w:numId w:val="1016"/>
        </w:numPr>
      </w:pPr>
      <w:r>
        <w:rPr>
          <w:b/>
          <w:bCs/>
        </w:rPr>
        <w:t xml:space="preserve">Data retention:</w:t>
      </w:r>
      <w:r>
        <w:t xml:space="preserve"> </w:t>
      </w:r>
      <w:r>
        <w:t xml:space="preserve">none — the system stores no user data (see REQ-5.3-1).</w:t>
      </w:r>
    </w:p>
    <w:p>
      <w:pPr>
        <w:pStyle w:val="Compact"/>
        <w:keepNext/>
        <w:numPr>
          <w:ilvl w:val="0"/>
          <w:numId w:val="1016"/>
        </w:numPr>
      </w:pPr>
      <w:r>
        <w:rPr>
          <w:b/>
          <w:bCs/>
        </w:rPr>
        <w:t xml:space="preserve">Internationalization:</w:t>
      </w:r>
      <w:r>
        <w:t xml:space="preserve"> </w:t>
      </w:r>
      <w:r>
        <w:t xml:space="preserve">the interface is English-only; the recognition palette is limited to Latin-script fonts, matching the thesis scope.</w:t>
      </w:r>
    </w:p>
    <w:p>
      <w:pPr>
        <w:pStyle w:val="Heading2"/>
        <w:keepNext/>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Mixed typography</w:t>
            </w:r>
          </w:p>
        </w:tc>
        <w:tc>
          <w:tcPr/>
          <w:p>
            <w:pPr>
              <w:pStyle w:val="Compact"/>
              <w:jc w:val="left"/>
            </w:pPr>
            <w:r>
              <w:t xml:space="preserve">Verdict for a crop whose patch-level features indicate more than one typeface and that stays inhomogeneous after one split; no single font is assigned.</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pPr>
        <w:pStyle w:val="Heading2"/>
      </w:pPr>
      <w:r>
        <w:t xml:space="preserve">Appendix B: Analysis Models</w:t>
      </w:r>
    </w:p>
    <w:p>
      <w:pPr>
        <w:pStyle w:val="FirstParagraph"/>
      </w:pPr>
      <w:r>
        <w:t xml:space="preserve">The analysis models for this system live in Chapter 4 and are not duplicated here: the conceptual framework (Fig 8, §4.4.2) models the offline-training versus at-use data flow, the system-architecture diagram (Fig 9, §4.5.2) models the layered client-server structure, and the iterative-incremental SDLC model (Fig 10, §4.6) models the build sequence.</w:t>
      </w:r>
    </w:p>
    <w:p>
      <w:pPr>
        <w:pStyle w:val="BodyText"/>
      </w:pPr>
      <w:r>
        <w:rPr>
          <w:b/>
          <w:bCs/>
        </w:rPr>
        <w:t xml:space="preserve">Traceability.</w:t>
      </w:r>
      <w:r>
        <w:t xml:space="preserve"> </w:t>
      </w:r>
      <w:r>
        <w:t xml:space="preserve">System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two required judgments — first, the closest palette font, found through a searchable list, or the</w:t>
      </w:r>
      <w:r>
        <w:t xml:space="preserve"> </w:t>
      </w:r>
      <w:r>
        <w:t xml:space="preserve">“Unknown / hallucinated”</w:t>
      </w:r>
      <w:r>
        <w:t xml:space="preserve"> </w:t>
      </w:r>
      <w:r>
        <w:t xml:space="preserve">verdict when no palette font matches; and second, whether the crop appears set in one typeface throughout or in more than one, with a</w:t>
      </w:r>
      <w:r>
        <w:t xml:space="preserve"> </w:t>
      </w:r>
      <w:r>
        <w:t xml:space="preserve">“cannot tell”</w:t>
      </w:r>
      <w:r>
        <w:t xml:space="preserve"> </w:t>
      </w:r>
      <w:r>
        <w:t xml:space="preserve">option (the coherence judgment of Section 4.2.3, which measures the prevalence of font-incoherent generative text and validates the pipeline’s homogeneity check).</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69" name="Picture"/>
            <a:graphic>
              <a:graphicData uri="http://schemas.openxmlformats.org/drawingml/2006/picture">
                <pic:pic>
                  <pic:nvPicPr>
                    <pic:cNvPr descr="assets/figures/expert_panel_form.png" id="170" name="Picture"/>
                    <pic:cNvPicPr>
                      <a:picLocks noChangeArrowheads="1" noChangeAspect="1"/>
                    </pic:cNvPicPr>
                  </pic:nvPicPr>
                  <pic:blipFill>
                    <a:blip r:embed="rId168"/>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(35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68" Target="media/rId168.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2026-08-07T14:31:34Z</dcterms:created>
  <dcterms:modified xsi:type="dcterms:W3CDTF">2026-08-07T14:31:34Z</dcterms:modified>
</cp:coreProperties>
</file>

<file path=docProps/custom.xml><?xml version="1.0" encoding="utf-8"?>
<Properties xmlns="http://schemas.openxmlformats.org/officeDocument/2006/custom-properties" xmlns:vt="http://schemas.openxmlformats.org/officeDocument/2006/docPropsVTypes"/>
</file>