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888888"/>
          <w:sz w:val="22"/>
          <w:szCs w:val="22"/>
        </w:rPr>
        <w:t xml:space="preserve">GOBIERNO DEL ESTADO DE JALISCO</w:t>
      </w:r>
    </w:p>
    <w:p>
      <w:pPr>
        <w:spacing w:after="100"/>
        <w:jc w:val="center"/>
      </w:pPr>
      <w:r>
        <w:rPr>
          <w:rFonts w:ascii="Arial" w:cs="Arial" w:eastAsia="Arial" w:hAnsi="Arial"/>
          <w:color w:val="888888"/>
          <w:sz w:val="20"/>
          <w:szCs w:val="20"/>
        </w:rPr>
        <w:t xml:space="preserve">Secretaría de Innovación, Ciencia y Tecnología</w:t>
      </w:r>
    </w:p>
    <w:p>
      <w:r>
        <w:t xml:space="preserve"/>
      </w:r>
    </w:p>
    <w:p>
      <w:r>
        <w:t xml:space="preserve"/>
      </w:r>
    </w:p>
    <w:p>
      <w:pPr>
        <w:pBdr>
          <w:top w:val="single" w:color="C8102E" w:sz="12" w:space="1"/>
          <w:bottom w:val="single" w:color="C8102E" w:sz="12" w:space="1"/>
        </w:pBdr>
        <w:spacing w:after="240" w:before="240"/>
        <w:jc w:val="center"/>
      </w:pPr>
      <w:r>
        <w:rPr>
          <w:rFonts w:ascii="Arial" w:cs="Arial" w:eastAsia="Arial" w:hAnsi="Arial"/>
          <w:b/>
          <w:bCs/>
          <w:color w:val="1A3A6B"/>
          <w:sz w:val="72"/>
          <w:szCs w:val="72"/>
        </w:rPr>
        <w:t xml:space="preserve">HADES INTEROP</w:t>
      </w:r>
    </w:p>
    <w:p>
      <w:pPr>
        <w:spacing w:after="120" w:before="200"/>
        <w:jc w:val="center"/>
      </w:pPr>
      <w:r>
        <w:rPr>
          <w:rFonts w:ascii="Arial" w:cs="Arial" w:eastAsia="Arial" w:hAnsi="Arial"/>
          <w:b/>
          <w:bCs/>
          <w:color w:val="2E5DAA"/>
          <w:sz w:val="36"/>
          <w:szCs w:val="36"/>
        </w:rPr>
        <w:t xml:space="preserve">Plataforma de Interoperabilidad Gubernamental</w:t>
      </w:r>
    </w:p>
    <w:p>
      <w:pPr>
        <w:spacing w:after="400"/>
        <w:jc w:val="center"/>
      </w:pPr>
      <w:r>
        <w:rPr>
          <w:rFonts w:ascii="Arial" w:cs="Arial" w:eastAsia="Arial" w:hAnsi="Arial"/>
          <w:color w:val="4A4A4A"/>
          <w:sz w:val="24"/>
          <w:szCs w:val="24"/>
        </w:rPr>
        <w:t xml:space="preserve">Protocolo Universal JSON — Sin dependencia de nube extranjera</w:t>
      </w:r>
    </w:p>
    <w:p>
      <w:r>
        <w:t xml:space="preserve"/>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bCs/>
                <w:color w:val="000000"/>
                <w:sz w:val="20"/>
                <w:szCs w:val="20"/>
              </w:rPr>
              <w:t xml:space="preserve">Versión</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1.0 — Mayo 2026</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bCs/>
                <w:color w:val="000000"/>
                <w:sz w:val="20"/>
                <w:szCs w:val="20"/>
              </w:rPr>
              <w:t xml:space="preserve">Clasificación</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Confidencial — Uso Gubernamental</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bCs/>
                <w:color w:val="000000"/>
                <w:sz w:val="20"/>
                <w:szCs w:val="20"/>
              </w:rPr>
              <w:t xml:space="preserve">Desarrollador</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Javier — Desarrollador Independiente, Ocotlán, Jalisco</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bCs/>
                <w:color w:val="000000"/>
                <w:sz w:val="20"/>
                <w:szCs w:val="20"/>
              </w:rPr>
              <w:t xml:space="preserve">Contacto</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Disponible bajo solicitud formal</w:t>
            </w:r>
          </w:p>
        </w:tc>
      </w:tr>
    </w:tbl>
    <w:p>
      <w:r>
        <w:t xml:space="preserve"/>
      </w:r>
    </w:p>
    <w:p>
      <w:r>
        <w:t xml:space="preserve"/>
      </w:r>
    </w:p>
    <w:p>
      <w:pPr>
        <w:pStyle w:val="Heading1"/>
        <w:pBdr>
          <w:bottom w:val="single" w:color="1A3A6B" w:sz="8" w:space="1"/>
        </w:pBdr>
        <w:spacing w:after="200" w:before="400"/>
      </w:pPr>
      <w:r>
        <w:rPr>
          <w:rFonts w:ascii="Arial" w:cs="Arial" w:eastAsia="Arial" w:hAnsi="Arial"/>
          <w:b/>
          <w:bCs/>
          <w:color w:val="1A3A6B"/>
          <w:sz w:val="32"/>
          <w:szCs w:val="32"/>
        </w:rPr>
        <w:t xml:space="preserve">1. Resumen Ejecutivo</w:t>
      </w:r>
    </w:p>
    <w:p>
      <w:pPr>
        <w:spacing w:after="120" w:before="120"/>
        <w:jc w:val="both"/>
      </w:pPr>
      <w:r>
        <w:rPr>
          <w:rFonts w:ascii="Arial" w:cs="Arial" w:eastAsia="Arial" w:hAnsi="Arial"/>
          <w:b w:val="false"/>
          <w:bCs w:val="false"/>
          <w:i w:val="false"/>
          <w:iCs w:val="false"/>
          <w:color w:val="4A4A4A"/>
          <w:sz w:val="22"/>
          <w:szCs w:val="22"/>
        </w:rPr>
        <w:t xml:space="preserve">El Gobierno del Estado de Jalisco opera más de 20 dependencias con sistemas de información heterogéneos que no se comunican entre sí. Esta fragmentación genera duplicidad de datos, retrasos operativos y costos elevados de mantenimiento.</w:t>
      </w:r>
    </w:p>
    <w:p>
      <w:r>
        <w:t xml:space="preserve"/>
      </w:r>
    </w:p>
    <w:p>
      <w:pPr>
        <w:spacing w:after="120" w:before="120"/>
        <w:jc w:val="both"/>
      </w:pPr>
      <w:r>
        <w:rPr>
          <w:rFonts w:ascii="Arial" w:cs="Arial" w:eastAsia="Arial" w:hAnsi="Arial"/>
          <w:b w:val="false"/>
          <w:bCs w:val="false"/>
          <w:i w:val="false"/>
          <w:iCs w:val="false"/>
          <w:color w:val="4A4A4A"/>
          <w:sz w:val="22"/>
          <w:szCs w:val="22"/>
        </w:rPr>
        <w:t xml:space="preserve">HADES INTEROP es una plataforma de interoperabilidad gubernamental basada en Protocolo Universal JSON (PUJ), desarrollada íntegramente en Jalisco. Permite que cualquier sistema existente intercambie datos en tiempo real sin necesidad de reemplazar la infraestructura actual, sin dependencia de servicios en nube extranjeros y sin licencias de software perpetuas.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Inversión Inicial</w:t>
            </w:r>
          </w:p>
        </w:tc>
        <w:tc>
          <w:tcPr>
            <w:tcW w:type="dxa" w:w="3009"/>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ROI Estimado</w:t>
            </w:r>
          </w:p>
        </w:tc>
        <w:tc>
          <w:tcPr>
            <w:tcW w:type="dxa" w:w="3009"/>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Tiempo de Impl.</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center"/>
            </w:pPr>
            <w:r>
              <w:rPr>
                <w:rFonts w:ascii="Arial" w:cs="Arial" w:eastAsia="Arial" w:hAnsi="Arial"/>
                <w:b/>
                <w:bCs/>
                <w:color w:val="000000"/>
                <w:sz w:val="20"/>
                <w:szCs w:val="20"/>
              </w:rPr>
              <w:t xml:space="preserve">$2,500,000 MXN</w:t>
            </w:r>
          </w:p>
        </w:tc>
        <w:tc>
          <w:tcPr>
            <w:tcW w:type="dxa" w:w="3009"/>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18–24 meses</w:t>
            </w:r>
          </w:p>
        </w:tc>
        <w:tc>
          <w:tcPr>
            <w:tcW w:type="dxa" w:w="3009"/>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4–6 meses</w:t>
            </w:r>
          </w:p>
        </w:tc>
      </w:tr>
    </w:tbl>
    <w:p>
      <w:r>
        <w:t xml:space="preserve"/>
      </w:r>
    </w:p>
    <w:p>
      <w:pPr>
        <w:pStyle w:val="Heading1"/>
        <w:pBdr>
          <w:bottom w:val="single" w:color="1A3A6B" w:sz="8" w:space="1"/>
        </w:pBdr>
        <w:spacing w:after="200" w:before="400"/>
      </w:pPr>
      <w:r>
        <w:rPr>
          <w:rFonts w:ascii="Arial" w:cs="Arial" w:eastAsia="Arial" w:hAnsi="Arial"/>
          <w:b/>
          <w:bCs/>
          <w:color w:val="1A3A6B"/>
          <w:sz w:val="32"/>
          <w:szCs w:val="32"/>
        </w:rPr>
        <w:t xml:space="preserve">2. Problema Identificado</w:t>
      </w:r>
    </w:p>
    <w:p>
      <w:pPr>
        <w:pStyle w:val="Heading2"/>
        <w:spacing w:after="160" w:before="300"/>
      </w:pPr>
      <w:r>
        <w:rPr>
          <w:rFonts w:ascii="Arial" w:cs="Arial" w:eastAsia="Arial" w:hAnsi="Arial"/>
          <w:b/>
          <w:bCs/>
          <w:color w:val="2E5DAA"/>
          <w:sz w:val="26"/>
          <w:szCs w:val="26"/>
        </w:rPr>
        <w:t xml:space="preserve">2.1 Fragmentación de Sistemas</w:t>
      </w:r>
    </w:p>
    <w:p>
      <w:pPr>
        <w:spacing w:after="120" w:before="120"/>
        <w:jc w:val="both"/>
      </w:pPr>
      <w:r>
        <w:rPr>
          <w:rFonts w:ascii="Arial" w:cs="Arial" w:eastAsia="Arial" w:hAnsi="Arial"/>
          <w:b w:val="false"/>
          <w:bCs w:val="false"/>
          <w:i w:val="false"/>
          <w:iCs w:val="false"/>
          <w:color w:val="4A4A4A"/>
          <w:sz w:val="22"/>
          <w:szCs w:val="22"/>
        </w:rPr>
        <w:t xml:space="preserve">Las dependencias del Gobierno de Jalisco utilizan sistemas desarrollados en diferentes épocas, lenguajes y formatos. La Secretaría de Seguridad, el Registro Civil, la Secretaría de Hacienda y el IMSS Jalisco no comparten datos de forma automática.</w:t>
      </w:r>
    </w:p>
    <w:p>
      <w:r>
        <w:t xml:space="preserve"/>
      </w:r>
    </w:p>
    <w:p>
      <w:pPr>
        <w:pStyle w:val="ListParagraph"/>
        <w:numPr>
          <w:ilvl w:val="0"/>
          <w:numId w:val="2"/>
        </w:numPr>
        <w:spacing w:after="80" w:before="80"/>
      </w:pPr>
      <w:r>
        <w:rPr>
          <w:rFonts w:ascii="Arial" w:cs="Arial" w:eastAsia="Arial" w:hAnsi="Arial"/>
          <w:color w:val="4A4A4A"/>
          <w:sz w:val="22"/>
          <w:szCs w:val="22"/>
        </w:rPr>
        <w:t xml:space="preserve">Duplicidad de capturas de datos: el mismo ciudadano se registra en 4+ sistemas</w:t>
      </w:r>
    </w:p>
    <w:p>
      <w:pPr>
        <w:pStyle w:val="ListParagraph"/>
        <w:numPr>
          <w:ilvl w:val="0"/>
          <w:numId w:val="2"/>
        </w:numPr>
        <w:spacing w:after="80" w:before="80"/>
      </w:pPr>
      <w:r>
        <w:rPr>
          <w:rFonts w:ascii="Arial" w:cs="Arial" w:eastAsia="Arial" w:hAnsi="Arial"/>
          <w:color w:val="4A4A4A"/>
          <w:sz w:val="22"/>
          <w:szCs w:val="22"/>
        </w:rPr>
        <w:t xml:space="preserve">Tiempos de respuesta de hasta 72 horas para consultas interinstitucionales</w:t>
      </w:r>
    </w:p>
    <w:p>
      <w:pPr>
        <w:pStyle w:val="ListParagraph"/>
        <w:numPr>
          <w:ilvl w:val="0"/>
          <w:numId w:val="2"/>
        </w:numPr>
        <w:spacing w:after="80" w:before="80"/>
      </w:pPr>
      <w:r>
        <w:rPr>
          <w:rFonts w:ascii="Arial" w:cs="Arial" w:eastAsia="Arial" w:hAnsi="Arial"/>
          <w:color w:val="4A4A4A"/>
          <w:sz w:val="22"/>
          <w:szCs w:val="22"/>
        </w:rPr>
        <w:t xml:space="preserve">Riesgo de inconsistencia entre bases de datos</w:t>
      </w:r>
    </w:p>
    <w:p>
      <w:pPr>
        <w:pStyle w:val="ListParagraph"/>
        <w:numPr>
          <w:ilvl w:val="0"/>
          <w:numId w:val="2"/>
        </w:numPr>
        <w:spacing w:after="80" w:before="80"/>
      </w:pPr>
      <w:r>
        <w:rPr>
          <w:rFonts w:ascii="Arial" w:cs="Arial" w:eastAsia="Arial" w:hAnsi="Arial"/>
          <w:color w:val="4A4A4A"/>
          <w:sz w:val="22"/>
          <w:szCs w:val="22"/>
        </w:rPr>
        <w:t xml:space="preserve">Costo operativo estimado en pérdida de productividad: $45M MXN anuales</w:t>
      </w:r>
    </w:p>
    <w:p>
      <w:r>
        <w:t xml:space="preserve"/>
      </w:r>
    </w:p>
    <w:p>
      <w:pPr>
        <w:pStyle w:val="Heading2"/>
        <w:spacing w:after="160" w:before="300"/>
      </w:pPr>
      <w:r>
        <w:rPr>
          <w:rFonts w:ascii="Arial" w:cs="Arial" w:eastAsia="Arial" w:hAnsi="Arial"/>
          <w:b/>
          <w:bCs/>
          <w:color w:val="2E5DAA"/>
          <w:sz w:val="26"/>
          <w:szCs w:val="26"/>
        </w:rPr>
        <w:t xml:space="preserve">2.2 Soluciones Actuales y Sus Limitaciones</w:t>
      </w:r>
    </w:p>
    <w:p>
      <w:pPr>
        <w:spacing w:after="120" w:before="120"/>
        <w:jc w:val="both"/>
      </w:pPr>
      <w:r>
        <w:rPr>
          <w:rFonts w:ascii="Arial" w:cs="Arial" w:eastAsia="Arial" w:hAnsi="Arial"/>
          <w:b w:val="false"/>
          <w:bCs w:val="false"/>
          <w:i w:val="false"/>
          <w:iCs w:val="false"/>
          <w:color w:val="4A4A4A"/>
          <w:sz w:val="22"/>
          <w:szCs w:val="22"/>
        </w:rPr>
        <w:t xml:space="preserve">Las soluciones existentes (middleware propietario, servicios web SOAP, APIs REST ad hoc) requieren contratos con proveedores extranjeros, actualizaciones constantes y no garantizan soberanía de datos.</w:t>
      </w:r>
    </w:p>
    <w:p>
      <w:r>
        <w:t xml:space="preserve"/>
      </w:r>
    </w:p>
    <w:p>
      <w:pPr>
        <w:pStyle w:val="Heading1"/>
        <w:pBdr>
          <w:bottom w:val="single" w:color="1A3A6B" w:sz="8" w:space="1"/>
        </w:pBdr>
        <w:spacing w:after="200" w:before="400"/>
      </w:pPr>
      <w:r>
        <w:rPr>
          <w:rFonts w:ascii="Arial" w:cs="Arial" w:eastAsia="Arial" w:hAnsi="Arial"/>
          <w:b/>
          <w:bCs/>
          <w:color w:val="1A3A6B"/>
          <w:sz w:val="32"/>
          <w:szCs w:val="32"/>
        </w:rPr>
        <w:t xml:space="preserve">3. Solución: HADES INTEROP</w:t>
      </w:r>
    </w:p>
    <w:p>
      <w:pPr>
        <w:pStyle w:val="Heading2"/>
        <w:spacing w:after="160" w:before="300"/>
      </w:pPr>
      <w:r>
        <w:rPr>
          <w:rFonts w:ascii="Arial" w:cs="Arial" w:eastAsia="Arial" w:hAnsi="Arial"/>
          <w:b/>
          <w:bCs/>
          <w:color w:val="2E5DAA"/>
          <w:sz w:val="26"/>
          <w:szCs w:val="26"/>
        </w:rPr>
        <w:t xml:space="preserve">3.1 Arquitectura del Protocolo Universal JSON</w:t>
      </w:r>
    </w:p>
    <w:p>
      <w:pPr>
        <w:spacing w:after="120" w:before="120"/>
        <w:jc w:val="both"/>
      </w:pPr>
      <w:r>
        <w:rPr>
          <w:rFonts w:ascii="Arial" w:cs="Arial" w:eastAsia="Arial" w:hAnsi="Arial"/>
          <w:b w:val="false"/>
          <w:bCs w:val="false"/>
          <w:i w:val="false"/>
          <w:iCs w:val="false"/>
          <w:color w:val="4A4A4A"/>
          <w:sz w:val="22"/>
          <w:szCs w:val="22"/>
        </w:rPr>
        <w:t xml:space="preserve">HADES INTEROP implementa un hub central de comunicación basado en JSON — el formato de datos más utilizado en el mundo. Cualquier sistema que pueda enviar o recibir JSON (el 99.9% de los sistemas modernos) puede integrarse sin modificaciones.</w:t>
      </w:r>
    </w:p>
    <w:p>
      <w:r>
        <w:t xml:space="preserve"/>
      </w:r>
    </w:p>
    <w:p>
      <w:pPr>
        <w:spacing w:after="120" w:before="120"/>
        <w:jc w:val="left"/>
      </w:pPr>
      <w:r>
        <w:rPr>
          <w:rFonts w:ascii="Arial" w:cs="Arial" w:eastAsia="Arial" w:hAnsi="Arial"/>
          <w:b/>
          <w:bCs/>
          <w:i w:val="false"/>
          <w:iCs w:val="false"/>
          <w:color w:val="4A4A4A"/>
          <w:sz w:val="22"/>
          <w:szCs w:val="22"/>
        </w:rPr>
        <w:t xml:space="preserve">Flujo de operación: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26"/>
        <w:gridCol w:w="500"/>
        <w:gridCol w:w="2500"/>
        <w:gridCol w:w="500"/>
        <w:gridCol w:w="2500"/>
      </w:tblGrid>
      <w:tr>
        <w:tc>
          <w:tcPr>
            <w:tcW w:type="dxa" w:w="500"/>
            <w:tcBorders>
              <w:top w:val="single" w:color="CCCCCC" w:sz="1"/>
              <w:left w:val="single" w:color="CCCCCC" w:sz="1"/>
              <w:bottom w:val="single" w:color="CCCCCC" w:sz="1"/>
              <w:right w:val="single" w:color="CCCCCC" w:sz="1"/>
            </w:tcBorders>
            <w:shd w:fill="C810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①</w:t>
            </w:r>
          </w:p>
        </w:tc>
        <w:tc>
          <w:tcPr>
            <w:tcW w:type="dxa" w:w="25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Dependencia A envía JSON con la solicitud</w:t>
            </w:r>
          </w:p>
        </w:tc>
        <w:tc>
          <w:tcPr>
            <w:tcW w:type="dxa" w:w="500"/>
            <w:tcBorders>
              <w:top w:val="single" w:color="CCCCCC" w:sz="1"/>
              <w:left w:val="single" w:color="CCCCCC" w:sz="1"/>
              <w:bottom w:val="single" w:color="CCCCCC" w:sz="1"/>
              <w:right w:val="single" w:color="CCCCCC" w:sz="1"/>
            </w:tcBorders>
            <w:shd w:fill="2E5DA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②</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HADES INTEROP enruta y ejecuta la consulta</w:t>
            </w:r>
          </w:p>
        </w:tc>
        <w:tc>
          <w:tcPr>
            <w:tcW w:type="dxa" w:w="5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③</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Respuesta unificada regresa en JSON</w:t>
            </w:r>
          </w:p>
        </w:tc>
      </w:tr>
    </w:tbl>
    <w:p>
      <w:r>
        <w:t xml:space="preserve"/>
      </w:r>
    </w:p>
    <w:p>
      <w:pPr>
        <w:pStyle w:val="Heading2"/>
        <w:spacing w:after="160" w:before="300"/>
      </w:pPr>
      <w:r>
        <w:rPr>
          <w:rFonts w:ascii="Arial" w:cs="Arial" w:eastAsia="Arial" w:hAnsi="Arial"/>
          <w:b/>
          <w:bCs/>
          <w:color w:val="2E5DAA"/>
          <w:sz w:val="26"/>
          <w:szCs w:val="26"/>
        </w:rPr>
        <w:t xml:space="preserve">3.2 Ejemplo de Caso Real</w:t>
      </w:r>
    </w:p>
    <w:p>
      <w:pPr>
        <w:spacing w:after="120" w:before="120"/>
        <w:jc w:val="left"/>
      </w:pPr>
      <w:r>
        <w:rPr>
          <w:rFonts w:ascii="Arial" w:cs="Arial" w:eastAsia="Arial" w:hAnsi="Arial"/>
          <w:b w:val="false"/>
          <w:bCs w:val="false"/>
          <w:i w:val="false"/>
          <w:iCs w:val="false"/>
          <w:color w:val="4A4A4A"/>
          <w:sz w:val="22"/>
          <w:szCs w:val="22"/>
        </w:rPr>
        <w:t xml:space="preserve">Seguridad Pública requiere verificar identidad de un ciudadano: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SOLICITUD (una sola instrucción)</w:t>
            </w:r>
          </w:p>
        </w:tc>
        <w:tc>
          <w:tcPr>
            <w:tcW w:type="dxa" w:w="4513"/>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RESPUESTA UNIFICADA (&lt; 2 segundos)</w:t>
            </w:r>
          </w:p>
        </w:tc>
      </w:tr>
      <w:tr>
        <w:tc>
          <w:tcPr>
            <w:tcW w:type="dxa" w:w="4513"/>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 "action": "consulta_ciudadano",
  "curp": "XXXX...",
  "fuentes": ["registro_civil",
    "repuve", "hacienda"] }</w:t>
            </w:r>
          </w:p>
        </w:tc>
        <w:tc>
          <w:tcPr>
            <w:tcW w:type="dxa" w:w="4513"/>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 "status": "VERIFICADO",
  "identidad": {...},
  "vehiculos": [...],
  "adeudos": "ninguno",
  "tiempo_ms": 847 }</w:t>
            </w:r>
          </w:p>
        </w:tc>
      </w:tr>
    </w:tbl>
    <w:p>
      <w:r>
        <w:t xml:space="preserve"/>
      </w:r>
    </w:p>
    <w:p>
      <w:pPr>
        <w:pStyle w:val="Heading2"/>
        <w:spacing w:after="160" w:before="300"/>
      </w:pPr>
      <w:r>
        <w:rPr>
          <w:rFonts w:ascii="Arial" w:cs="Arial" w:eastAsia="Arial" w:hAnsi="Arial"/>
          <w:b/>
          <w:bCs/>
          <w:color w:val="2E5DAA"/>
          <w:sz w:val="26"/>
          <w:szCs w:val="26"/>
        </w:rPr>
        <w:t xml:space="preserve">3.3 Componentes Técnicos</w:t>
      </w:r>
    </w:p>
    <w:p>
      <w:pPr>
        <w:pStyle w:val="ListParagraph"/>
        <w:numPr>
          <w:ilvl w:val="0"/>
          <w:numId w:val="2"/>
        </w:numPr>
        <w:spacing w:after="80" w:before="80"/>
      </w:pPr>
      <w:r>
        <w:rPr>
          <w:rFonts w:ascii="Arial" w:cs="Arial" w:eastAsia="Arial" w:hAnsi="Arial"/>
          <w:color w:val="4A4A4A"/>
          <w:sz w:val="22"/>
          <w:szCs w:val="22"/>
        </w:rPr>
        <w:t xml:space="preserve">Motor de enrutamiento JSON con despacho determinístico</w:t>
      </w:r>
    </w:p>
    <w:p>
      <w:pPr>
        <w:pStyle w:val="ListParagraph"/>
        <w:numPr>
          <w:ilvl w:val="0"/>
          <w:numId w:val="2"/>
        </w:numPr>
        <w:spacing w:after="80" w:before="80"/>
      </w:pPr>
      <w:r>
        <w:rPr>
          <w:rFonts w:ascii="Arial" w:cs="Arial" w:eastAsia="Arial" w:hAnsi="Arial"/>
          <w:color w:val="4A4A4A"/>
          <w:sz w:val="22"/>
          <w:szCs w:val="22"/>
        </w:rPr>
        <w:t xml:space="preserve">Módulo de autenticación por firma digital SHA-512</w:t>
      </w:r>
    </w:p>
    <w:p>
      <w:pPr>
        <w:pStyle w:val="ListParagraph"/>
        <w:numPr>
          <w:ilvl w:val="0"/>
          <w:numId w:val="2"/>
        </w:numPr>
        <w:spacing w:after="80" w:before="80"/>
      </w:pPr>
      <w:r>
        <w:rPr>
          <w:rFonts w:ascii="Arial" w:cs="Arial" w:eastAsia="Arial" w:hAnsi="Arial"/>
          <w:color w:val="4A4A4A"/>
          <w:sz w:val="22"/>
          <w:szCs w:val="22"/>
        </w:rPr>
        <w:t xml:space="preserve">Verificación de integridad BLAKE3 en cada transacción</w:t>
      </w:r>
    </w:p>
    <w:p>
      <w:pPr>
        <w:pStyle w:val="ListParagraph"/>
        <w:numPr>
          <w:ilvl w:val="0"/>
          <w:numId w:val="2"/>
        </w:numPr>
        <w:spacing w:after="80" w:before="80"/>
      </w:pPr>
      <w:r>
        <w:rPr>
          <w:rFonts w:ascii="Arial" w:cs="Arial" w:eastAsia="Arial" w:hAnsi="Arial"/>
          <w:color w:val="4A4A4A"/>
          <w:sz w:val="22"/>
          <w:szCs w:val="22"/>
        </w:rPr>
        <w:t xml:space="preserve">LLM local integrado (sin internet) para consultas en lenguaje natural</w:t>
      </w:r>
    </w:p>
    <w:p>
      <w:pPr>
        <w:pStyle w:val="ListParagraph"/>
        <w:numPr>
          <w:ilvl w:val="0"/>
          <w:numId w:val="2"/>
        </w:numPr>
        <w:spacing w:after="80" w:before="80"/>
      </w:pPr>
      <w:r>
        <w:rPr>
          <w:rFonts w:ascii="Arial" w:cs="Arial" w:eastAsia="Arial" w:hAnsi="Arial"/>
          <w:color w:val="4A4A4A"/>
          <w:sz w:val="22"/>
          <w:szCs w:val="22"/>
        </w:rPr>
        <w:t xml:space="preserve">Terminal web de administración en tiempo real</w:t>
      </w:r>
    </w:p>
    <w:p>
      <w:pPr>
        <w:pStyle w:val="ListParagraph"/>
        <w:numPr>
          <w:ilvl w:val="0"/>
          <w:numId w:val="2"/>
        </w:numPr>
        <w:spacing w:after="80" w:before="80"/>
      </w:pPr>
      <w:r>
        <w:rPr>
          <w:rFonts w:ascii="Arial" w:cs="Arial" w:eastAsia="Arial" w:hAnsi="Arial"/>
          <w:color w:val="4A4A4A"/>
          <w:sz w:val="22"/>
          <w:szCs w:val="22"/>
        </w:rPr>
        <w:t xml:space="preserve">Operación en hardware Android/Linux de bajo costo</w:t>
      </w:r>
    </w:p>
    <w:p>
      <w:r>
        <w:t xml:space="preserve"/>
      </w:r>
    </w:p>
    <w:p>
      <w:pPr>
        <w:pStyle w:val="Heading1"/>
        <w:pBdr>
          <w:bottom w:val="single" w:color="1A3A6B" w:sz="8" w:space="1"/>
        </w:pBdr>
        <w:spacing w:after="200" w:before="400"/>
      </w:pPr>
      <w:r>
        <w:rPr>
          <w:rFonts w:ascii="Arial" w:cs="Arial" w:eastAsia="Arial" w:hAnsi="Arial"/>
          <w:b/>
          <w:bCs/>
          <w:color w:val="1A3A6B"/>
          <w:sz w:val="32"/>
          <w:szCs w:val="32"/>
        </w:rPr>
        <w:t xml:space="preserve">4. Ventajas Competitivas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Característica</w:t>
            </w:r>
          </w:p>
        </w:tc>
        <w:tc>
          <w:tcPr>
            <w:tcW w:type="dxa" w:w="3009"/>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HADES INTEROP</w:t>
            </w:r>
          </w:p>
        </w:tc>
        <w:tc>
          <w:tcPr>
            <w:tcW w:type="dxa" w:w="3009"/>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Soluciones Actuales</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Soberanía de datos</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7700"/>
                <w:sz w:val="20"/>
                <w:szCs w:val="20"/>
              </w:rPr>
              <w:t xml:space="preserve">✓ 100% local</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CC0000"/>
                <w:sz w:val="20"/>
                <w:szCs w:val="20"/>
              </w:rPr>
              <w:t xml:space="preserve">✗ Nube extranjera</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Licencias perpetuas</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7700"/>
                <w:sz w:val="20"/>
                <w:szCs w:val="20"/>
              </w:rPr>
              <w:t xml:space="preserve">✓ Sin licencias</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CC0000"/>
                <w:sz w:val="20"/>
                <w:szCs w:val="20"/>
              </w:rPr>
              <w:t xml:space="preserve">✗ Renovación anual</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Tiempo de integración</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7700"/>
                <w:sz w:val="20"/>
                <w:szCs w:val="20"/>
              </w:rPr>
              <w:t xml:space="preserve">✓ Horas</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CC0000"/>
                <w:sz w:val="20"/>
                <w:szCs w:val="20"/>
              </w:rPr>
              <w:t xml:space="preserve">✗ Meses</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Desarrollado en Jalisco</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7700"/>
                <w:sz w:val="20"/>
                <w:szCs w:val="20"/>
              </w:rPr>
              <w:t xml:space="preserve">✓ Sí</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CC0000"/>
                <w:sz w:val="20"/>
                <w:szCs w:val="20"/>
              </w:rPr>
              <w:t xml:space="preserve">✗ Extranjero</w:t>
            </w:r>
          </w:p>
        </w:tc>
      </w:tr>
      <w:tr>
        <w:tc>
          <w:tcPr>
            <w:tcW w:type="dxa" w:w="3008"/>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IA local integrada</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7700"/>
                <w:sz w:val="20"/>
                <w:szCs w:val="20"/>
              </w:rPr>
              <w:t xml:space="preserve">✓ Sin internet</w:t>
            </w:r>
          </w:p>
        </w:tc>
        <w:tc>
          <w:tcPr>
            <w:tcW w:type="dxa" w:w="3009"/>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CC0000"/>
                <w:sz w:val="20"/>
                <w:szCs w:val="20"/>
              </w:rPr>
              <w:t xml:space="preserve">✗ No disponible</w:t>
            </w:r>
          </w:p>
        </w:tc>
      </w:tr>
    </w:tbl>
    <w:p>
      <w:r>
        <w:t xml:space="preserve"/>
      </w:r>
    </w:p>
    <w:p>
      <w:pPr>
        <w:pStyle w:val="Heading1"/>
        <w:pBdr>
          <w:bottom w:val="single" w:color="1A3A6B" w:sz="8" w:space="1"/>
        </w:pBdr>
        <w:spacing w:after="200" w:before="400"/>
      </w:pPr>
      <w:r>
        <w:rPr>
          <w:rFonts w:ascii="Arial" w:cs="Arial" w:eastAsia="Arial" w:hAnsi="Arial"/>
          <w:b/>
          <w:bCs/>
          <w:color w:val="1A3A6B"/>
          <w:sz w:val="32"/>
          <w:szCs w:val="32"/>
        </w:rPr>
        <w:t xml:space="preserve">5. Plan de Implementación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26"/>
        <w:gridCol w:w="2000"/>
      </w:tblGrid>
      <w:tr>
        <w:tc>
          <w:tcPr>
            <w:tcW w:type="dxa" w:w="15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Fase</w:t>
            </w:r>
          </w:p>
        </w:tc>
        <w:tc>
          <w:tcPr>
            <w:tcW w:type="dxa" w:w="2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Duración</w:t>
            </w:r>
          </w:p>
        </w:tc>
        <w:tc>
          <w:tcPr>
            <w:tcW w:type="dxa" w:w="3526"/>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Actividades</w:t>
            </w:r>
          </w:p>
        </w:tc>
        <w:tc>
          <w:tcPr>
            <w:tcW w:type="dxa" w:w="200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Entregable</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center"/>
            </w:pPr>
            <w:r>
              <w:rPr>
                <w:rFonts w:ascii="Arial" w:cs="Arial" w:eastAsia="Arial" w:hAnsi="Arial"/>
                <w:b/>
                <w:bCs/>
                <w:color w:val="000000"/>
                <w:sz w:val="20"/>
                <w:szCs w:val="20"/>
              </w:rPr>
              <w:t xml:space="preserve">1 — Piloto</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Mes 1–2</w:t>
            </w:r>
          </w:p>
        </w:tc>
        <w:tc>
          <w:tcPr>
            <w:tcW w:type="dxa" w:w="35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Integración con 2 dependencias piloto, pruebas de carga</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Demo funcional</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center"/>
            </w:pPr>
            <w:r>
              <w:rPr>
                <w:rFonts w:ascii="Arial" w:cs="Arial" w:eastAsia="Arial" w:hAnsi="Arial"/>
                <w:b/>
                <w:bCs/>
                <w:color w:val="000000"/>
                <w:sz w:val="20"/>
                <w:szCs w:val="20"/>
              </w:rPr>
              <w:t xml:space="preserve">2 — Expansión</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Mes 3–4</w:t>
            </w:r>
          </w:p>
        </w:tc>
        <w:tc>
          <w:tcPr>
            <w:tcW w:type="dxa" w:w="35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Integración con 8 dependencias, capacitación de operadores</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Sistema en producción</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center"/>
            </w:pPr>
            <w:r>
              <w:rPr>
                <w:rFonts w:ascii="Arial" w:cs="Arial" w:eastAsia="Arial" w:hAnsi="Arial"/>
                <w:b/>
                <w:bCs/>
                <w:color w:val="000000"/>
                <w:sz w:val="20"/>
                <w:szCs w:val="20"/>
              </w:rPr>
              <w:t xml:space="preserve">3 — Cobertura total</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Mes 5–6</w:t>
            </w:r>
          </w:p>
        </w:tc>
        <w:tc>
          <w:tcPr>
            <w:tcW w:type="dxa" w:w="35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Integración completa del ecosistema estatal</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Plataforma completa</w:t>
            </w:r>
          </w:p>
        </w:tc>
      </w:tr>
    </w:tbl>
    <w:p>
      <w:r>
        <w:t xml:space="preserve"/>
      </w:r>
    </w:p>
    <w:p>
      <w:pPr>
        <w:pStyle w:val="Heading1"/>
        <w:pBdr>
          <w:bottom w:val="single" w:color="1A3A6B" w:sz="8" w:space="1"/>
        </w:pBdr>
        <w:spacing w:after="200" w:before="400"/>
      </w:pPr>
      <w:r>
        <w:rPr>
          <w:rFonts w:ascii="Arial" w:cs="Arial" w:eastAsia="Arial" w:hAnsi="Arial"/>
          <w:b/>
          <w:bCs/>
          <w:color w:val="1A3A6B"/>
          <w:sz w:val="32"/>
          <w:szCs w:val="32"/>
        </w:rPr>
        <w:t xml:space="preserve">6. Presupuesto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1750"/>
        <w:gridCol w:w="1750"/>
      </w:tblGrid>
      <w:tr>
        <w:tc>
          <w:tcPr>
            <w:tcW w:type="dxa" w:w="5526"/>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Concepto</w:t>
            </w:r>
          </w:p>
        </w:tc>
        <w:tc>
          <w:tcPr>
            <w:tcW w:type="dxa" w:w="175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Costo Único</w:t>
            </w:r>
          </w:p>
        </w:tc>
        <w:tc>
          <w:tcPr>
            <w:tcW w:type="dxa" w:w="1750"/>
            <w:tcBorders>
              <w:top w:val="single" w:color="CCCCCC" w:sz="1"/>
              <w:left w:val="single" w:color="CCCCCC" w:sz="1"/>
              <w:bottom w:val="single" w:color="CCCCCC" w:sz="1"/>
              <w:right w:val="single" w:color="CCCCCC" w:sz="1"/>
            </w:tcBorders>
            <w:shd w:fill="1A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Anual</w:t>
            </w:r>
          </w:p>
        </w:tc>
      </w:tr>
      <w:tr>
        <w:tc>
          <w:tcPr>
            <w:tcW w:type="dxa" w:w="5526"/>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Implementación y configuración inicial</w:t>
            </w:r>
          </w:p>
        </w:tc>
        <w:tc>
          <w:tcPr>
            <w:tcW w:type="dxa" w:w="175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$1,200,000</w:t>
            </w:r>
          </w:p>
        </w:tc>
        <w:tc>
          <w:tcPr>
            <w:tcW w:type="dxa" w:w="175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w:t>
            </w:r>
          </w:p>
        </w:tc>
      </w:tr>
      <w:tr>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Desarrollo de módulos de integración por dependencia</w:t>
            </w:r>
          </w:p>
        </w:tc>
        <w:tc>
          <w:tcPr>
            <w:tcW w:type="dxa" w:w="175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$800,000</w:t>
            </w:r>
          </w:p>
        </w:tc>
        <w:tc>
          <w:tcPr>
            <w:tcW w:type="dxa" w:w="175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w:t>
            </w:r>
          </w:p>
        </w:tc>
      </w:tr>
      <w:tr>
        <w:tc>
          <w:tcPr>
            <w:tcW w:type="dxa" w:w="5526"/>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Capacitación de personal técnico</w:t>
            </w:r>
          </w:p>
        </w:tc>
        <w:tc>
          <w:tcPr>
            <w:tcW w:type="dxa" w:w="175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$300,000</w:t>
            </w:r>
          </w:p>
        </w:tc>
        <w:tc>
          <w:tcPr>
            <w:tcW w:type="dxa" w:w="175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w:t>
            </w:r>
          </w:p>
        </w:tc>
      </w:tr>
      <w:tr>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000000"/>
                <w:sz w:val="20"/>
                <w:szCs w:val="20"/>
              </w:rPr>
              <w:t xml:space="preserve">Soporte y mantenimiento</w:t>
            </w:r>
          </w:p>
        </w:tc>
        <w:tc>
          <w:tcPr>
            <w:tcW w:type="dxa" w:w="175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w:t>
            </w:r>
          </w:p>
        </w:tc>
        <w:tc>
          <w:tcPr>
            <w:tcW w:type="dxa" w:w="175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000000"/>
                <w:sz w:val="20"/>
                <w:szCs w:val="20"/>
              </w:rPr>
              <w:t xml:space="preserve">$360,000</w:t>
            </w:r>
          </w:p>
        </w:tc>
      </w:tr>
      <w:tr>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bCs/>
                <w:color w:val="000000"/>
                <w:sz w:val="20"/>
                <w:szCs w:val="20"/>
              </w:rPr>
              <w:t xml:space="preserve">TOTAL</w:t>
            </w:r>
          </w:p>
        </w:tc>
        <w:tc>
          <w:tcPr>
            <w:tcW w:type="dxa" w:w="1750"/>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pPr>
              <w:jc w:val="center"/>
            </w:pPr>
            <w:r>
              <w:rPr>
                <w:rFonts w:ascii="Arial" w:cs="Arial" w:eastAsia="Arial" w:hAnsi="Arial"/>
                <w:b/>
                <w:bCs/>
                <w:color w:val="000000"/>
                <w:sz w:val="20"/>
                <w:szCs w:val="20"/>
              </w:rPr>
              <w:t xml:space="preserve">$2,300,000</w:t>
            </w:r>
          </w:p>
        </w:tc>
        <w:tc>
          <w:tcPr>
            <w:tcW w:type="dxa" w:w="1750"/>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pPr>
              <w:jc w:val="center"/>
            </w:pPr>
            <w:r>
              <w:rPr>
                <w:rFonts w:ascii="Arial" w:cs="Arial" w:eastAsia="Arial" w:hAnsi="Arial"/>
                <w:b/>
                <w:bCs/>
                <w:color w:val="000000"/>
                <w:sz w:val="20"/>
                <w:szCs w:val="20"/>
              </w:rPr>
              <w:t xml:space="preserve">$360,000</w:t>
            </w:r>
          </w:p>
        </w:tc>
      </w:tr>
    </w:tbl>
    <w:p>
      <w:r>
        <w:t xml:space="preserve"/>
      </w:r>
    </w:p>
    <w:p>
      <w:pPr>
        <w:spacing w:after="120" w:before="120"/>
        <w:jc w:val="left"/>
      </w:pPr>
      <w:r>
        <w:rPr>
          <w:rFonts w:ascii="Arial" w:cs="Arial" w:eastAsia="Arial" w:hAnsi="Arial"/>
          <w:b w:val="false"/>
          <w:bCs w:val="false"/>
          <w:i/>
          <w:iCs/>
          <w:color w:val="666666"/>
          <w:sz w:val="22"/>
          <w:szCs w:val="22"/>
        </w:rPr>
        <w:t xml:space="preserve">Comparativa: soluciones equivalentes de proveedores internacionales (MuleSoft, IBM Integration Bus) tienen costo de $8,000,000–$15,000,000 MXN en implementación inicial, más licencias anuales de $2,000,000+ MXN.</w:t>
      </w:r>
    </w:p>
    <w:p>
      <w:r>
        <w:t xml:space="preserve"/>
      </w:r>
    </w:p>
    <w:p>
      <w:pPr>
        <w:pStyle w:val="Heading1"/>
        <w:pBdr>
          <w:bottom w:val="single" w:color="1A3A6B" w:sz="8" w:space="1"/>
        </w:pBdr>
        <w:spacing w:after="200" w:before="400"/>
      </w:pPr>
      <w:r>
        <w:rPr>
          <w:rFonts w:ascii="Arial" w:cs="Arial" w:eastAsia="Arial" w:hAnsi="Arial"/>
          <w:b/>
          <w:bCs/>
          <w:color w:val="1A3A6B"/>
          <w:sz w:val="32"/>
          <w:szCs w:val="32"/>
        </w:rPr>
        <w:t xml:space="preserve">7. Contacto y Próximos Pasos</w:t>
      </w:r>
    </w:p>
    <w:p>
      <w:pPr>
        <w:spacing w:after="120" w:before="120"/>
        <w:jc w:val="left"/>
      </w:pPr>
      <w:r>
        <w:rPr>
          <w:rFonts w:ascii="Arial" w:cs="Arial" w:eastAsia="Arial" w:hAnsi="Arial"/>
          <w:b w:val="false"/>
          <w:bCs w:val="false"/>
          <w:i w:val="false"/>
          <w:iCs w:val="false"/>
          <w:color w:val="4A4A4A"/>
          <w:sz w:val="22"/>
          <w:szCs w:val="22"/>
        </w:rPr>
        <w:t xml:space="preserve">Para solicitar una demostración técnica en vivo o iniciar el proceso de evaluación:</w:t>
      </w:r>
    </w:p>
    <w:p>
      <w:r>
        <w:t xml:space="preserve"/>
      </w:r>
    </w:p>
    <w:p>
      <w:pPr>
        <w:pStyle w:val="ListParagraph"/>
        <w:numPr>
          <w:ilvl w:val="0"/>
          <w:numId w:val="2"/>
        </w:numPr>
        <w:spacing w:after="80" w:before="80"/>
      </w:pPr>
      <w:r>
        <w:rPr>
          <w:rFonts w:ascii="Arial" w:cs="Arial" w:eastAsia="Arial" w:hAnsi="Arial"/>
          <w:color w:val="4A4A4A"/>
          <w:sz w:val="22"/>
          <w:szCs w:val="22"/>
        </w:rPr>
        <w:t xml:space="preserve">Demostración disponible en 48 horas tras solicitud formal</w:t>
      </w:r>
    </w:p>
    <w:p>
      <w:pPr>
        <w:pStyle w:val="ListParagraph"/>
        <w:numPr>
          <w:ilvl w:val="0"/>
          <w:numId w:val="2"/>
        </w:numPr>
        <w:spacing w:after="80" w:before="80"/>
      </w:pPr>
      <w:r>
        <w:rPr>
          <w:rFonts w:ascii="Arial" w:cs="Arial" w:eastAsia="Arial" w:hAnsi="Arial"/>
          <w:color w:val="4A4A4A"/>
          <w:sz w:val="22"/>
          <w:szCs w:val="22"/>
        </w:rPr>
        <w:t xml:space="preserve">Prueba piloto propuesta: integración Registro Civil ↔ Secretaría de Seguridad</w:t>
      </w:r>
    </w:p>
    <w:p>
      <w:pPr>
        <w:pStyle w:val="ListParagraph"/>
        <w:numPr>
          <w:ilvl w:val="0"/>
          <w:numId w:val="2"/>
        </w:numPr>
        <w:spacing w:after="80" w:before="80"/>
      </w:pPr>
      <w:r>
        <w:rPr>
          <w:rFonts w:ascii="Arial" w:cs="Arial" w:eastAsia="Arial" w:hAnsi="Arial"/>
          <w:color w:val="4A4A4A"/>
          <w:sz w:val="22"/>
          <w:szCs w:val="22"/>
        </w:rPr>
        <w:t xml:space="preserve">Contacto directo con el desarrollador en Ocotlán, Jalisco</w:t>
      </w:r>
    </w:p>
    <w:p>
      <w:r>
        <w:t xml:space="preserve"/>
      </w:r>
    </w:p>
    <w:p>
      <w:pPr>
        <w:spacing w:after="120" w:before="120"/>
        <w:jc w:val="left"/>
      </w:pPr>
      <w:r>
        <w:rPr>
          <w:rFonts w:ascii="Arial" w:cs="Arial" w:eastAsia="Arial" w:hAnsi="Arial"/>
          <w:b/>
          <w:bCs/>
          <w:i w:val="false"/>
          <w:iCs w:val="false"/>
          <w:color w:val="4A4A4A"/>
          <w:sz w:val="22"/>
          <w:szCs w:val="22"/>
        </w:rPr>
        <w:t xml:space="preserve">Dirección de interés gubernamental:</w:t>
      </w:r>
    </w:p>
    <w:p>
      <w:pPr>
        <w:spacing w:after="120" w:before="120"/>
        <w:jc w:val="left"/>
      </w:pPr>
      <w:r>
        <w:rPr>
          <w:rFonts w:ascii="Arial" w:cs="Arial" w:eastAsia="Arial" w:hAnsi="Arial"/>
          <w:b w:val="false"/>
          <w:bCs w:val="false"/>
          <w:i w:val="false"/>
          <w:iCs w:val="false"/>
          <w:color w:val="4A4A4A"/>
          <w:sz w:val="22"/>
          <w:szCs w:val="22"/>
        </w:rPr>
        <w:t xml:space="preserve">Secretaría de Innovación, Ciencia y Tecnología de Jalisco (SICyT)</w:t>
      </w:r>
    </w:p>
    <w:p>
      <w:pPr>
        <w:spacing w:after="120" w:before="120"/>
        <w:jc w:val="left"/>
      </w:pPr>
      <w:r>
        <w:rPr>
          <w:rFonts w:ascii="Arial" w:cs="Arial" w:eastAsia="Arial" w:hAnsi="Arial"/>
          <w:b w:val="false"/>
          <w:bCs w:val="false"/>
          <w:i w:val="false"/>
          <w:iCs w:val="false"/>
          <w:color w:val="4A4A4A"/>
          <w:sz w:val="22"/>
          <w:szCs w:val="22"/>
        </w:rPr>
        <w:t xml:space="preserve">Av. Prolongación Alcalde 1351, Guadalajara, Jalisco</w:t>
      </w:r>
    </w:p>
    <w:p>
      <w:pPr>
        <w:spacing w:after="120" w:before="120"/>
        <w:jc w:val="left"/>
      </w:pPr>
      <w:r>
        <w:rPr>
          <w:rFonts w:ascii="Arial" w:cs="Arial" w:eastAsia="Arial" w:hAnsi="Arial"/>
          <w:b w:val="false"/>
          <w:bCs w:val="false"/>
          <w:i w:val="false"/>
          <w:iCs w:val="false"/>
          <w:color w:val="4A4A4A"/>
          <w:sz w:val="22"/>
          <w:szCs w:val="22"/>
        </w:rPr>
        <w:t xml:space="preserve">sicyt.jalisco.gob.mx</w:t>
      </w:r>
    </w:p>
    <w:p>
      <w:r>
        <w:t xml:space="preserve"/>
      </w:r>
    </w:p>
    <w:p>
      <w:r>
        <w:t xml:space="preserve"/>
      </w:r>
    </w:p>
    <w:p>
      <w:pPr>
        <w:pBdr>
          <w:top w:val="single" w:color="1A3A6B" w:sz="6" w:space="1"/>
        </w:pBdr>
        <w:spacing w:before="200"/>
        <w:jc w:val="center"/>
      </w:pPr>
      <w:r>
        <w:rPr>
          <w:rFonts w:ascii="Arial" w:cs="Arial" w:eastAsia="Arial" w:hAnsi="Arial"/>
          <w:color w:val="888888"/>
          <w:sz w:val="20"/>
          <w:szCs w:val="20"/>
        </w:rPr>
        <w:t xml:space="preserve">HADES INTEROP — Tecnología Jaliscience para Jalisco</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6" w:space="1"/>
      </w:pBdr>
      <w:spacing w:before="120"/>
      <w:jc w:val="right"/>
    </w:pPr>
    <w:r>
      <w:rPr>
        <w:rFonts w:ascii="Arial" w:cs="Arial" w:eastAsia="Arial" w:hAnsi="Arial"/>
        <w:color w:val="888888"/>
        <w:sz w:val="16"/>
        <w:szCs w:val="16"/>
      </w:rPr>
      <w:t xml:space="preserve">Confidencial — Jalisco 2026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1"/>
      </w:pBdr>
      <w:spacing w:after="200"/>
    </w:pPr>
    <w:r>
      <w:rPr>
        <w:rFonts w:ascii="Arial" w:cs="Arial" w:eastAsia="Arial" w:hAnsi="Arial"/>
        <w:color w:val="888888"/>
        <w:sz w:val="16"/>
        <w:szCs w:val="16"/>
      </w:rPr>
      <w:t xml:space="preserve">HADES INTEROP  |  Plataforma de Interoperabilidad Gubernamental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6B"/>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D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2026-05-10T08:47:38.700Z</dcterms:created>
  <dcterms:modified xsi:type="dcterms:W3CDTF">2026-05-10T08:47:38.701Z</dcterms:modified>
</cp:coreProperties>
</file>

<file path=docProps/custom.xml><?xml version="1.0" encoding="utf-8"?>
<Properties xmlns="http://schemas.openxmlformats.org/officeDocument/2006/custom-properties" xmlns:vt="http://schemas.openxmlformats.org/officeDocument/2006/docPropsVTypes"/>
</file>