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№09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Камолов</w:t>
      </w:r>
      <w:r>
        <w:t xml:space="preserve"> </w:t>
      </w:r>
      <w:r>
        <w:t xml:space="preserve">Жахонгир</w:t>
      </w:r>
      <w:r>
        <w:t xml:space="preserve"> </w:t>
      </w:r>
      <w:r>
        <w:t xml:space="preserve">Джафарович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2667000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201683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0168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2686574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8657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№09</dc:title>
  <dc:creator>Камолов Жахонгир Джафарович</dc:creator>
  <dc:language>ru-RU</dc:language>
  <cp:keywords/>
  <dcterms:created xsi:type="dcterms:W3CDTF">2024-05-04T14:41:22Z</dcterms:created>
  <dcterms:modified xsi:type="dcterms:W3CDTF">2024-05-04T14:41:22Z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