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00" w:rsidRDefault="00D27FED" w:rsidP="00D27FED">
      <w:pPr>
        <w:pStyle w:val="Heading2"/>
        <w:numPr>
          <w:ilvl w:val="0"/>
          <w:numId w:val="1"/>
        </w:numPr>
      </w:pPr>
      <w:r>
        <w:t>Introduction:</w:t>
      </w:r>
    </w:p>
    <w:p w:rsidR="00163D04" w:rsidRDefault="00163D04" w:rsidP="00163D04">
      <w:pPr>
        <w:pStyle w:val="ListParagraph"/>
        <w:numPr>
          <w:ilvl w:val="0"/>
          <w:numId w:val="2"/>
        </w:numPr>
      </w:pPr>
      <w:r>
        <w:t xml:space="preserve">Describe what a colloid is:  </w:t>
      </w:r>
    </w:p>
    <w:p w:rsidR="00D27FED" w:rsidRDefault="00163D04" w:rsidP="00163D0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D27FED" w:rsidRDefault="00D27FED" w:rsidP="00D27FED">
      <w:pPr>
        <w:pStyle w:val="ListParagraph"/>
        <w:numPr>
          <w:ilvl w:val="0"/>
          <w:numId w:val="2"/>
        </w:numPr>
      </w:pPr>
      <w:r>
        <w:t>History of co</w:t>
      </w:r>
      <w:r w:rsidR="00163D04">
        <w:t>lloid research (brief relevant):</w:t>
      </w:r>
    </w:p>
    <w:p w:rsidR="00D27FED" w:rsidRDefault="00D27FED" w:rsidP="00D27FED">
      <w:pPr>
        <w:pStyle w:val="ListParagraph"/>
        <w:numPr>
          <w:ilvl w:val="0"/>
          <w:numId w:val="2"/>
        </w:numPr>
      </w:pPr>
      <w:r>
        <w:t>Describe why we care about them environmentally (colloids sorb chemicals, viruses, bacteria and can increase transport rates)</w:t>
      </w:r>
      <w:r w:rsidR="00163D04">
        <w:t>:</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 have long modeling run times, and operate as novel approaches to modeling micro scale colloid-surface interactions</w:t>
      </w:r>
      <w:r w:rsidR="002E3FE5">
        <w:t xml:space="preserve"> or have not been released into the public domain</w:t>
      </w:r>
      <w:r>
        <w:t>.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lastRenderedPageBreak/>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xml:space="preserve">, however these are rare due to limitations presented from cost and extended monitoring. Contaminant transport studies on the basin scale are generally applied to monitoring existing contaminated systems and the associated remediation process. These studies are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w:t>
      </w:r>
      <w:r w:rsidR="002E3FE5">
        <w:t xml:space="preserve"> </w:t>
      </w:r>
      <w:r w:rsidR="002E3FE5" w:rsidRPr="002E3FE5">
        <w:rPr>
          <w:color w:val="FF0000"/>
        </w:rPr>
        <w:t>&lt;</w:t>
      </w:r>
      <w:proofErr w:type="spellStart"/>
      <w:r w:rsidR="002E3FE5" w:rsidRPr="002E3FE5">
        <w:rPr>
          <w:color w:val="FF0000"/>
        </w:rPr>
        <w:t>todo</w:t>
      </w:r>
      <w:proofErr w:type="spellEnd"/>
      <w:r w:rsidR="002E3FE5" w:rsidRPr="002E3FE5">
        <w:rPr>
          <w:color w:val="FF0000"/>
        </w:rPr>
        <w:t>: history&gt;</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163D04" w:rsidRDefault="00163D04" w:rsidP="00E75C1A">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40K,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w:t>
      </w:r>
      <w:r>
        <w:lastRenderedPageBreak/>
        <w:t xml:space="preserve">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D27FED" w:rsidRDefault="00D27FED" w:rsidP="00D27FED">
      <w:pPr>
        <w:pStyle w:val="ListParagraph"/>
        <w:numPr>
          <w:ilvl w:val="0"/>
          <w:numId w:val="2"/>
        </w:numPr>
      </w:pPr>
      <w:r>
        <w:t>Briefly describe the approach that was taken for performing research</w:t>
      </w:r>
      <w:r w:rsidR="00E63440">
        <w:t>:</w:t>
      </w:r>
    </w:p>
    <w:p w:rsidR="00DA3EB8" w:rsidRDefault="00DA3EB8" w:rsidP="00DA3EB8">
      <w:pPr>
        <w:pStyle w:val="ListParagraph"/>
        <w:numPr>
          <w:ilvl w:val="0"/>
          <w:numId w:val="2"/>
        </w:numPr>
      </w:pPr>
      <w:r>
        <w:t>Define the structure of the paper (in the approach?):</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lastRenderedPageBreak/>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ethods such as air permeability, constant head 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A331C" w:rsidP="001D3414">
      <w:r w:rsidRPr="00AA331C">
        <w:rPr>
          <w:color w:val="FF0000"/>
        </w:rPr>
        <w:t xml:space="preserve">TODO: REDO </w:t>
      </w:r>
      <w:r w:rsidR="00E75C1A" w:rsidRPr="00AA331C">
        <w:rPr>
          <w:color w:val="FF0000"/>
        </w:rPr>
        <w:t xml:space="preserve">Computational fluid dynamic (CFD) modeling systems have gained popularity in the literature over recent years. Development of more efficient computational systems and easier access to systems with relatively fast processing speeds, large amounts of random access memory, and decreasing storage cost has made it easier to create complex fluid models using real porous media. </w:t>
      </w:r>
      <w:r w:rsidR="00E75C1A" w:rsidRPr="00E75C1A">
        <w:t xml:space="preserve">The lattice Boltzmann </w:t>
      </w:r>
      <w:r>
        <w:t>equation</w:t>
      </w:r>
      <w:r w:rsidR="00E75C1A" w:rsidRPr="00E75C1A">
        <w:t xml:space="preserve"> is one such CFD system, which is applied primarily for its relative ease of progr</w:t>
      </w:r>
      <w:r>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t>uation (Qian 1992)</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w:t>
      </w:r>
      <w:r w:rsidR="00214284">
        <w:lastRenderedPageBreak/>
        <w:t xml:space="preserve">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 xml:space="preserve"> (</w:t>
      </w:r>
      <w:r w:rsidR="0006199A" w:rsidRPr="0006199A">
        <w:rPr>
          <w:color w:val="FF0000"/>
        </w:rPr>
        <w:t>refs!</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other 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w:t>
      </w:r>
      <w:r>
        <w:t xml:space="preserve"> both</w:t>
      </w:r>
      <w:r w:rsidR="00E75C1A" w:rsidRPr="00E75C1A">
        <w:t xml:space="preserve">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xml:space="preserve">) system at </w:t>
      </w:r>
      <w:r w:rsidRPr="0079346D">
        <w:lastRenderedPageBreak/>
        <w:t>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*n</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n</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F30775"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Pr="001E0DDF">
        <w:rPr>
          <w:rFonts w:eastAsiaTheme="minorEastAsia"/>
        </w:rPr>
        <w:t xml:space="preserve"> for the </w:t>
      </w:r>
      <w:proofErr w:type="gramStart"/>
      <w:r w:rsidRPr="001E0DDF">
        <w:rPr>
          <w:rFonts w:eastAsiaTheme="minorEastAsia"/>
        </w:rPr>
        <w:t xml:space="preserve">CT </w:t>
      </w:r>
      <w:r w:rsidR="00C90683">
        <w:rPr>
          <w:rFonts w:eastAsiaTheme="minorEastAsia"/>
        </w:rPr>
        <w:t xml:space="preserve"> imaged</w:t>
      </w:r>
      <w:proofErr w:type="gramEnd"/>
      <w:r w:rsidR="00C90683">
        <w:rPr>
          <w:rFonts w:eastAsiaTheme="minorEastAsia"/>
        </w:rPr>
        <w:t xml:space="preserve">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 xml:space="preserve">be </w:t>
      </w:r>
      <w:r w:rsidR="00692B74">
        <w:lastRenderedPageBreak/>
        <w:t>automated</w:t>
      </w:r>
      <w:r>
        <w:t>. By selecting these algorithms</w:t>
      </w:r>
      <w:r w:rsidR="00692B74">
        <w:t>,</w:t>
      </w:r>
      <w:r>
        <w:t xml:space="preserve"> operator bias in the segmentation step was minimized. Intensity variations due to beam hardening artifacts were corrected </w:t>
      </w:r>
      <w:r w:rsidR="00692B74">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median filtering was applied to </w:t>
      </w:r>
      <w:r w:rsidR="00692B74">
        <w:t xml:space="preserve">soil </w:t>
      </w:r>
      <w:r>
        <w:t>CT data in an attempt to fully remove image artifacts. Median filters utilize a median value as output from each particular view taken by the algorithm. This effectively removes outliers, and is robust at smoothing image data when noise characteristics are not known (</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2F32C9" w:rsidRPr="00FB1498" w:rsidRDefault="002F32C9" w:rsidP="001D3414">
      <w:pPr>
        <w:rPr>
          <w:color w:val="FF0000"/>
        </w:rPr>
      </w:pPr>
      <w:r w:rsidRPr="00FB1498">
        <w:rPr>
          <w:color w:val="FF0000"/>
        </w:rPr>
        <w:t xml:space="preserve">A novel segmentation algorithm Yet </w:t>
      </w:r>
      <w:proofErr w:type="gramStart"/>
      <w:r w:rsidRPr="00FB1498">
        <w:rPr>
          <w:color w:val="FF0000"/>
        </w:rPr>
        <w:t>Another</w:t>
      </w:r>
      <w:proofErr w:type="gramEnd"/>
      <w:r w:rsidRPr="00FB1498">
        <w:rPr>
          <w:color w:val="FF0000"/>
        </w:rPr>
        <w:t xml:space="preserve"> Segmentation Algorithm (YASA) was applied with three different treatments to the raw CT data.  YASA is a histogram based method? Summarize Marcel’s work with YASA.</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xml:space="preserve">). LA-Indicator Kriging (IK) uses a histogram to create two global thresholds that separate the background and foreground phase of the image. Voxels that fall between the two thresholds are </w:t>
      </w:r>
      <w:r>
        <w:lastRenderedPageBreak/>
        <w:t>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F30775"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ins w:id="0" w:author="Josh" w:date="2017-11-19T12:44:00Z">
        <w:r w:rsidR="00933514">
          <w:rPr>
            <w:rFonts w:eastAsiaTheme="minorEastAsia"/>
          </w:rPr>
          <w:t>(</w:t>
        </w:r>
      </w:ins>
      <w:del w:id="1" w:author="Josh" w:date="2017-11-19T12:44:00Z">
        <w:r w:rsidRPr="001E0DDF">
          <w:rPr>
            <w:rFonts w:eastAsiaTheme="minorEastAsia"/>
          </w:rPr>
          <w:delText>[</w:delText>
        </w:r>
      </w:del>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ins w:id="2" w:author="Josh" w:date="2017-11-19T12:44:00Z">
        <w:r w:rsidR="00933514">
          <w:rPr>
            <w:rFonts w:eastAsiaTheme="minorEastAsia"/>
          </w:rPr>
          <w:t>)</w:t>
        </w:r>
        <w:r w:rsidRPr="001E0DDF">
          <w:rPr>
            <w:rFonts w:eastAsiaTheme="minorEastAsia"/>
          </w:rPr>
          <w:t>.</w:t>
        </w:r>
      </w:ins>
      <w:del w:id="3" w:author="Josh" w:date="2017-11-19T12:44:00Z">
        <w:r w:rsidRPr="001E0DDF">
          <w:rPr>
            <w:rFonts w:eastAsiaTheme="minorEastAsia"/>
          </w:rPr>
          <w:delText>].</w:delText>
        </w:r>
      </w:del>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F30775"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F3077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 xml:space="preserve">in </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 xml:space="preserve">Although multiple tortuosity methods were evaluated in the parameterization of the Kozeny-Carman relationship we present only the tortuosity relationship that returns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Pr="001E0DDF">
        <w:rPr>
          <w:rFonts w:eastAsiaTheme="minorEastAsia"/>
        </w:rPr>
        <w:t>. Table 2 presents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t>f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w:t>
      </w:r>
      <w:r w:rsidRPr="00243D1E">
        <w:lastRenderedPageBreak/>
        <w:t xml:space="preserve">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Pr="00243D1E">
        <w:rPr>
          <w:color w:val="FF0000"/>
        </w:rPr>
        <w:t>Table 1</w:t>
      </w:r>
      <w:r>
        <w:t>&gt;</w:t>
      </w:r>
      <w:r w:rsidRPr="00243D1E">
        <w:t>. The eigenvector distribution preserves physical fluid vectors in a Newtonian 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w:t>
      </w:r>
      <w:proofErr w:type="spellStart"/>
      <w:r>
        <w:t>ity</w:t>
      </w:r>
      <w:proofErr w:type="spellEnd"/>
      <w:r>
        <w:t xml:space="preserve">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Default="00F30775" w:rsidP="00F30775">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Pr>
          <w:i/>
        </w:rPr>
        <w:t>d’Humeries</w:t>
      </w:r>
      <w:proofErr w:type="spellEnd"/>
      <w:r>
        <w:rPr>
          <w:i/>
        </w:rPr>
        <w:t xml:space="preserve"> 2002,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t xml:space="preserve">. </w:t>
      </w:r>
    </w:p>
    <w:p w:rsidR="00F30775" w:rsidRPr="00716CF0" w:rsidRDefault="00F30775" w:rsidP="00243D1E"/>
    <w:p w:rsidR="006C68B2" w:rsidRDefault="006C68B2" w:rsidP="006C68B2">
      <w:r>
        <w:lastRenderedPageBreak/>
        <w:t>Streaming and collision in the model do</w:t>
      </w:r>
      <w:r w:rsidR="00F30775">
        <w:t>main is achieved using the BGK (</w:t>
      </w:r>
      <w:r>
        <w:rPr>
          <w:i/>
        </w:rPr>
        <w:t>Qian 1992</w:t>
      </w:r>
      <w:r w:rsidR="00F30775">
        <w:t>)</w:t>
      </w:r>
      <w:r>
        <w:t xml:space="preserve"> solution to the </w:t>
      </w:r>
      <w:proofErr w:type="gramStart"/>
      <w:r>
        <w:t>lattice</w:t>
      </w:r>
      <w:proofErr w:type="gramEnd"/>
      <w:r>
        <w:t xml:space="preserve"> Boltzmann equation. These functions are often separated in calculation, but represented as a single equation in the literature</w:t>
      </w:r>
    </w:p>
    <w:p w:rsidR="006C68B2" w:rsidRPr="00B52067" w:rsidRDefault="006C68B2"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6C68B2"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107A7A">
        <w:rPr>
          <w:rFonts w:eastAsiaTheme="minorEastAsia"/>
        </w:rPr>
        <w:t xml:space="preserve">### TODO: describe the pressure boundary condition (ZHO HE) approach to LB ###. </w:t>
      </w:r>
      <w:r w:rsidRPr="001E0DDF">
        <w:rPr>
          <w:rFonts w:eastAsiaTheme="minorEastAsia"/>
        </w:rPr>
        <w:t>The pressure distribution allows the LB model to compute an initial macroscopic velocity using</w:t>
      </w:r>
      <w:r w:rsidR="00912399">
        <w:rPr>
          <w:rFonts w:eastAsiaTheme="minorEastAsia"/>
        </w:rPr>
        <w:t xml:space="preserve"> ###</w:t>
      </w:r>
      <w:r w:rsidRPr="001E0DDF">
        <w:rPr>
          <w:rFonts w:eastAsiaTheme="minorEastAsia"/>
        </w:rPr>
        <w:t xml:space="preserve"> Equations 11-13</w:t>
      </w:r>
      <w:r w:rsidR="00912399">
        <w:rPr>
          <w:rFonts w:eastAsiaTheme="minorEastAsia"/>
        </w:rPr>
        <w:t xml:space="preserve"> ###</w:t>
      </w:r>
      <w:r w:rsidRPr="001E0DDF">
        <w:rPr>
          <w:rFonts w:eastAsiaTheme="minorEastAsia"/>
        </w:rPr>
        <w:t xml:space="preserve">. The initial macroscopic velocity and density distribution allows for the initiation of the LB model by calculating the unknown members of the distribution through the equilibrium distribution function </w:t>
      </w:r>
      <w:r w:rsidR="00912399">
        <w:rPr>
          <w:rFonts w:eastAsiaTheme="minorEastAsia"/>
        </w:rPr>
        <w:t xml:space="preserve">### </w:t>
      </w:r>
      <w:r w:rsidRPr="001E0DDF">
        <w:rPr>
          <w:rFonts w:eastAsiaTheme="minorEastAsia"/>
        </w:rPr>
        <w:t xml:space="preserve">(Eq. 14) </w:t>
      </w:r>
      <w:r w:rsidR="00912399">
        <w:rPr>
          <w:rFonts w:eastAsiaTheme="minorEastAsia"/>
        </w:rPr>
        <w:t>###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w:t>
      </w:r>
      <w:r>
        <w:t>tail by (</w:t>
      </w:r>
      <w:proofErr w:type="spellStart"/>
      <w:r w:rsidRPr="006B72D8">
        <w:rPr>
          <w:i/>
        </w:rPr>
        <w:t>Hilpert</w:t>
      </w:r>
      <w:proofErr w:type="spellEnd"/>
      <w:r>
        <w:rPr>
          <w:i/>
        </w:rPr>
        <w:t xml:space="preserve"> 2011, </w:t>
      </w:r>
      <w:r w:rsidRPr="006B72D8">
        <w:rPr>
          <w:i/>
        </w:rPr>
        <w:t>Sukop 2013</w:t>
      </w:r>
      <w:r>
        <w:t>)</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rμϕρ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μ</m:t>
        </m:r>
      </m:oMath>
      <w:r>
        <w:t xml:space="preserve"> in physical units. </w:t>
      </w:r>
    </w:p>
    <w:p w:rsidR="001B5AB8" w:rsidRPr="00235F15" w:rsidRDefault="001B5AB8" w:rsidP="001B5AB8">
      <w:pPr>
        <w:rPr>
          <w:rFonts w:eastAsiaTheme="minorEastAsia"/>
        </w:rPr>
      </w:pPr>
      <m:oMathPara>
        <m:oMath>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727C0D"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Pr>
          <w:rFonts w:eastAsiaTheme="minorEastAsia"/>
        </w:rPr>
        <w:t>represents</w:t>
      </w:r>
      <w:proofErr w:type="gramEnd"/>
      <w:r>
        <w:rPr>
          <w:rFonts w:eastAsiaTheme="minorEastAsia"/>
        </w:rPr>
        <w:t xml:space="preserve"> the saturated</w:t>
      </w:r>
      <w:r w:rsidR="005271D5" w:rsidRPr="001E0DDF">
        <w:rPr>
          <w:rFonts w:eastAsiaTheme="minorEastAsia"/>
        </w:rPr>
        <w:t xml:space="preserve"> hydraulic conductivity</w:t>
      </w:r>
      <w:r>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lastRenderedPageBreak/>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F3077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w:t>
      </w:r>
      <w:bookmarkStart w:id="4" w:name="_GoBack"/>
      <w:bookmarkEnd w:id="4"/>
      <w:r w:rsidRPr="001E0DDF">
        <w:t>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study as </w:t>
      </w:r>
      <m:oMath>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 xml:space="preserve">z </m:t>
            </m:r>
          </m:sub>
        </m:sSub>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-1</m:t>
            </m:r>
          </m:sup>
        </m:sSup>
      </m:oMath>
      <w:r w:rsidRPr="001E0DDF">
        <w:rPr>
          <w:rFonts w:eastAsiaTheme="minorEastAsia"/>
        </w:rPr>
        <w:t xml:space="preserve"> every 10,000 iterations.</w:t>
      </w:r>
    </w:p>
    <w:p w:rsidR="00F20B8C" w:rsidRDefault="00F20B8C" w:rsidP="001D3414">
      <w:pPr>
        <w:pStyle w:val="Heading3"/>
      </w:pPr>
      <w:r>
        <w:t xml:space="preserve">2.3 Results </w:t>
      </w:r>
    </w:p>
    <w:p w:rsidR="00492345" w:rsidRDefault="00492345" w:rsidP="00492345">
      <w:pPr>
        <w:rPr>
          <w:rFonts w:eastAsiaTheme="minorEastAsia"/>
        </w:rPr>
      </w:pPr>
      <w:r w:rsidRPr="001E0DDF">
        <w:t xml:space="preserve">Eighth sections of C3 and C9 display a larger harmonic mean permeability than the intact soil column (Table 1). It is possible that isolated or non-percolating pores which were present in the intact columns are able to percolate in the eighth sized sections after cutting. Higher harmonic mean permeability is expected if this is the case, and was observed. Eighth sections 7 and 8 in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respectively, than the upper 6 sections which have measured permeability values ranging from approximately 1 to </w:t>
      </w:r>
      <w:proofErr w:type="gramStart"/>
      <w:r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It is assumed that the bottom two layers are creating a “bottleneck” which contributes to the lower measured permeability of the intact soil column. A similar pattern is observed in C9. Measured permeability in section 8 (</w:t>
      </w:r>
      <w:proofErr w:type="gramStart"/>
      <w:r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is much lower than measured permeability in layers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 C7 and C8 show slightly less than a 1:1 ratio between harmonic mean permeability and the permeability of the intact soil columns (Table 1). The data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w:t>
      </w:r>
      <w:r w:rsidRPr="001E0DDF">
        <w:lastRenderedPageBreak/>
        <w:t xml:space="preserve">minimize this issue. Radial porosity plots display a distinct increase in the mean porosity at a distance of approximately 325 </w:t>
      </w:r>
      <w:proofErr w:type="spellStart"/>
      <w:r w:rsidRPr="001E0DDF">
        <w:t>vx</w:t>
      </w:r>
      <w:proofErr w:type="spellEnd"/>
      <w:r w:rsidRPr="001E0DDF">
        <w:t xml:space="preserve"> from the center of the soil column (Figure 1a).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1b). RMSE permeability decreases significantly with wall correction for both LB and KC methods (Table 3, Table 4). Percent of percolating models also decreases when wall corrections are applied for Brink, Rosin, YASA, and Yen segmentation algorithms. Heat map distribution of mean porosity in the z-direction shows that when wall correction is applied, separation effects that were observed through radial porosity plots (Figure 1a) are not present around the column edges (Figure 2).</w:t>
      </w:r>
    </w:p>
    <w:p w:rsidR="00492345" w:rsidRDefault="00492345" w:rsidP="00492345">
      <w:pPr>
        <w:pStyle w:val="Heading4"/>
      </w:pPr>
      <w:r>
        <w:t>2.3.2 Lattice Boltzmann permeability models</w:t>
      </w:r>
    </w:p>
    <w:p w:rsidR="00492345" w:rsidRPr="001E0DDF" w:rsidRDefault="00492345" w:rsidP="00492345">
      <w:r w:rsidRPr="001E0DDF">
        <w:t xml:space="preserve">Permeability results from the LB models varied for each segmentation algorithm applied to the initial CT data. Column 3 model results show that of the six segmentation algorithms, EN-Brink, HS-Rosin, LA-IK, and LA-KMMRF follow a similar trend across all modeled soil core sections (Figure 3). The YASA 2 model for C3,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All percolating models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492345" w:rsidP="00492345">
      <w:pPr>
        <w:rPr>
          <w:rFonts w:eastAsiaTheme="minorEastAsia"/>
        </w:rPr>
      </w:pPr>
      <w:r w:rsidRPr="001E0DDF">
        <w:t xml:space="preserve">Model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models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threshold. Most models return permeability values between 10</w:t>
      </w:r>
      <w:r w:rsidRPr="001E0DDF">
        <w:rPr>
          <w:rFonts w:eastAsiaTheme="minorEastAsia"/>
          <w:vertAlign w:val="superscript"/>
        </w:rPr>
        <w:t>1</w:t>
      </w:r>
      <w:r w:rsidRPr="001E0DDF">
        <w:rPr>
          <w:rFonts w:eastAsiaTheme="minorEastAsia"/>
        </w:rPr>
        <w:t xml:space="preserve"> and </w:t>
      </w:r>
      <w:proofErr w:type="gramStart"/>
      <w:r w:rsidRPr="001E0DDF">
        <w:rPr>
          <w:rFonts w:eastAsiaTheme="minorEastAsia"/>
        </w:rPr>
        <w:t>10</w:t>
      </w:r>
      <w:r w:rsidRPr="001E0DDF">
        <w:rPr>
          <w:rFonts w:eastAsiaTheme="minorEastAsia"/>
          <w:vertAlign w:val="superscript"/>
        </w:rPr>
        <w:t>4</w:t>
      </w:r>
      <w:r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where laboratory permeability ranges from 10</w:t>
      </w:r>
      <w:r w:rsidRPr="001E0DDF">
        <w:rPr>
          <w:rFonts w:eastAsiaTheme="minorEastAsia"/>
          <w:vertAlign w:val="superscript"/>
        </w:rPr>
        <w:t>-2</w:t>
      </w:r>
      <w:r w:rsidRPr="001E0DDF">
        <w:rPr>
          <w:rFonts w:eastAsiaTheme="minorEastAsia"/>
        </w:rPr>
        <w:t xml:space="preserve"> to 10</w:t>
      </w:r>
      <w:r w:rsidRPr="001E0DDF">
        <w:rPr>
          <w:rFonts w:eastAsiaTheme="minorEastAsia"/>
          <w:vertAlign w:val="superscript"/>
        </w:rPr>
        <w:t>1</w:t>
      </w:r>
      <w:r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r w:rsidRPr="001E0DDF">
        <w:rPr>
          <w:rFonts w:eastAsiaTheme="minorEastAsia"/>
          <w:color w:val="FF0000"/>
        </w:rPr>
        <w:t xml:space="preserve"> </w:t>
      </w:r>
      <w:r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However 28% of the tested models did not percolate with this method. KM-MRF and CL-Otsu were the only two segmentation methods that produced percolating models in all instances tested. RMSE of these methods was much larger than any other tested segmentation algorithm (KM-MRF: </w:t>
      </w:r>
      <w:proofErr w:type="gramStart"/>
      <w:r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This paper applies a slightly different version of the Kozeny-Carman predictive model by using a geometric tortuosity model (Eq. 10).  The Kozeny-Carman equation is used independently of LB to assess the CT data by predicting permeability directly from the segmented images using equations 5, 7, 9, and 10 rather than simulating fluid flow with CFD. KC estimates cluster into two clear groups (Figure 5). A high </w:t>
      </w:r>
      <m:oMath>
        <m:r>
          <w:rPr>
            <w:rFonts w:ascii="Cambria Math" w:hAnsi="Cambria Math"/>
          </w:rPr>
          <m:t>k</m:t>
        </m:r>
      </m:oMath>
      <w:r w:rsidRPr="001E0DDF">
        <w:t xml:space="preserve"> group is present that includes KM-MRF, CL-Otsu, and LA-IK. A lower </w:t>
      </w:r>
      <m:oMath>
        <m:r>
          <w:rPr>
            <w:rFonts w:ascii="Cambria Math" w:hAnsi="Cambria Math"/>
          </w:rPr>
          <m:t>k</m:t>
        </m:r>
      </m:oMath>
      <w:r w:rsidRPr="001E0DDF">
        <w:t xml:space="preserve">  grouping also present and includes EN-Brink, HS-Rosin, HS-YASA methods, </w:t>
      </w:r>
      <w:r w:rsidRPr="001E0DDF">
        <w:lastRenderedPageBreak/>
        <w:t xml:space="preserve">and EN-Yen.   The high </w:t>
      </w:r>
      <m:oMath>
        <m:r>
          <w:rPr>
            <w:rFonts w:ascii="Cambria Math" w:hAnsi="Cambria Math"/>
          </w:rPr>
          <m:t>k</m:t>
        </m:r>
      </m:oMath>
      <w:r w:rsidRPr="001E0DDF">
        <w:t xml:space="preserve"> group over predicted permeability by up to 3(O) in for all sections. Sections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results follow similar trends for C7, C8, and C9.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These methods were limited by only returning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This suggests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presented a thorough study identifying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accepted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trends of data are observed within the KC data.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w:t>
      </w:r>
      <w:r w:rsidRPr="001E0DDF">
        <w:lastRenderedPageBreak/>
        <w:t xml:space="preserve">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 All laboratory methods have intrinsic limitations.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Pr="001E0DDF">
        <w:rPr>
          <w:rFonts w:eastAsiaTheme="minorEastAsia"/>
        </w:rPr>
        <w:t>C7 and C8. Laboratory results show slightly less than a 1:1 ratio between harmonic mean permeability and the permeability of the intact soil columns (Table 1).</w:t>
      </w:r>
    </w:p>
    <w:p w:rsidR="00680A84" w:rsidRPr="001E0DDF" w:rsidRDefault="00680A84" w:rsidP="00680A84">
      <w:r w:rsidRPr="001E0DDF">
        <w:t xml:space="preserve">A soil water characteristic curve was taken for a representative soil core from the same floodplain grazing site as C3,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macropores</w:t>
      </w:r>
      <w:proofErr w:type="spellEnd"/>
      <w:r w:rsidRPr="001E0DDF">
        <w:t xml:space="preserve"> are responsible for transmitting the majority of fluid through the models.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 xml:space="preserve">7 </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may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w:t>
      </w:r>
      <w:r w:rsidRPr="001E0DDF">
        <w:lastRenderedPageBreak/>
        <w:t xml:space="preserve">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there are lattice Boltzmann model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The Kozeny-Carman equation is used as an independent assessment of the CT data, by deriving soil textural parameters directly from the segmented images. Kozeny-Carman predictions, do not match 1:1 with lattice Boltzmann results. Instead KC models produce results that display a much smaller RMSE permeability than LB (Table 6). The assumption of </w:t>
      </w:r>
      <m:oMath>
        <m:r>
          <w:rPr>
            <w:rFonts w:ascii="Cambria Math" w:hAnsi="Cambria Math"/>
          </w:rPr>
          <m:t>G=2</m:t>
        </m:r>
      </m:oMath>
      <w:r w:rsidRPr="001E0DDF">
        <w:t xml:space="preserve"> represents perfectly cylindrical pores</w:t>
      </w:r>
      <w:r>
        <w:t xml:space="preserve"> (</w:t>
      </w:r>
      <w:r w:rsidRPr="00267402">
        <w:rPr>
          <w:i/>
        </w:rPr>
        <w:t>Carman</w:t>
      </w:r>
      <w:r>
        <w:rPr>
          <w:i/>
        </w:rPr>
        <w:t xml:space="preserve"> 1927</w:t>
      </w:r>
      <w:r>
        <w:t>)</w:t>
      </w:r>
      <w:r w:rsidRPr="001E0DDF">
        <w:t xml:space="preserve">. KC models predict permeability values that regularly 1-2 orders of magnitude less than lattice Boltzmann permeability results across all model results (Figure 9). At very low porosity, small changes in the porosity value displays a significant effect on the permeability value returned by lattice Boltzmann models. The KC equation displays this trend more strongly due to the large influence of the geometric tortuosity at low porosity values (Figure 10).  </w:t>
      </w:r>
    </w:p>
    <w:p w:rsidR="00680A84" w:rsidRPr="001E0DDF"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Torsional rigidity theory shows that an increase in pipe cross sectional area yields an increase in permeability</w:t>
      </w:r>
      <w:r>
        <w:t xml:space="preserve"> (</w:t>
      </w:r>
      <w:proofErr w:type="spellStart"/>
      <w:r w:rsidRPr="001E0DDF">
        <w:rPr>
          <w:i/>
        </w:rPr>
        <w:t>Schlueter</w:t>
      </w:r>
      <w:proofErr w:type="spellEnd"/>
      <w:r w:rsidRPr="001E0DDF">
        <w:rPr>
          <w:i/>
        </w:rPr>
        <w:t xml:space="preserve"> 1995</w:t>
      </w:r>
      <w:r>
        <w:t>)</w:t>
      </w:r>
      <w:r w:rsidRPr="001E0DDF">
        <w:t xml:space="preserve">. </w:t>
      </w:r>
    </w:p>
    <w:p w:rsidR="00680A84" w:rsidRDefault="00680A84" w:rsidP="00680A84">
      <w:r w:rsidRPr="001E0DDF">
        <w:t>Although no optimization between LB and KC model results is applied, a strong correlation is observed in the permeability data</w:t>
      </w:r>
      <w:r>
        <w:t xml:space="preserve"> </w:t>
      </w:r>
      <w:r w:rsidRPr="001E0DDF">
        <w:t xml:space="preserve">(Figure 8). Power regression analysis of the plots </w:t>
      </w:r>
      <m:oMath>
        <m:r>
          <w:rPr>
            <w:rFonts w:ascii="Cambria Math" w:hAnsi="Cambria Math"/>
          </w:rPr>
          <m:t>G =2</m:t>
        </m:r>
      </m:oMath>
      <w:r w:rsidRPr="001E0DDF">
        <w:t xml:space="preserve">  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lastRenderedPageBreak/>
        <w:t>2.5 Summary and Conclusions from the analysis of segmentation methods</w:t>
      </w:r>
    </w:p>
    <w:p w:rsidR="00680A84" w:rsidRPr="001E0DDF" w:rsidRDefault="00680A84" w:rsidP="00680A84">
      <w:r w:rsidRPr="001E0DDF">
        <w:t>The objective of this study was to identify some of the limitations of modeling permeability from CT data of natural porous media using KC and LB methods. These models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k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Between these two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modeling actual permeability. The KC and LB equation are used to model 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Optimization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 xml:space="preserve">=0.78) to </w:t>
      </w:r>
      <w:r w:rsidRPr="001E0DDF">
        <w:lastRenderedPageBreak/>
        <w:t>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2F32C9">
      <w:pPr>
        <w:pStyle w:val="Heading3"/>
        <w:ind w:left="36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2F32C9">
      <w:pPr>
        <w:pStyle w:val="Heading3"/>
        <w:ind w:left="360"/>
      </w:pPr>
      <w:r>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2F32C9">
      <w:pPr>
        <w:pStyle w:val="Heading3"/>
        <w:ind w:left="36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2F32C9">
      <w:pPr>
        <w:pStyle w:val="Heading3"/>
        <w:ind w:left="360"/>
      </w:pPr>
      <w:r>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lastRenderedPageBreak/>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proofErr w:type="spellStart"/>
      <w:r>
        <w:t>Appendicies</w:t>
      </w:r>
      <w:proofErr w:type="spellEnd"/>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
    <w15:presenceInfo w15:providerId="None" w15:userId="Jo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107A7A"/>
    <w:rsid w:val="00163D04"/>
    <w:rsid w:val="00191C61"/>
    <w:rsid w:val="0019392F"/>
    <w:rsid w:val="00194806"/>
    <w:rsid w:val="001B5AB8"/>
    <w:rsid w:val="001D3414"/>
    <w:rsid w:val="00214284"/>
    <w:rsid w:val="00243D1E"/>
    <w:rsid w:val="00261ADC"/>
    <w:rsid w:val="002B35AD"/>
    <w:rsid w:val="002E3FE5"/>
    <w:rsid w:val="002F32C9"/>
    <w:rsid w:val="0034212B"/>
    <w:rsid w:val="00374422"/>
    <w:rsid w:val="003804CD"/>
    <w:rsid w:val="003E3A1A"/>
    <w:rsid w:val="00492345"/>
    <w:rsid w:val="004D2B09"/>
    <w:rsid w:val="005271D5"/>
    <w:rsid w:val="00680A84"/>
    <w:rsid w:val="00692B74"/>
    <w:rsid w:val="006A1C1A"/>
    <w:rsid w:val="006B1351"/>
    <w:rsid w:val="006C1DAF"/>
    <w:rsid w:val="006C68B2"/>
    <w:rsid w:val="007262B5"/>
    <w:rsid w:val="00727C0D"/>
    <w:rsid w:val="0079346D"/>
    <w:rsid w:val="007C0E94"/>
    <w:rsid w:val="007F3AB1"/>
    <w:rsid w:val="00810C15"/>
    <w:rsid w:val="0087179B"/>
    <w:rsid w:val="00912399"/>
    <w:rsid w:val="00933514"/>
    <w:rsid w:val="009F7618"/>
    <w:rsid w:val="00A5645C"/>
    <w:rsid w:val="00A607FA"/>
    <w:rsid w:val="00A70BE2"/>
    <w:rsid w:val="00A91D90"/>
    <w:rsid w:val="00AA331C"/>
    <w:rsid w:val="00B05B00"/>
    <w:rsid w:val="00BC4838"/>
    <w:rsid w:val="00C76C0C"/>
    <w:rsid w:val="00C90683"/>
    <w:rsid w:val="00CC2F2F"/>
    <w:rsid w:val="00D27FED"/>
    <w:rsid w:val="00DA3EB8"/>
    <w:rsid w:val="00E4244C"/>
    <w:rsid w:val="00E63440"/>
    <w:rsid w:val="00E75C1A"/>
    <w:rsid w:val="00E91648"/>
    <w:rsid w:val="00ED4DDE"/>
    <w:rsid w:val="00EF1D1F"/>
    <w:rsid w:val="00F0203B"/>
    <w:rsid w:val="00F20B8C"/>
    <w:rsid w:val="00F2672B"/>
    <w:rsid w:val="00F30775"/>
    <w:rsid w:val="00FB1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2548"/>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E13EE-F00D-4842-9B0A-BAAE553CB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19</Pages>
  <Words>9405</Words>
  <Characters>53614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39</cp:revision>
  <dcterms:created xsi:type="dcterms:W3CDTF">2017-11-04T18:33:00Z</dcterms:created>
  <dcterms:modified xsi:type="dcterms:W3CDTF">2017-11-19T22:20:00Z</dcterms:modified>
</cp:coreProperties>
</file>