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 have long modeling run times, and operate as novel approaches to modeling micro scale colloid-surface interactions</w:t>
      </w:r>
      <w:r w:rsidR="002E3FE5">
        <w:t xml:space="preserve"> or have not been released into the public domain</w:t>
      </w:r>
      <w:r>
        <w:t>.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w:t>
      </w:r>
      <w:r w:rsidR="002E3FE5">
        <w:t xml:space="preserve"> </w:t>
      </w:r>
      <w:r w:rsidR="002E3FE5" w:rsidRPr="002E3FE5">
        <w:rPr>
          <w:color w:val="FF0000"/>
        </w:rPr>
        <w:t>&lt;</w:t>
      </w:r>
      <w:proofErr w:type="spellStart"/>
      <w:r w:rsidR="002E3FE5" w:rsidRPr="002E3FE5">
        <w:rPr>
          <w:color w:val="FF0000"/>
        </w:rPr>
        <w:t>todo</w:t>
      </w:r>
      <w:proofErr w:type="spellEnd"/>
      <w:r w:rsidR="002E3FE5" w:rsidRPr="002E3FE5">
        <w:rPr>
          <w:color w:val="FF0000"/>
        </w:rPr>
        <w:t>: history&gt;</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w:t>
      </w:r>
      <w:r>
        <w:lastRenderedPageBreak/>
        <w:t xml:space="preserve">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lastRenderedPageBreak/>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w:t>
      </w:r>
      <w:r w:rsidR="00AA331C">
        <w:t xml:space="preserve"> permeability can be accurately estimated using computational fluid dynamics or </w:t>
      </w:r>
      <w:r w:rsidR="00AA331C">
        <w:t>empirical</w:t>
      </w:r>
      <w:r w:rsidR="00AA331C" w:rsidRPr="00E75C1A">
        <w:t xml:space="preserve"> </w:t>
      </w:r>
      <w:r w:rsidR="00AA331C">
        <w:t>relationships.</w:t>
      </w:r>
    </w:p>
    <w:p w:rsidR="00E75C1A" w:rsidRPr="00E75C1A" w:rsidRDefault="00AA331C" w:rsidP="001D3414">
      <w:r w:rsidRPr="00AA331C">
        <w:rPr>
          <w:color w:val="FF0000"/>
        </w:rPr>
        <w:t xml:space="preserve">TODO: REDO </w:t>
      </w:r>
      <w:r w:rsidR="00E75C1A" w:rsidRPr="00AA331C">
        <w:rPr>
          <w:color w:val="FF0000"/>
        </w:rPr>
        <w:t xml:space="preserve">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w:t>
      </w:r>
      <w:r w:rsidR="00E75C1A" w:rsidRPr="00E75C1A">
        <w:t xml:space="preserve">The lattice Boltzmann </w:t>
      </w:r>
      <w:r>
        <w:t>equation</w:t>
      </w:r>
      <w:r w:rsidR="00E75C1A" w:rsidRPr="00E75C1A">
        <w:t xml:space="preserve"> is one such CFD system, which is applied primarily for its relative ease of progr</w:t>
      </w:r>
      <w:r>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t>uation (Qian 1992)</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w:t>
      </w:r>
      <w:r w:rsidR="00214284">
        <w:t xml:space="preserve">Each method can return </w:t>
      </w:r>
      <w:r w:rsidR="00214284">
        <w:lastRenderedPageBreak/>
        <w:t xml:space="preserve">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 xml:space="preserve"> (</w:t>
      </w:r>
      <w:r w:rsidR="0006199A" w:rsidRPr="0006199A">
        <w:rPr>
          <w:color w:val="FF0000"/>
        </w:rPr>
        <w:t>refs!</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other 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w:t>
      </w:r>
      <w:bookmarkStart w:id="0" w:name="_GoBack"/>
      <w:bookmarkEnd w:id="0"/>
      <w:r w:rsidRPr="00E75C1A">
        <w:t>ne different automated segmentation algorithms are applied to CT images of 4 macropore silt-loam soils</w:t>
      </w:r>
      <w:r>
        <w:t>.</w:t>
      </w:r>
      <w:r w:rsidR="00E75C1A" w:rsidRPr="00E75C1A">
        <w:t xml:space="preserve"> Permeability</w:t>
      </w:r>
      <w:r>
        <w:t xml:space="preserve"> both</w:t>
      </w:r>
      <w:r w:rsidR="00E75C1A" w:rsidRPr="00E75C1A">
        <w:t xml:space="preserve">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xml:space="preserve">. Bulk density was recorded as 1.43 g/cm3. An industrial scanner was used to image the soil cores. The scanner used was a HYTEC Flat Panel Amorphous Silicon High-Resolution Computed Tomography (FLASHCTTM) system at </w:t>
      </w:r>
      <w:r w:rsidRPr="0079346D">
        <w:lastRenderedPageBreak/>
        <w:t>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t xml:space="preserve"> and is detailed in section &lt;&gt;.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on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Pr="001E0DDF">
        <w:rPr>
          <w:rFonts w:eastAsiaTheme="minorEastAsia"/>
        </w:rPr>
        <w:t xml:space="preserve"> where assumed to be at STP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2E3FE5"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CT columns observed in this study, a</w:t>
      </w:r>
      <w:r>
        <w:rPr>
          <w:rFonts w:eastAsiaTheme="minorEastAsia"/>
        </w:rPr>
        <w:t xml:space="preserve"> soil water characteristic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Standardization of segmentation methods is of extreme importance to the field of pore scale modeling (</w:t>
      </w:r>
      <w:r w:rsidRPr="002F32C9">
        <w:rPr>
          <w:i/>
        </w:rPr>
        <w:t>Marcelino 2007</w:t>
      </w:r>
      <w:r>
        <w:t xml:space="preserve">).  For this reason each segmentation method chosen was selected for the ability of the </w:t>
      </w:r>
      <w:r>
        <w:lastRenderedPageBreak/>
        <w:t xml:space="preserve">algorithm to automatically segment images. By selecting these algorithms operator bias in the segmentation step was minimized. Intensity variations due to beam hardening artifacts were corrected 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ICP was applied to the CT data in conjunction with each of the six segmentation methods used in this study. In addition to ICP, median filtering was applied to the CT data and the column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The following describes each segmentation algorithm using 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simple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It assumes that there is one dominant peak relative to the rest of the population of intensity values. The method attempts to maximize the distance between a single point on the histogram of grey scale digital numbers and a line drawn from peak (mode of DN) to corner of the intensity value distribution to determine a threshold. Errors may be introduced by strongly peaked histograms (</w:t>
      </w:r>
      <w:r w:rsidRPr="002F32C9">
        <w:rPr>
          <w:i/>
        </w:rPr>
        <w:t>Rosin 2001</w:t>
      </w:r>
      <w:r>
        <w:t>).</w:t>
      </w:r>
    </w:p>
    <w:p w:rsidR="002F32C9" w:rsidRDefault="002F32C9" w:rsidP="001D3414">
      <w:r>
        <w:t xml:space="preserve">A novel segmentation algorithm Yet </w:t>
      </w:r>
      <w:proofErr w:type="gramStart"/>
      <w:r>
        <w:t>Another</w:t>
      </w:r>
      <w:proofErr w:type="gramEnd"/>
      <w: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the mean of each voxel class and 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2F32C9" w:rsidP="001D3414">
      <w:r>
        <w:t>The third category of global thresholding methods uses signal entropy to separate the background and foreground classes (</w:t>
      </w:r>
      <w:proofErr w:type="spellStart"/>
      <w:r w:rsidRPr="002F32C9">
        <w:rPr>
          <w:i/>
        </w:rPr>
        <w:t>Iassonov</w:t>
      </w:r>
      <w:proofErr w:type="spellEnd"/>
      <w:r w:rsidRPr="002F32C9">
        <w:rPr>
          <w:i/>
        </w:rPr>
        <w:t xml:space="preserve"> 200</w:t>
      </w:r>
      <w:r>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proofErr w:type="spellStart"/>
      <w:r>
        <w:t>maximin</w:t>
      </w:r>
      <w:proofErr w:type="spellEnd"/>
      <w:r>
        <w:t xml:space="preserve"> of entropies by iteration (</w:t>
      </w:r>
      <w:r w:rsidRPr="002F32C9">
        <w:rPr>
          <w:i/>
        </w:rPr>
        <w:t>Brink 1992</w:t>
      </w:r>
      <w:r>
        <w:t>). EN-Yen follows the maximum entropy criterion which is to choose a threshold so the total amount of information in the background and foreground is maximized. Automatic thresholding is applied by the use of a cost function (</w:t>
      </w:r>
      <w:r w:rsidRPr="002F32C9">
        <w:rPr>
          <w:i/>
        </w:rPr>
        <w:t>Yen 1995</w:t>
      </w:r>
      <w:r>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xml:space="preserve">). LA-Indicator Kriging (IK) uses a histogram to create two global thresholds that separate the </w:t>
      </w:r>
      <w:r>
        <w:lastRenderedPageBreak/>
        <w:t>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2E3FE5"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Pr="001E0DDF">
        <w:rPr>
          <w:rFonts w:eastAsiaTheme="minorEastAsia"/>
        </w:rPr>
        <w:t xml:space="preserve">]. It is apparent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2E3FE5"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2E3FE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Pr="001E0DDF">
        <w:rPr>
          <w:rFonts w:eastAsiaTheme="minorEastAsia"/>
        </w:rPr>
        <w:t xml:space="preserve"> </w:t>
      </w:r>
    </w:p>
    <w:p w:rsidR="00374422" w:rsidRDefault="00374422" w:rsidP="001D3414">
      <w:pPr>
        <w:pStyle w:val="Heading4"/>
        <w:rPr>
          <w:rFonts w:eastAsiaTheme="minorEastAsia"/>
        </w:rPr>
      </w:pPr>
      <w:r>
        <w:rPr>
          <w:rFonts w:eastAsiaTheme="minorEastAsia"/>
        </w:rPr>
        <w:t>2.2.4 Kozeny-Carmen methods</w:t>
      </w:r>
    </w:p>
    <w:p w:rsidR="00374422" w:rsidRPr="001E0DDF" w:rsidRDefault="00374422" w:rsidP="001D3414">
      <w:r w:rsidRPr="001E0DDF">
        <w:t>Permeability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xml:space="preserve">. Table 2 presents the methods applied and RMSE for each method with regard to segmentation algorithm. For this paper we define tortuosity according to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as long as a non-zero porosity is used in the model. Because of this limitation, samples with no effective porosity have been excluded from the results presented in this study.</w:t>
      </w:r>
    </w:p>
    <w:p w:rsidR="005271D5" w:rsidRDefault="005271D5" w:rsidP="001D3414">
      <w:pPr>
        <w:pStyle w:val="Heading4"/>
      </w:pPr>
      <w:r>
        <w:t>2.2.5 Lattice Boltzmann methods</w:t>
      </w:r>
    </w:p>
    <w:p w:rsidR="005271D5" w:rsidRPr="001E0DDF" w:rsidRDefault="005271D5" w:rsidP="001D3414">
      <w:r w:rsidRPr="001E0DDF">
        <w:t>Lattic</w:t>
      </w:r>
      <w:r>
        <w:t xml:space="preserve">e Boltzmann methods (LB) have </w:t>
      </w:r>
      <w:r w:rsidRPr="001E0DDF">
        <w:t>been shown to simulate a variety of behaviors including unsteady flows, phase separation, evaporation, and interactions with surfaces have been</w:t>
      </w:r>
      <w:r>
        <w:t xml:space="preserve"> simulated (</w:t>
      </w:r>
      <w:r w:rsidRPr="001E0DDF">
        <w:rPr>
          <w:i/>
        </w:rPr>
        <w:t xml:space="preserve">Shan 1994, </w:t>
      </w:r>
      <w:proofErr w:type="spellStart"/>
      <w:r w:rsidRPr="001E0DDF">
        <w:rPr>
          <w:i/>
        </w:rPr>
        <w:t>Martys</w:t>
      </w:r>
      <w:proofErr w:type="spellEnd"/>
      <w:r w:rsidRPr="001E0DDF">
        <w:rPr>
          <w:i/>
        </w:rPr>
        <w:t xml:space="preserve"> 1996, Chen 1998, </w:t>
      </w:r>
      <w:proofErr w:type="spellStart"/>
      <w:r w:rsidRPr="001E0DDF">
        <w:rPr>
          <w:i/>
        </w:rPr>
        <w:t>Aidun</w:t>
      </w:r>
      <w:proofErr w:type="spellEnd"/>
      <w:r w:rsidRPr="001E0DDF">
        <w:rPr>
          <w:i/>
        </w:rPr>
        <w:t xml:space="preserve"> 2010</w:t>
      </w:r>
      <w:r>
        <w:t xml:space="preserve">) # </w:t>
      </w:r>
      <w:proofErr w:type="spellStart"/>
      <w:r>
        <w:t>todo</w:t>
      </w:r>
      <w:proofErr w:type="spellEnd"/>
      <w:r>
        <w:t>: match these references to their behavior #</w:t>
      </w:r>
      <w:r w:rsidRPr="001E0DDF">
        <w:t>. LB modeling has been developed from the concept of a Boltzmann gas composed of interacting particles. Fluid interactions are described by statistical analysis of individual particles using classical mechanics. LB simplifies this relationship by limiting individual part</w:t>
      </w:r>
      <w:r>
        <w:t>icle movements along a lattice (</w:t>
      </w:r>
      <w:r w:rsidRPr="001E0DDF">
        <w:rPr>
          <w:i/>
        </w:rPr>
        <w:t>Sukop 2007</w:t>
      </w:r>
      <w:r>
        <w:t>)</w:t>
      </w:r>
      <w:r w:rsidRPr="001E0DDF">
        <w:t>. LB fluid simulations are relatively easy to program and are not limited to small sample volume, simple</w:t>
      </w:r>
      <w:r>
        <w:t xml:space="preserve"> physics, or simple geometries (</w:t>
      </w:r>
      <w:r w:rsidRPr="001E0DDF">
        <w:rPr>
          <w:i/>
        </w:rPr>
        <w:t>Chen 1998</w:t>
      </w:r>
      <w:r>
        <w:t>)</w:t>
      </w:r>
      <w:r w:rsidRPr="001E0DDF">
        <w:t>. No-slip boundary conditions can handle the complex geometries that are characte</w:t>
      </w:r>
      <w:r>
        <w:t>ristic of natural porous media (</w:t>
      </w:r>
      <w:r w:rsidRPr="001E0DDF">
        <w:rPr>
          <w:i/>
        </w:rPr>
        <w:t>Sukop 2013</w:t>
      </w:r>
      <w:r>
        <w:t>)</w:t>
      </w:r>
      <w:r w:rsidRPr="001E0DDF">
        <w:t>.</w:t>
      </w:r>
    </w:p>
    <w:p w:rsidR="005271D5" w:rsidRPr="001E0DDF" w:rsidRDefault="005271D5" w:rsidP="001D3414">
      <w:pPr>
        <w:rPr>
          <w:rFonts w:eastAsiaTheme="minorEastAsia"/>
        </w:rPr>
      </w:pP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which is commonly used with LB models and applied in this study,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A collision operator known as the Bhatnager-Gross-Krook collisio</w:t>
      </w:r>
      <w:r>
        <w:rPr>
          <w:rFonts w:eastAsiaTheme="minorEastAsia"/>
        </w:rPr>
        <w:t>n operator is used (</w:t>
      </w:r>
      <w:r w:rsidRPr="001E0DDF">
        <w:rPr>
          <w:rFonts w:eastAsiaTheme="minorEastAsia"/>
          <w:i/>
        </w:rPr>
        <w:t>Qian 1992</w:t>
      </w:r>
      <w:r>
        <w:rPr>
          <w:rFonts w:eastAsiaTheme="minorEastAsia"/>
        </w:rPr>
        <w:t>)</w:t>
      </w:r>
      <w:r w:rsidRPr="001E0DDF">
        <w:rPr>
          <w:rFonts w:eastAsiaTheme="minorEastAsia"/>
        </w:rPr>
        <w:t xml:space="preserve">. The LGBK method allows the operator to control the progression to equilibrium due to the relationship between the relaxation time and the lattice kinematic viscosity.  It has been shown that the LGBK approach fully recovers the Navier-Stokes equation at the macroscopic scale </w:t>
      </w:r>
      <w:r>
        <w:rPr>
          <w:rFonts w:eastAsiaTheme="minorEastAsia"/>
        </w:rPr>
        <w:t>(</w:t>
      </w:r>
      <w:r w:rsidRPr="001E0DDF">
        <w:rPr>
          <w:rFonts w:eastAsiaTheme="minorEastAsia"/>
          <w:i/>
        </w:rPr>
        <w:t>Qian 1992</w:t>
      </w:r>
      <w:r>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lastRenderedPageBreak/>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A statistical summation of the motion of all microscopic fluid particles represents a macroscopic velocity for each vector in the system. Common lattices include D2Q9, D3Q15, and D3Q19 where D is the number of dimensions and Q is the number of velocity vectors at each fluid node. Three types of fluid ties exist. Type I has a discrete velocity of 0, type II has a velocity of 1 </w:t>
      </w:r>
      <w:proofErr w:type="spellStart"/>
      <w:proofErr w:type="gramStart"/>
      <w:r w:rsidRPr="001E0DDF">
        <w:t>lu</w:t>
      </w:r>
      <w:proofErr w:type="spellEnd"/>
      <w:proofErr w:type="gramEnd"/>
      <w:r w:rsidRPr="001E0DDF">
        <w:t xml:space="preserve"> ts</w:t>
      </w:r>
      <w:r w:rsidRPr="001E0DDF">
        <w:rPr>
          <w:vertAlign w:val="superscript"/>
        </w:rPr>
        <w:t>-1</w:t>
      </w:r>
      <w:r w:rsidRPr="001E0DDF">
        <w:t xml:space="preserve">, and type III has a velocity of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w:t>
      </w:r>
      <w:proofErr w:type="spellStart"/>
      <w:r>
        <w:rPr>
          <w:rFonts w:eastAsiaTheme="minorEastAsia"/>
        </w:rPr>
        <w:t>lu</w:t>
      </w:r>
      <w:proofErr w:type="spellEnd"/>
      <w:r>
        <w:rPr>
          <w:rFonts w:eastAsiaTheme="minorEastAsia"/>
        </w:rPr>
        <w:t xml:space="preserve"> </w:t>
      </w:r>
      <w:proofErr w:type="spellStart"/>
      <w:r>
        <w:rPr>
          <w:rFonts w:eastAsiaTheme="minorEastAsia"/>
        </w:rPr>
        <w:t>ts</w:t>
      </w:r>
      <w:proofErr w:type="spellEnd"/>
      <w:r>
        <w:rPr>
          <w:rFonts w:eastAsiaTheme="minorEastAsia"/>
        </w:rPr>
        <w:t xml:space="preserve"> (</w:t>
      </w:r>
      <w:r w:rsidRPr="001E0DDF">
        <w:rPr>
          <w:rFonts w:eastAsiaTheme="minorEastAsia"/>
          <w:i/>
        </w:rPr>
        <w:t>Sukop 2007</w:t>
      </w:r>
      <w:r>
        <w:rPr>
          <w:rFonts w:eastAsiaTheme="minorEastAsia"/>
        </w:rPr>
        <w:t>)</w:t>
      </w:r>
      <w:r w:rsidRPr="001E0DDF">
        <w:rPr>
          <w:rFonts w:eastAsiaTheme="minorEastAsia"/>
        </w:rPr>
        <w:t>. The relative values of members of the distribution function can then be thought of as a frequency of occurrence.  The total density of particles at an individual lattice node in a D3Q19 grid is:</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e>
          </m:nary>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ρ</m:t>
        </m:r>
      </m:oMath>
      <w:r w:rsidRPr="001E0DDF">
        <w:rPr>
          <w:rFonts w:eastAsiaTheme="minorEastAsia"/>
        </w:rPr>
        <w:t xml:space="preserve"> is the macroscopic fluid density and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1E0DDF">
        <w:rPr>
          <w:rFonts w:eastAsiaTheme="minorEastAsia"/>
        </w:rPr>
        <w:t xml:space="preserve"> is the distribution function. The macroscopic velocity</w:t>
      </w:r>
      <m:oMath>
        <m:r>
          <w:rPr>
            <w:rFonts w:ascii="Cambria Math" w:hAnsi="Cambria Math"/>
          </w:rPr>
          <m:t xml:space="preserve"> u</m:t>
        </m:r>
      </m:oMath>
      <w:r w:rsidRPr="001E0DDF">
        <w:rPr>
          <w:rFonts w:eastAsiaTheme="minorEastAsia"/>
        </w:rPr>
        <w:t xml:space="preserve"> is an average of the microscopic velocities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1E0DDF">
        <w:rPr>
          <w:rFonts w:eastAsiaTheme="minorEastAsia"/>
        </w:rPr>
        <w:t xml:space="preserve"> weighted by directional densities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rPr>
          <w:rFonts w:eastAsiaTheme="minorEastAsia"/>
        </w:rPr>
        <w:t>(</w:t>
      </w:r>
      <w:r w:rsidRPr="001E0DDF">
        <w:rPr>
          <w:rFonts w:eastAsiaTheme="minorEastAsia"/>
          <w:i/>
        </w:rPr>
        <w:t>Sukop 2007</w:t>
      </w:r>
      <w:r>
        <w:rPr>
          <w:rFonts w:eastAsiaTheme="minorEastAsia"/>
        </w:rPr>
        <w:t>)</w:t>
      </w:r>
      <w:r w:rsidRPr="001E0DDF">
        <w:rPr>
          <w:rFonts w:eastAsiaTheme="minorEastAsia"/>
        </w:rPr>
        <w:t>:</w:t>
      </w:r>
    </w:p>
    <w:p w:rsidR="005271D5" w:rsidRPr="001E0DDF" w:rsidRDefault="005271D5" w:rsidP="001D3414">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a</m:t>
                  </m:r>
                </m:sub>
              </m:sSub>
            </m:e>
          </m:nary>
        </m:oMath>
      </m:oMathPara>
    </w:p>
    <w:p w:rsidR="005271D5" w:rsidRPr="001E0DDF" w:rsidRDefault="005271D5" w:rsidP="001D3414">
      <w:pPr>
        <w:rPr>
          <w:rFonts w:eastAsiaTheme="minorEastAsia"/>
        </w:rPr>
      </w:pPr>
      <w:r w:rsidRPr="001E0DDF">
        <w:rPr>
          <w:rFonts w:eastAsiaTheme="minorEastAsia"/>
        </w:rPr>
        <w:t xml:space="preserve">The pressure </w:t>
      </w:r>
      <m:oMath>
        <m:r>
          <w:rPr>
            <w:rFonts w:ascii="Cambria Math" w:eastAsiaTheme="minorEastAsia" w:hAnsi="Cambria Math"/>
          </w:rPr>
          <m:t>P</m:t>
        </m:r>
      </m:oMath>
      <w:r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sidRPr="001E0DDF">
        <w:rPr>
          <w:rFonts w:eastAsiaTheme="minorEastAsia"/>
        </w:rPr>
        <w:t xml:space="preserve"> which defines the LB equation of state as:</w:t>
      </w:r>
    </w:p>
    <w:p w:rsidR="005271D5" w:rsidRPr="001E0DDF" w:rsidRDefault="005271D5" w:rsidP="001D3414">
      <w:pPr>
        <w:rPr>
          <w:rFonts w:eastAsiaTheme="minorEastAsia"/>
        </w:rPr>
      </w:pPr>
      <m:oMathPara>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ρ</m:t>
          </m:r>
        </m:oMath>
      </m:oMathPara>
    </w:p>
    <w:p w:rsidR="005271D5" w:rsidRPr="001E0DDF" w:rsidRDefault="00912399" w:rsidP="001D3414">
      <w:pPr>
        <w:rPr>
          <w:rFonts w:eastAsiaTheme="minorEastAsia"/>
        </w:rPr>
      </w:pPr>
      <w:r>
        <w:rPr>
          <w:rFonts w:eastAsiaTheme="minorEastAsia"/>
        </w:rPr>
        <w:t>Change this line/////</w:t>
      </w:r>
      <w:r w:rsidR="005271D5" w:rsidRPr="001E0DDF">
        <w:rPr>
          <w:rFonts w:eastAsiaTheme="minorEastAsia"/>
        </w:rPr>
        <w:t>Equations 11-13 allow the equilibrium distribution function to be computed at each time step based on the macroscopic velocity, macroscopic density, and microscopic velocities:</w:t>
      </w:r>
    </w:p>
    <w:p w:rsidR="005271D5" w:rsidRPr="001E0DDF" w:rsidRDefault="002E3FE5" w:rsidP="001D34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ρ[1+3</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sidRPr="001E0DDF">
        <w:rPr>
          <w:rFonts w:eastAsiaTheme="minorEastAsia"/>
        </w:rPr>
        <w:t xml:space="preserve"> are weights based on the fluid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m:t>
        </m:r>
      </m:oMath>
      <w:r w:rsidRPr="001E0DDF">
        <w:rPr>
          <w:rFonts w:eastAsiaTheme="minorEastAsia"/>
        </w:rPr>
        <w:t xml:space="preserve"> </w:t>
      </w:r>
      <w:proofErr w:type="gramStart"/>
      <w:r w:rsidRPr="001E0DDF">
        <w:rPr>
          <w:rFonts w:eastAsiaTheme="minorEastAsia"/>
        </w:rPr>
        <w:t>for</w:t>
      </w:r>
      <w:proofErr w:type="gramEnd"/>
      <w:r w:rsidRPr="001E0DDF">
        <w:rPr>
          <w:rFonts w:eastAsiaTheme="minorEastAsia"/>
        </w:rPr>
        <w:t xml:space="preserve"> type I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=1/18</m:t>
        </m:r>
      </m:oMath>
      <w:r w:rsidRPr="001E0DDF">
        <w:rPr>
          <w:rFonts w:eastAsiaTheme="minorEastAsia"/>
        </w:rPr>
        <w:t xml:space="preserve"> for type II links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=1/36</m:t>
        </m:r>
      </m:oMath>
      <w:r w:rsidRPr="001E0DDF">
        <w:rPr>
          <w:rFonts w:eastAsiaTheme="minorEastAsia"/>
        </w:rPr>
        <w:t xml:space="preserve"> for type III links </w:t>
      </w:r>
      <w:r w:rsidR="00912399">
        <w:rPr>
          <w:rFonts w:eastAsiaTheme="minorEastAsia"/>
        </w:rPr>
        <w:t>(</w:t>
      </w:r>
      <w:r w:rsidRPr="001E0DDF">
        <w:rPr>
          <w:rFonts w:eastAsiaTheme="minorEastAsia"/>
          <w:i/>
        </w:rPr>
        <w:t>Qian 1992</w:t>
      </w:r>
      <w:r w:rsidR="00912399">
        <w:rPr>
          <w:rFonts w:eastAsiaTheme="minorEastAsia"/>
        </w:rPr>
        <w:t xml:space="preserve">) # </w:t>
      </w:r>
      <w:proofErr w:type="spellStart"/>
      <w:r w:rsidR="00912399">
        <w:rPr>
          <w:rFonts w:eastAsiaTheme="minorEastAsia"/>
        </w:rPr>
        <w:t>todo</w:t>
      </w:r>
      <w:proofErr w:type="spellEnd"/>
      <w:r w:rsidR="00912399">
        <w:rPr>
          <w:rFonts w:eastAsiaTheme="minorEastAsia"/>
        </w:rPr>
        <w:t>: create a table that shows this #</w:t>
      </w:r>
      <w:r w:rsidRPr="001E0DDF">
        <w:rPr>
          <w:rFonts w:eastAsiaTheme="minorEastAsia"/>
        </w:rPr>
        <w:t>. Finally a streaming and collision operator facilitates replacement of the original distribution function and allows the system to evolve. They are separated in LB code but commonly combined and written as:</w:t>
      </w:r>
    </w:p>
    <w:p w:rsidR="005271D5" w:rsidRPr="001E0DDF" w:rsidRDefault="002E3FE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∆t, 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oMath>
      </m:oMathPara>
    </w:p>
    <w:p w:rsidR="005271D5" w:rsidRPr="001E0DDF" w:rsidRDefault="005271D5" w:rsidP="001D3414">
      <w:pPr>
        <w:rPr>
          <w:rFonts w:eastAsiaTheme="minorEastAsia"/>
        </w:rPr>
      </w:pPr>
      <w:r w:rsidRPr="001E0DDF">
        <w:rPr>
          <w:rFonts w:eastAsiaTheme="minorEastAsia"/>
        </w:rPr>
        <w:t xml:space="preserve">Relaxation time </w:t>
      </w:r>
      <m:oMath>
        <m:r>
          <w:rPr>
            <w:rFonts w:ascii="Cambria Math" w:eastAsiaTheme="minorEastAsia" w:hAnsi="Cambria Math"/>
          </w:rPr>
          <m:t>τ</m:t>
        </m:r>
      </m:oMath>
      <w:r w:rsidRPr="001E0DDF">
        <w:rPr>
          <w:rFonts w:eastAsiaTheme="minorEastAsia"/>
        </w:rPr>
        <w:t xml:space="preserve"> controls the evolution to local equilibrium and is commonly set to 1 for numerical efficiency </w:t>
      </w:r>
      <w:r w:rsidR="00912399">
        <w:rPr>
          <w:rFonts w:eastAsiaTheme="minorEastAsia"/>
        </w:rPr>
        <w:t>(</w:t>
      </w:r>
      <w:r w:rsidRPr="001E0DDF">
        <w:rPr>
          <w:rFonts w:eastAsiaTheme="minorEastAsia"/>
          <w:i/>
        </w:rPr>
        <w:t>Qian 1992, Sukop 2007</w:t>
      </w:r>
      <w:r w:rsidR="00912399">
        <w:rPr>
          <w:rFonts w:eastAsiaTheme="minorEastAsia"/>
        </w:rPr>
        <w:t>)</w:t>
      </w:r>
      <w:r w:rsidRPr="001E0DDF">
        <w:rPr>
          <w:rFonts w:eastAsiaTheme="minorEastAsia"/>
        </w:rPr>
        <w:t xml:space="preserve">. </w:t>
      </w:r>
    </w:p>
    <w:p w:rsidR="005271D5" w:rsidRPr="001E0DDF" w:rsidRDefault="005271D5" w:rsidP="001D3414">
      <w:pPr>
        <w:rPr>
          <w:rFonts w:eastAsiaTheme="minorEastAsia"/>
        </w:rPr>
      </w:pPr>
      <w:r w:rsidRPr="001E0DDF">
        <w:rPr>
          <w:rFonts w:eastAsiaTheme="minorEastAsia"/>
        </w:rPr>
        <w:t xml:space="preserve">The single relaxation time approximation allows kinematic viscosity </w:t>
      </w:r>
      <m:oMath>
        <m:r>
          <w:rPr>
            <w:rFonts w:ascii="Cambria Math" w:eastAsiaTheme="minorEastAsia" w:hAnsi="Cambria Math"/>
          </w:rPr>
          <m:t>v</m:t>
        </m:r>
      </m:oMath>
      <w:r w:rsidRPr="001E0DDF">
        <w:rPr>
          <w:rFonts w:eastAsiaTheme="minorEastAsia"/>
        </w:rPr>
        <w:t xml:space="preserve"> to be estimated though the relationship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&lt;extend this equation to include </w:t>
      </w:r>
      <w:proofErr w:type="gramStart"/>
      <w:r>
        <w:rPr>
          <w:rFonts w:eastAsiaTheme="minorEastAsia"/>
        </w:rPr>
        <w:t>del</w:t>
      </w:r>
      <w:proofErr w:type="gramEnd"/>
      <w:r>
        <w:rPr>
          <w:rFonts w:eastAsiaTheme="minorEastAsia"/>
        </w:rPr>
        <w:t xml:space="preserve"> x and time&gt;</w:t>
      </w:r>
      <w:r w:rsidR="00912399">
        <w:rPr>
          <w:rFonts w:eastAsiaTheme="minorEastAsia"/>
        </w:rPr>
        <w:t xml:space="preserve"> #</w:t>
      </w:r>
    </w:p>
    <w:p w:rsidR="005271D5" w:rsidRPr="001E0DDF" w:rsidRDefault="005271D5" w:rsidP="001D3414">
      <w:pPr>
        <w:rPr>
          <w:rFonts w:eastAsiaTheme="minorEastAsia"/>
        </w:rPr>
      </w:pPr>
      <m:oMathPara>
        <m:oMath>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rsidR="005271D5" w:rsidRPr="001E0DDF" w:rsidRDefault="005271D5" w:rsidP="001D3414">
      <w:r w:rsidRPr="001E0DDF">
        <w:rPr>
          <w:rFonts w:eastAsiaTheme="minorEastAsia"/>
        </w:rPr>
        <w:lastRenderedPageBreak/>
        <w:t xml:space="preserve">The common value of </w:t>
      </w:r>
      <m:oMath>
        <m:r>
          <w:rPr>
            <w:rFonts w:ascii="Cambria Math" w:eastAsiaTheme="minorEastAsia" w:hAnsi="Cambria Math"/>
          </w:rPr>
          <m:t xml:space="preserve">τ=1 </m:t>
        </m:r>
      </m:oMath>
      <w:r w:rsidRPr="001E0DDF">
        <w:rPr>
          <w:rFonts w:eastAsiaTheme="minorEastAsia"/>
        </w:rPr>
        <w:t xml:space="preserve">is used, which leads to a kinematic viscosity of </w:t>
      </w:r>
      <m:oMath>
        <m:r>
          <w:rPr>
            <w:rFonts w:ascii="Cambria Math" w:eastAsiaTheme="minorEastAsia" w:hAnsi="Cambria Math"/>
          </w:rPr>
          <m:t>1/6</m:t>
        </m:r>
      </m:oMath>
      <w:r w:rsidRPr="001E0DDF">
        <w:rPr>
          <w:rFonts w:eastAsiaTheme="minorEastAsia"/>
        </w:rPr>
        <w:t xml:space="preserve"> lu</w:t>
      </w:r>
      <w:r w:rsidRPr="001E0DDF">
        <w:rPr>
          <w:rFonts w:eastAsiaTheme="minorEastAsia"/>
          <w:vertAlign w:val="superscript"/>
        </w:rPr>
        <w:t>2</w:t>
      </w:r>
      <w:r w:rsidRPr="001E0DDF">
        <w:rPr>
          <w:rFonts w:eastAsiaTheme="minorEastAsia"/>
        </w:rPr>
        <w:t>ts</w:t>
      </w:r>
      <w:r w:rsidRPr="001E0DDF">
        <w:rPr>
          <w:rFonts w:eastAsiaTheme="minorEastAsia"/>
          <w:vertAlign w:val="superscript"/>
        </w:rPr>
        <w:t>-1</w:t>
      </w:r>
      <w:r w:rsidRPr="001E0DDF">
        <w:rPr>
          <w:rFonts w:eastAsiaTheme="minorEastAsia"/>
        </w:rPr>
        <w:t xml:space="preserve">. A single bounce back condition is applied, which means that when a particle distribution moves into a solid node, it is sent back to the node in which it came from </w:t>
      </w:r>
      <w:r w:rsidR="00912399">
        <w:rPr>
          <w:rFonts w:eastAsiaTheme="minorEastAsia"/>
        </w:rPr>
        <w:t>(</w:t>
      </w:r>
      <w:r w:rsidRPr="001E0DDF">
        <w:rPr>
          <w:rFonts w:eastAsiaTheme="minorEastAsia"/>
          <w:i/>
        </w:rPr>
        <w:t>Chen 1998</w:t>
      </w:r>
      <w:r w:rsidR="00912399">
        <w:rPr>
          <w:rFonts w:eastAsiaTheme="minorEastAsia"/>
        </w:rPr>
        <w:t>)</w:t>
      </w:r>
      <w:r w:rsidRPr="001E0DDF">
        <w:rPr>
          <w:rFonts w:eastAsiaTheme="minorEastAsia"/>
        </w:rPr>
        <w:t xml:space="preserve">. 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are not reliable for </w:t>
      </w:r>
      <m:oMath>
        <m:r>
          <w:rPr>
            <w:rFonts w:ascii="Cambria Math" w:eastAsiaTheme="minorEastAsia" w:hAnsi="Cambria Math"/>
          </w:rPr>
          <m:t>τ≠1</m:t>
        </m:r>
      </m:oMath>
      <w:r w:rsidR="00912399">
        <w:rPr>
          <w:rFonts w:eastAsiaTheme="minorEastAsia"/>
        </w:rPr>
        <w:t xml:space="preserve"> (</w:t>
      </w:r>
      <w:r w:rsidRPr="001E0DDF">
        <w:rPr>
          <w:rFonts w:eastAsiaTheme="minorEastAsia"/>
          <w:i/>
        </w:rPr>
        <w:t>Pan 2006</w:t>
      </w:r>
      <w:r w:rsidR="00912399">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values reported from the LB models. This step may be appropriate when modeled permeability is within 2x measured permeability. A limitation of the single relaxation time lattice Boltzmann is a viscosity dependence of the boundary conditions </w:t>
      </w:r>
      <w:r w:rsidR="00912399">
        <w:rPr>
          <w:rFonts w:eastAsiaTheme="minorEastAsia"/>
        </w:rPr>
        <w:t>(</w:t>
      </w:r>
      <w:r w:rsidRPr="001E0DDF">
        <w:rPr>
          <w:rFonts w:eastAsiaTheme="minorEastAsia"/>
          <w:i/>
        </w:rPr>
        <w:t>Pan et al. 2006</w:t>
      </w:r>
      <w:r w:rsidR="00912399">
        <w:rPr>
          <w:rFonts w:eastAsiaTheme="minorEastAsia"/>
        </w:rPr>
        <w:t>)</w:t>
      </w:r>
      <w:r w:rsidRPr="001E0DDF">
        <w:rPr>
          <w:rFonts w:eastAsiaTheme="minorEastAsia"/>
        </w:rPr>
        <w:t xml:space="preserve">.This relationship creates the potential for serious problems, since permeability becomes linked to fluid viscosity instead of being a property that is intrinsic to the porous media. Multiple relaxation time lattice Boltzmann reduces the viscosity dependence of permeability by allowing viscosity independent boundary conditions through an appropriately constructed collision operator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et al. 2002, Pan 2006</w:t>
      </w:r>
      <w:r w:rsidR="00912399">
        <w:rPr>
          <w:rFonts w:eastAsiaTheme="minorEastAsia"/>
        </w:rPr>
        <w:t>)</w:t>
      </w:r>
      <w:r w:rsidRPr="001E0DDF">
        <w:rPr>
          <w:rFonts w:eastAsiaTheme="minorEastAsia"/>
        </w:rPr>
        <w:t xml:space="preserve">. Improved numerical stability over a wider range of viscosities and Reynolds numbers is observed with multiple relaxation time lattice Boltzmann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2002</w:t>
      </w:r>
      <w:r w:rsidR="00912399">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rPr>
          <w:rFonts w:eastAsiaTheme="minorEastAsia"/>
        </w:rPr>
        <w:t xml:space="preserve">Pressure boundary conditions were applied to initiate the LB models. </w:t>
      </w:r>
      <w:r w:rsidR="00107A7A">
        <w:rPr>
          <w:rFonts w:eastAsiaTheme="minorEastAsia"/>
        </w:rPr>
        <w:t xml:space="preserve">### TODO: describe the pressure boundary condition (ZHO HE) approach to LB ###. </w:t>
      </w:r>
      <w:r w:rsidRPr="001E0DDF">
        <w:rPr>
          <w:rFonts w:eastAsiaTheme="minorEastAsia"/>
        </w:rPr>
        <w:t>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roofErr w:type="spellStart"/>
      <w:r w:rsidRPr="001E0DDF">
        <w:rPr>
          <w:rFonts w:eastAsiaTheme="minorEastAsia"/>
          <w:i/>
        </w:rPr>
        <w:t>Hilpert</w:t>
      </w:r>
      <w:proofErr w:type="spellEnd"/>
      <w:r w:rsidRPr="001E0DDF">
        <w:rPr>
          <w:rFonts w:eastAsiaTheme="minorEastAsia"/>
          <w:i/>
        </w:rPr>
        <w:t xml:space="preserve"> 2011 and Sukop 2013</w:t>
      </w:r>
      <w:r w:rsidRPr="001E0DDF">
        <w:rPr>
          <w:rFonts w:eastAsiaTheme="minorEastAsia"/>
        </w:rPr>
        <w:t xml:space="preserve"> outline methods to calculate permeability from single phase, single component lattice Boltzmann models.  Darcy’s Law is applied, which states that specific discharge </w:t>
      </w:r>
      <m:oMath>
        <m:r>
          <w:rPr>
            <w:rFonts w:ascii="Cambria Math" w:eastAsiaTheme="minorEastAsia" w:hAnsi="Cambria Math"/>
          </w:rPr>
          <m:t>q</m:t>
        </m:r>
      </m:oMath>
      <w:r w:rsidRPr="001E0DDF">
        <w:rPr>
          <w:rFonts w:eastAsiaTheme="minorEastAsia"/>
        </w:rPr>
        <w:t xml:space="preserve"> is proportional to the head gradient </w:t>
      </w:r>
      <m:oMath>
        <m:r>
          <m:rPr>
            <m:sty m:val="p"/>
          </m:rPr>
          <w:rPr>
            <w:rFonts w:ascii="Cambria Math" w:eastAsiaTheme="minorEastAsia" w:hAnsi="Cambria Math"/>
          </w:rPr>
          <m:t>∇</m:t>
        </m:r>
        <m:r>
          <w:rPr>
            <w:rFonts w:ascii="Cambria Math" w:eastAsiaTheme="minorEastAsia" w:hAnsi="Cambria Math"/>
          </w:rPr>
          <m:t>h</m:t>
        </m:r>
      </m:oMath>
      <w:r>
        <w:rPr>
          <w:rFonts w:eastAsiaTheme="minorEastAsia"/>
        </w:rPr>
        <w:t xml:space="preserve">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&lt;change this to </w:t>
      </w:r>
      <w:proofErr w:type="spellStart"/>
      <w:r>
        <w:rPr>
          <w:rFonts w:eastAsiaTheme="minorEastAsia"/>
        </w:rPr>
        <w:t>darcy’s</w:t>
      </w:r>
      <w:proofErr w:type="spellEnd"/>
      <w:r>
        <w:rPr>
          <w:rFonts w:eastAsiaTheme="minorEastAsia"/>
        </w:rPr>
        <w:t xml:space="preserve"> law representation&gt;</w:t>
      </w:r>
      <w:r w:rsidR="00912399">
        <w:rPr>
          <w:rFonts w:eastAsiaTheme="minorEastAsia"/>
        </w:rPr>
        <w:t xml:space="preserve"> ##</w:t>
      </w:r>
      <w:proofErr w:type="gramStart"/>
      <w:r w:rsidR="00912399">
        <w:rPr>
          <w:rFonts w:eastAsiaTheme="minorEastAsia"/>
        </w:rPr>
        <w:t xml:space="preserve"># </w:t>
      </w:r>
      <w:r w:rsidRPr="001E0DDF">
        <w:rPr>
          <w:rFonts w:eastAsiaTheme="minorEastAsia"/>
        </w:rPr>
        <w:t>:</w:t>
      </w:r>
      <w:proofErr w:type="gramEnd"/>
    </w:p>
    <w:p w:rsidR="005271D5" w:rsidRPr="001E0DDF" w:rsidRDefault="005271D5" w:rsidP="001D3414">
      <w:pPr>
        <w:rPr>
          <w:rFonts w:eastAsiaTheme="minorEastAsia"/>
        </w:rPr>
      </w:pPr>
      <m:oMathPara>
        <m:oMath>
          <m:r>
            <w:rPr>
              <w:rFonts w:ascii="Cambria Math" w:eastAsiaTheme="minorEastAsia" w:hAnsi="Cambria Math"/>
            </w:rPr>
            <m:t>q=-K</m:t>
          </m:r>
          <m:r>
            <m:rPr>
              <m:sty m:val="p"/>
            </m:rPr>
            <w:rPr>
              <w:rFonts w:ascii="Cambria Math" w:eastAsiaTheme="minorEastAsia" w:hAnsi="Cambria Math"/>
            </w:rPr>
            <m:t>∇</m:t>
          </m:r>
          <m:r>
            <w:rPr>
              <w:rFonts w:ascii="Cambria Math" w:eastAsiaTheme="minorEastAsia" w:hAnsi="Cambria Math"/>
            </w:rPr>
            <m:t>h</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K</m:t>
        </m:r>
      </m:oMath>
      <w:r w:rsidRPr="001E0DDF">
        <w:rPr>
          <w:rFonts w:eastAsiaTheme="minorEastAsia"/>
        </w:rPr>
        <w:t xml:space="preserve"> is the hydraulic conductivity such that flow is in the opposite </w:t>
      </w:r>
      <w:r w:rsidR="00912399">
        <w:rPr>
          <w:rFonts w:eastAsiaTheme="minorEastAsia"/>
        </w:rPr>
        <w:t>direction of the head gradient (</w:t>
      </w:r>
      <w:r w:rsidRPr="00267402">
        <w:rPr>
          <w:rFonts w:eastAsiaTheme="minorEastAsia"/>
          <w:i/>
        </w:rPr>
        <w:t>Sukop</w:t>
      </w:r>
      <w:r w:rsidR="00912399">
        <w:rPr>
          <w:rFonts w:eastAsiaTheme="minorEastAsia"/>
        </w:rPr>
        <w:t xml:space="preserve"> 2013)</w:t>
      </w:r>
      <w:r w:rsidRPr="001E0DDF">
        <w:rPr>
          <w:rFonts w:eastAsiaTheme="minorEastAsia"/>
        </w:rPr>
        <w:t xml:space="preserve">. Since flow is driven by a pressure </w:t>
      </w:r>
      <w:proofErr w:type="gramStart"/>
      <w:r w:rsidRPr="001E0DDF">
        <w:rPr>
          <w:rFonts w:eastAsiaTheme="minorEastAsia"/>
        </w:rPr>
        <w:t xml:space="preserve">gradient </w:t>
      </w:r>
      <w:proofErr w:type="gramEnd"/>
      <m:oMath>
        <m:r>
          <w:rPr>
            <w:rFonts w:ascii="Cambria Math" w:eastAsiaTheme="minorEastAsia" w:hAnsi="Cambria Math"/>
          </w:rPr>
          <m:t>∆P</m:t>
        </m:r>
      </m:oMath>
      <w:r w:rsidRPr="001E0DDF">
        <w:rPr>
          <w:rFonts w:eastAsiaTheme="minorEastAsia"/>
        </w:rPr>
        <w:t xml:space="preserve">,  </w:t>
      </w:r>
      <m:oMath>
        <m:r>
          <w:rPr>
            <w:rFonts w:ascii="Cambria Math" w:eastAsiaTheme="minorEastAsia" w:hAnsi="Cambria Math"/>
          </w:rPr>
          <m:t>q</m:t>
        </m:r>
      </m:oMath>
      <w:r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5271D5" w:rsidP="001D3414">
      <w:pPr>
        <w:rPr>
          <w:rFonts w:eastAsiaTheme="minorEastAsia"/>
        </w:rPr>
      </w:pPr>
      <w:r w:rsidRPr="001E0DDF">
        <w:rPr>
          <w:rFonts w:eastAsiaTheme="minorEastAsia"/>
        </w:rPr>
        <w:t>Solving for permeability yields</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μ</m:t>
        </m:r>
      </m:oMath>
      <w:r w:rsidRPr="001E0DDF">
        <w:rPr>
          <w:rFonts w:eastAsiaTheme="minorEastAsia"/>
        </w:rPr>
        <w:t xml:space="preserve"> is the dynamic viscosity of water and permeability is in dimensionless lattice units. For both LB and KC models, dimensionless permeability values can be scaled to physical units via:</w:t>
      </w:r>
    </w:p>
    <w:p w:rsidR="005271D5" w:rsidRPr="001E0DDF" w:rsidRDefault="002E3FE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sidRPr="001E0DDF">
        <w:rPr>
          <w:rFonts w:eastAsiaTheme="minorEastAsia"/>
        </w:rPr>
        <w:t xml:space="preserve"> is equivalent to the image resolution of the porous media used in the model. </w:t>
      </w:r>
    </w:p>
    <w:p w:rsidR="005271D5" w:rsidRPr="001E0DDF" w:rsidRDefault="005271D5" w:rsidP="001D3414">
      <w:pPr>
        <w:rPr>
          <w:rFonts w:eastAsiaTheme="minorEastAsia"/>
        </w:rPr>
      </w:pPr>
      <w:r w:rsidRPr="001E0DDF">
        <w:rPr>
          <w:rFonts w:eastAsiaTheme="minorEastAsia"/>
        </w:rPr>
        <w:t>Hydraulic tortuosity can be directly calculated through LB fluid vectors by</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en>
        </m:f>
      </m:oMath>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1E0DDF">
        <w:rPr>
          <w:rFonts w:eastAsiaTheme="minorEastAsia"/>
        </w:rPr>
        <w:t xml:space="preserve"> corresponds to the primary  macroscopic fluid velocity vector returned from the LB model. </w:t>
      </w:r>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study as </w:t>
      </w:r>
      <m:oMath>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 xml:space="preserve">z </m:t>
            </m:r>
          </m:sub>
        </m:sSub>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-1</m:t>
            </m:r>
          </m:sup>
        </m:sSup>
      </m:oMath>
      <w:r w:rsidRPr="001E0DDF">
        <w:rPr>
          <w:rFonts w:eastAsiaTheme="minorEastAsia"/>
        </w:rPr>
        <w:t xml:space="preserve"> every 10,000 iterations.</w:t>
      </w:r>
    </w:p>
    <w:p w:rsidR="00F20B8C" w:rsidRDefault="00F20B8C" w:rsidP="001D3414">
      <w:pPr>
        <w:pStyle w:val="Heading3"/>
      </w:pPr>
      <w:r>
        <w:t xml:space="preserve">2.3 Results </w:t>
      </w:r>
    </w:p>
    <w:p w:rsidR="00492345" w:rsidRDefault="00492345" w:rsidP="00492345">
      <w:pPr>
        <w:rPr>
          <w:rFonts w:eastAsiaTheme="minorEastAsia"/>
        </w:rPr>
      </w:pPr>
      <w:r w:rsidRPr="001E0DDF">
        <w:t xml:space="preserve">Eighth sections of C3 and C9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Eighth sections 7 and 8 in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respectively, than the upper 6 sections which have measured permeability values ranging from approximately 1 to </w:t>
      </w:r>
      <w:proofErr w:type="gramStart"/>
      <w:r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It is assumed that the bottom two layers are creating a “bottleneck” which contributes to the lower measured permeability of the intact soil column. A similar pattern is observed in C9. Measured permeability in section 8 (</w:t>
      </w:r>
      <w:proofErr w:type="gramStart"/>
      <w:r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is much lower than measured permeability in layers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 C7 and C8 show slightly less than a 1:1 ratio between harmonic mean permeability and the permeability of the intact soil columns (Table 1). The data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a distance of approximately 325 </w:t>
      </w:r>
      <w:proofErr w:type="spellStart"/>
      <w:r w:rsidRPr="001E0DDF">
        <w:t>vx</w:t>
      </w:r>
      <w:proofErr w:type="spellEnd"/>
      <w:r w:rsidRPr="001E0DDF">
        <w:t xml:space="preserve"> from the center of the soil column (Figure 1a).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1b). RMSE permeability decreases significantly with wall correction for both LB and KC methods (Table 3, Table 4). Percent of percolating models also decreases when wall corrections are applied for Brink, Rosin, YASA, and Yen segmentation algorithms. Heat map distribution of mean porosity in the z-direction shows that when wall correction is applied, separation effects that were observed through radial porosity plots (Figure 1a) are not present around the column edges (Figure 2).</w:t>
      </w:r>
    </w:p>
    <w:p w:rsidR="00492345" w:rsidRDefault="00492345" w:rsidP="00492345">
      <w:pPr>
        <w:pStyle w:val="Heading4"/>
      </w:pPr>
      <w:r>
        <w:lastRenderedPageBreak/>
        <w:t>2.3.2 Lattice Boltzmann permeability models</w:t>
      </w:r>
    </w:p>
    <w:p w:rsidR="00492345" w:rsidRPr="001E0DDF" w:rsidRDefault="00492345" w:rsidP="00492345">
      <w:r w:rsidRPr="001E0DDF">
        <w:t xml:space="preserve">Permeability results from the LB models varied for each segmentation algorithm applied to the initial CT data. Column 3 model results show that of the six segmentation algorithms, EN-Brink, HS-Rosin, LA-IK, and LA-KMMRF follow a similar trend across all modeled soil core sections (Figure 3). The YASA 2 model for C3,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All percolating models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492345" w:rsidP="00492345">
      <w:pPr>
        <w:rPr>
          <w:rFonts w:eastAsiaTheme="minorEastAsia"/>
        </w:rPr>
      </w:pPr>
      <w:r w:rsidRPr="001E0DDF">
        <w:t xml:space="preserve">Model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models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threshold. Most models return permeability values between 10</w:t>
      </w:r>
      <w:r w:rsidRPr="001E0DDF">
        <w:rPr>
          <w:rFonts w:eastAsiaTheme="minorEastAsia"/>
          <w:vertAlign w:val="superscript"/>
        </w:rPr>
        <w:t>1</w:t>
      </w:r>
      <w:r w:rsidRPr="001E0DDF">
        <w:rPr>
          <w:rFonts w:eastAsiaTheme="minorEastAsia"/>
        </w:rPr>
        <w:t xml:space="preserve"> and </w:t>
      </w:r>
      <w:proofErr w:type="gramStart"/>
      <w:r w:rsidRPr="001E0DDF">
        <w:rPr>
          <w:rFonts w:eastAsiaTheme="minorEastAsia"/>
        </w:rPr>
        <w:t>10</w:t>
      </w:r>
      <w:r w:rsidRPr="001E0DDF">
        <w:rPr>
          <w:rFonts w:eastAsiaTheme="minorEastAsia"/>
          <w:vertAlign w:val="superscript"/>
        </w:rPr>
        <w:t>4</w:t>
      </w:r>
      <w:r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where laboratory permeability ranges from 10</w:t>
      </w:r>
      <w:r w:rsidRPr="001E0DDF">
        <w:rPr>
          <w:rFonts w:eastAsiaTheme="minorEastAsia"/>
          <w:vertAlign w:val="superscript"/>
        </w:rPr>
        <w:t>-2</w:t>
      </w:r>
      <w:r w:rsidRPr="001E0DDF">
        <w:rPr>
          <w:rFonts w:eastAsiaTheme="minorEastAsia"/>
        </w:rPr>
        <w:t xml:space="preserve"> to 10</w:t>
      </w:r>
      <w:r w:rsidRPr="001E0DDF">
        <w:rPr>
          <w:rFonts w:eastAsiaTheme="minorEastAsia"/>
          <w:vertAlign w:val="superscript"/>
        </w:rPr>
        <w:t>1</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r w:rsidRPr="001E0DDF">
        <w:rPr>
          <w:rFonts w:eastAsiaTheme="minorEastAsia"/>
          <w:color w:val="FF0000"/>
        </w:rPr>
        <w:t xml:space="preserve"> </w:t>
      </w:r>
      <w:r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However 28% of the tested models did not percolate with this method. KM-MRF and CL-Otsu were the only two segmentation methods that produced percolating models in all instances tested. RMSE of these methods was much larger than any other tested segmentation algorithm (KM-MRF: </w:t>
      </w:r>
      <w:proofErr w:type="gramStart"/>
      <w:r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This paper applies a slightly different version of the Kozeny-Carman predictive model by using a geometric tortuosity model (Eq. 10).  The Kozeny-Carman equation is used independently of LB to assess the CT data by predicting permeability directly from the segmented images using equations 5, 7, 9, and 10 rather than simulating fluid flow with CFD. KC estimates cluster into two clear groups (Figure 5). A high </w:t>
      </w:r>
      <m:oMath>
        <m:r>
          <w:rPr>
            <w:rFonts w:ascii="Cambria Math" w:hAnsi="Cambria Math"/>
          </w:rPr>
          <m:t>k</m:t>
        </m:r>
      </m:oMath>
      <w:r w:rsidRPr="001E0DDF">
        <w:t xml:space="preserve"> group is present that includes KM-MRF, CL-Otsu, and LA-IK. A lower </w:t>
      </w:r>
      <m:oMath>
        <m:r>
          <w:rPr>
            <w:rFonts w:ascii="Cambria Math" w:hAnsi="Cambria Math"/>
          </w:rPr>
          <m:t>k</m:t>
        </m:r>
      </m:oMath>
      <w:r w:rsidRPr="001E0DDF">
        <w:t xml:space="preserve">  grouping also present and includes EN-Brink, HS-Rosin, HS-YASA methods, and EN-Yen.   The high </w:t>
      </w:r>
      <m:oMath>
        <m:r>
          <w:rPr>
            <w:rFonts w:ascii="Cambria Math" w:hAnsi="Cambria Math"/>
          </w:rPr>
          <m:t>k</m:t>
        </m:r>
      </m:oMath>
      <w:r w:rsidRPr="001E0DDF">
        <w:t xml:space="preserve"> group over predicted permeability by up to 3(O) in for all sections. Sections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lastRenderedPageBreak/>
        <w:t>KC Model results follow similar trends for C7, C8, and C9.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These methods were limited by only returning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This suggests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presented a thorough study identifying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accepted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trends of data are observed within the KC data.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 xml:space="preserve">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w:t>
      </w:r>
      <w:r w:rsidRPr="001E0DDF">
        <w:lastRenderedPageBreak/>
        <w:t>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 All laboratory methods have intrinsic limitations.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Pr="001E0DDF">
        <w:rPr>
          <w:rFonts w:eastAsiaTheme="minorEastAsia"/>
        </w:rPr>
        <w:t>C7 and C8. Laboratory results show slightly less than a 1:1 ratio between harmonic mean permeability and the permeability of the intact soil columns (Table 1).</w:t>
      </w:r>
    </w:p>
    <w:p w:rsidR="00680A84" w:rsidRPr="001E0DDF" w:rsidRDefault="00680A84" w:rsidP="00680A84">
      <w:r w:rsidRPr="001E0DDF">
        <w:t xml:space="preserve">A soil water characteristic curve was taken for a representative soil core from the same floodplain grazing site as C3,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macropores</w:t>
      </w:r>
      <w:proofErr w:type="spellEnd"/>
      <w:r w:rsidRPr="001E0DDF">
        <w:t xml:space="preserve"> are responsible for transmitting the majority of fluid through the models.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 xml:space="preserve">7 </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may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w:t>
      </w:r>
      <w:r w:rsidRPr="001E0DDF">
        <w:lastRenderedPageBreak/>
        <w:t>is used as an example, because there are lattice Boltzmann model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The Kozeny-Carman equation is used as an independent assessment of the CT data, by deriving soil textural parameters directly from the segmented images. Kozeny-Carman predictions, do not match 1:1 with lattice Boltzmann results. Instead KC models produce results that display a much smaller RMSE permeability than LB (Table 6). The assumption of </w:t>
      </w:r>
      <m:oMath>
        <m:r>
          <w:rPr>
            <w:rFonts w:ascii="Cambria Math" w:hAnsi="Cambria Math"/>
          </w:rPr>
          <m:t>G=2</m:t>
        </m:r>
      </m:oMath>
      <w:r w:rsidRPr="001E0DDF">
        <w:t xml:space="preserve"> represents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At very low porosity, small changes in the porosity value displays a significant effect on the permeability value returned by lattice Boltzmann models. The KC equation displays this trend more strongly due to the large influence of the geometric tortuosity at low porosity values (Figure 10).  </w:t>
      </w:r>
    </w:p>
    <w:p w:rsidR="00680A84" w:rsidRPr="001E0DDF"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Torsional rigidity theory shows that an increase in pipe cross sectional area yields an increase in permeability</w:t>
      </w:r>
      <w:r>
        <w:t xml:space="preserve"> (</w:t>
      </w:r>
      <w:proofErr w:type="spellStart"/>
      <w:r w:rsidRPr="001E0DDF">
        <w:rPr>
          <w:i/>
        </w:rPr>
        <w:t>Schlueter</w:t>
      </w:r>
      <w:proofErr w:type="spellEnd"/>
      <w:r w:rsidRPr="001E0DDF">
        <w:rPr>
          <w:i/>
        </w:rPr>
        <w:t xml:space="preserve"> 1995</w:t>
      </w:r>
      <w:r>
        <w:t>)</w:t>
      </w:r>
      <w:r w:rsidRPr="001E0DDF">
        <w:t xml:space="preserve">. </w:t>
      </w:r>
    </w:p>
    <w:p w:rsidR="00680A84" w:rsidRDefault="00680A84" w:rsidP="00680A84">
      <w:r w:rsidRPr="001E0DDF">
        <w:t>Although no optimization between LB and KC model results is applied, a strong correlation is observed in the permeability data</w:t>
      </w:r>
      <w:r>
        <w:t xml:space="preserve"> </w:t>
      </w:r>
      <w:r w:rsidRPr="001E0DDF">
        <w:t xml:space="preserve">(Figure 8). Power regression analysis of the plots </w:t>
      </w:r>
      <m:oMath>
        <m:r>
          <w:rPr>
            <w:rFonts w:ascii="Cambria Math" w:hAnsi="Cambria Math"/>
          </w:rPr>
          <m:t>G =2</m:t>
        </m:r>
      </m:oMath>
      <w:r w:rsidRPr="001E0DDF">
        <w:t xml:space="preserve">  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 study was to identify some of the limitations of modeling permeability from CT data of natural porous media using KC and LB methods. These models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k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Between these two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modeling actual permeability. The KC and LB equation are used to model 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Optimization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lastRenderedPageBreak/>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lastRenderedPageBreak/>
        <w:t>References</w:t>
      </w:r>
    </w:p>
    <w:p w:rsidR="003804CD" w:rsidRPr="003804CD" w:rsidRDefault="003804CD" w:rsidP="003804CD">
      <w:pPr>
        <w:pStyle w:val="Heading2"/>
      </w:pPr>
      <w:r>
        <w:t xml:space="preserve">6.0 </w:t>
      </w:r>
      <w:proofErr w:type="spellStart"/>
      <w:r>
        <w:t>Appendicies</w:t>
      </w:r>
      <w:proofErr w:type="spellEnd"/>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D3414"/>
    <w:rsid w:val="00214284"/>
    <w:rsid w:val="00261ADC"/>
    <w:rsid w:val="002E3FE5"/>
    <w:rsid w:val="002F32C9"/>
    <w:rsid w:val="00374422"/>
    <w:rsid w:val="003804CD"/>
    <w:rsid w:val="003E3A1A"/>
    <w:rsid w:val="00492345"/>
    <w:rsid w:val="004D2B09"/>
    <w:rsid w:val="005271D5"/>
    <w:rsid w:val="00680A84"/>
    <w:rsid w:val="006B1351"/>
    <w:rsid w:val="006C1DAF"/>
    <w:rsid w:val="007262B5"/>
    <w:rsid w:val="0079346D"/>
    <w:rsid w:val="00810C15"/>
    <w:rsid w:val="00912399"/>
    <w:rsid w:val="00A607FA"/>
    <w:rsid w:val="00A91D90"/>
    <w:rsid w:val="00AA331C"/>
    <w:rsid w:val="00B05B00"/>
    <w:rsid w:val="00BC4838"/>
    <w:rsid w:val="00C76C0C"/>
    <w:rsid w:val="00CC2F2F"/>
    <w:rsid w:val="00D27FED"/>
    <w:rsid w:val="00DA3EB8"/>
    <w:rsid w:val="00E4244C"/>
    <w:rsid w:val="00E63440"/>
    <w:rsid w:val="00E75C1A"/>
    <w:rsid w:val="00E91648"/>
    <w:rsid w:val="00ED4DDE"/>
    <w:rsid w:val="00EF1D1F"/>
    <w:rsid w:val="00F0203B"/>
    <w:rsid w:val="00F20B8C"/>
    <w:rsid w:val="00F2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E406-20A3-4CF0-ACA3-E1F4DDA2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19</Pages>
  <Words>9355</Words>
  <Characters>53328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24</cp:revision>
  <dcterms:created xsi:type="dcterms:W3CDTF">2017-11-04T18:33:00Z</dcterms:created>
  <dcterms:modified xsi:type="dcterms:W3CDTF">2017-11-19T01:50:00Z</dcterms:modified>
</cp:coreProperties>
</file>