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however to the use of conservative and non-conservative tracers, which may not be subject to the same suite of </w:t>
      </w:r>
      <w:r>
        <w:lastRenderedPageBreak/>
        <w:t>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proofErr w:type="spellStart"/>
      <w:r w:rsidR="00545024">
        <w:t>Navier</w:t>
      </w:r>
      <w:proofErr w:type="spellEnd"/>
      <w:r w:rsidR="00545024">
        <w:t xml:space="preserve">-Stokes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A778FE"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p w:rsidR="00820E65" w:rsidRDefault="00820E65">
      <w:r>
        <w:t>&lt;</w:t>
      </w:r>
      <w:proofErr w:type="gramStart"/>
      <w:r>
        <w:t>insert</w:t>
      </w:r>
      <w:proofErr w:type="gramEnd"/>
      <w:r>
        <w:t xml:space="preserve"> equation here&gt;</w:t>
      </w:r>
    </w:p>
    <w:p w:rsidR="000E0169" w:rsidRDefault="00E15A1F">
      <w:r>
        <w:lastRenderedPageBreak/>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545024" w:rsidRDefault="007472A0">
      <w:r>
        <w:t>&lt;</w:t>
      </w:r>
      <w:proofErr w:type="gramStart"/>
      <w:r>
        <w:t>insert</w:t>
      </w:r>
      <w:proofErr w:type="gramEnd"/>
      <w:r>
        <w:t xml:space="preserve"> weights here&gt;</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E140B1">
        <w:t xml:space="preserve">is simply the summation of the </w:t>
      </w:r>
      <w:r w:rsidR="007E73E6">
        <w:t>equilibrium</w:t>
      </w:r>
      <w:r w:rsidR="00E140B1">
        <w:t xml:space="preserve"> distribution function</w:t>
      </w:r>
      <w:r w:rsidR="00232C14">
        <w:t xml:space="preserve"> </w:t>
      </w:r>
      <w:r w:rsidR="006B3140">
        <w:t>with regard to each fluid node</w:t>
      </w:r>
      <w:r w:rsidR="002A4981">
        <w:t>.</w:t>
      </w:r>
    </w:p>
    <w:p w:rsidR="002A4981" w:rsidRDefault="002A4981">
      <w:r>
        <w:t xml:space="preserve">&lt;Insert </w:t>
      </w:r>
      <w:proofErr w:type="spellStart"/>
      <w:proofErr w:type="gramStart"/>
      <w:r>
        <w:t>eos</w:t>
      </w:r>
      <w:proofErr w:type="spellEnd"/>
      <w:proofErr w:type="gramEnd"/>
      <w:r>
        <w:t xml:space="preserve"> 1&gt;</w:t>
      </w:r>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7321FC">
      <w:r>
        <w:t>&lt;</w:t>
      </w:r>
      <w:proofErr w:type="gramStart"/>
      <w:r>
        <w:t>insert</w:t>
      </w:r>
      <w:proofErr w:type="gramEnd"/>
      <w:r>
        <w:t xml:space="preserve"> </w:t>
      </w:r>
      <w:proofErr w:type="spellStart"/>
      <w:r>
        <w:t>eos</w:t>
      </w:r>
      <w:proofErr w:type="spellEnd"/>
      <w:r>
        <w:t xml:space="preserve"> 2&gt;</w:t>
      </w:r>
    </w:p>
    <w:p w:rsidR="007321FC" w:rsidRDefault="007321FC">
      <w:bookmarkStart w:id="0" w:name="_GoBack"/>
      <w:bookmarkEnd w:id="0"/>
    </w:p>
    <w:p w:rsidR="002A4981" w:rsidRPr="00E42680" w:rsidRDefault="002A4981"/>
    <w:p w:rsidR="00E42680" w:rsidRPr="00E42680" w:rsidRDefault="00E42680">
      <w:pPr>
        <w:rPr>
          <w:i/>
          <w:u w:val="single"/>
        </w:rPr>
      </w:pPr>
      <w:r w:rsidRPr="00E42680">
        <w:rPr>
          <w:i/>
          <w:u w:val="single"/>
        </w:rPr>
        <w:t>Colloid Transport background:</w:t>
      </w:r>
    </w:p>
    <w:p w:rsidR="00B95675" w:rsidRDefault="00C334ED">
      <w:r>
        <w:t xml:space="preserve"> </w:t>
      </w:r>
      <w:proofErr w:type="spellStart"/>
      <w:proofErr w:type="gramStart"/>
      <w:r w:rsidR="00E42680">
        <w:t>aaa</w:t>
      </w:r>
      <w:proofErr w:type="spellEnd"/>
      <w:proofErr w:type="gramEnd"/>
    </w:p>
    <w:p w:rsidR="00D73779" w:rsidRPr="0014609E" w:rsidRDefault="00D73779"/>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lastRenderedPageBreak/>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lastRenderedPageBreak/>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lastRenderedPageBreak/>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3E1C"/>
    <w:rsid w:val="0014609E"/>
    <w:rsid w:val="00194E6B"/>
    <w:rsid w:val="001A0048"/>
    <w:rsid w:val="001E3ACA"/>
    <w:rsid w:val="001E61A3"/>
    <w:rsid w:val="00232C14"/>
    <w:rsid w:val="00234D79"/>
    <w:rsid w:val="00261AF0"/>
    <w:rsid w:val="002A4981"/>
    <w:rsid w:val="00300D6B"/>
    <w:rsid w:val="00320346"/>
    <w:rsid w:val="00321AA8"/>
    <w:rsid w:val="00332223"/>
    <w:rsid w:val="00352497"/>
    <w:rsid w:val="0035324A"/>
    <w:rsid w:val="0035434D"/>
    <w:rsid w:val="00377737"/>
    <w:rsid w:val="003A2E4E"/>
    <w:rsid w:val="003C326D"/>
    <w:rsid w:val="003D3619"/>
    <w:rsid w:val="004021FE"/>
    <w:rsid w:val="004206E9"/>
    <w:rsid w:val="004417BC"/>
    <w:rsid w:val="004422E1"/>
    <w:rsid w:val="00442A8B"/>
    <w:rsid w:val="00452C39"/>
    <w:rsid w:val="00465688"/>
    <w:rsid w:val="00474EAC"/>
    <w:rsid w:val="004806C5"/>
    <w:rsid w:val="00490897"/>
    <w:rsid w:val="004C0B5B"/>
    <w:rsid w:val="00531C24"/>
    <w:rsid w:val="00537821"/>
    <w:rsid w:val="00545024"/>
    <w:rsid w:val="0055150C"/>
    <w:rsid w:val="00552B55"/>
    <w:rsid w:val="005562DF"/>
    <w:rsid w:val="00556880"/>
    <w:rsid w:val="00571CCC"/>
    <w:rsid w:val="00585BED"/>
    <w:rsid w:val="005B1B4B"/>
    <w:rsid w:val="005E7724"/>
    <w:rsid w:val="005E7A24"/>
    <w:rsid w:val="00606A6C"/>
    <w:rsid w:val="0064727F"/>
    <w:rsid w:val="0065555C"/>
    <w:rsid w:val="006A07E1"/>
    <w:rsid w:val="006A7C73"/>
    <w:rsid w:val="006B3140"/>
    <w:rsid w:val="006C0FA2"/>
    <w:rsid w:val="006C61F7"/>
    <w:rsid w:val="006D7DF6"/>
    <w:rsid w:val="006F40F8"/>
    <w:rsid w:val="006F4334"/>
    <w:rsid w:val="0070008E"/>
    <w:rsid w:val="007022AB"/>
    <w:rsid w:val="00702595"/>
    <w:rsid w:val="0072292B"/>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13289"/>
    <w:rsid w:val="00820E65"/>
    <w:rsid w:val="00824739"/>
    <w:rsid w:val="008325AF"/>
    <w:rsid w:val="00851EF0"/>
    <w:rsid w:val="008A0736"/>
    <w:rsid w:val="008C385F"/>
    <w:rsid w:val="00913916"/>
    <w:rsid w:val="00922188"/>
    <w:rsid w:val="00924820"/>
    <w:rsid w:val="0094125B"/>
    <w:rsid w:val="009800BD"/>
    <w:rsid w:val="00980B6A"/>
    <w:rsid w:val="009862D5"/>
    <w:rsid w:val="009A004A"/>
    <w:rsid w:val="009A0D92"/>
    <w:rsid w:val="009B71AC"/>
    <w:rsid w:val="009C4B1D"/>
    <w:rsid w:val="009D3847"/>
    <w:rsid w:val="009F0CC8"/>
    <w:rsid w:val="00A03AE7"/>
    <w:rsid w:val="00A046F8"/>
    <w:rsid w:val="00A46613"/>
    <w:rsid w:val="00A51818"/>
    <w:rsid w:val="00A778FE"/>
    <w:rsid w:val="00A85EAC"/>
    <w:rsid w:val="00A903D1"/>
    <w:rsid w:val="00AA45DB"/>
    <w:rsid w:val="00AB23D5"/>
    <w:rsid w:val="00AC2E63"/>
    <w:rsid w:val="00AF2CC3"/>
    <w:rsid w:val="00AF4B9B"/>
    <w:rsid w:val="00B02C74"/>
    <w:rsid w:val="00B1375D"/>
    <w:rsid w:val="00B1464A"/>
    <w:rsid w:val="00B205BD"/>
    <w:rsid w:val="00B5470D"/>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CD8"/>
    <w:rsid w:val="00D345C1"/>
    <w:rsid w:val="00D73779"/>
    <w:rsid w:val="00D80CCF"/>
    <w:rsid w:val="00DC2C83"/>
    <w:rsid w:val="00DE6773"/>
    <w:rsid w:val="00E05791"/>
    <w:rsid w:val="00E140B1"/>
    <w:rsid w:val="00E15A1F"/>
    <w:rsid w:val="00E310AA"/>
    <w:rsid w:val="00E4244D"/>
    <w:rsid w:val="00E42680"/>
    <w:rsid w:val="00E604BA"/>
    <w:rsid w:val="00E6514F"/>
    <w:rsid w:val="00E766BB"/>
    <w:rsid w:val="00E92B22"/>
    <w:rsid w:val="00E94395"/>
    <w:rsid w:val="00EA5C0A"/>
    <w:rsid w:val="00EB65AF"/>
    <w:rsid w:val="00EF0500"/>
    <w:rsid w:val="00EF3EEB"/>
    <w:rsid w:val="00EF6C47"/>
    <w:rsid w:val="00F233DB"/>
    <w:rsid w:val="00F30244"/>
    <w:rsid w:val="00F347FE"/>
    <w:rsid w:val="00F45931"/>
    <w:rsid w:val="00F80709"/>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8</Pages>
  <Words>4108</Words>
  <Characters>23418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160</cp:revision>
  <dcterms:created xsi:type="dcterms:W3CDTF">2017-07-14T01:22:00Z</dcterms:created>
  <dcterms:modified xsi:type="dcterms:W3CDTF">2017-07-27T04:26:00Z</dcterms:modified>
</cp:coreProperties>
</file>