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and imbibition can provide direct </w:t>
      </w:r>
      <w:r>
        <w:lastRenderedPageBreak/>
        <w:t xml:space="preserve">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of about modeling: What is the domain of the system defined by my research question? If the domain is field scale, models such as Hydrus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 xml:space="preserve">Pore network models, Level set method, and lattice Boltzmann models have been shown to represent pore scale dynamics in complex systems&lt;refs&gt;.  Sphere and tube pore network models are noted for their relative simplicity and their ability to represent large domains. Grid refinements to multiphase pore network models scale with </w:t>
      </w:r>
      <w:proofErr w:type="gramStart"/>
      <w:r>
        <w:t>O(</w:t>
      </w:r>
      <w:proofErr w:type="gramEnd"/>
      <w:r>
        <w:t>N</w:t>
      </w:r>
      <w:r>
        <w:rPr>
          <w:vertAlign w:val="superscript"/>
        </w:rPr>
        <w:t>3</w:t>
      </w:r>
      <w:r>
        <w:t xml:space="preserve">), which is more computationally efficient than lattice Boltzmann or the level set methods &lt;refs&gt;.  (Line about single phase lattice Boltzmann&gt;. Shan-Chen &lt;year&gt; </w:t>
      </w:r>
      <w:r w:rsidR="00120E45">
        <w:t xml:space="preserve">multiphase, multicomponent </w:t>
      </w:r>
      <w:r>
        <w:t>lattice Boltzmann models 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7121E7" w:rsidP="00D44EB0">
      <w:r>
        <w:t>Counter to its strengths, pore network models have suffered the issue of reproducibility between research groups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r>
        <w:rPr>
          <w:i/>
        </w:rPr>
        <w:t>.</w:t>
      </w:r>
      <w:r>
        <w:t xml:space="preserve"> Realistic microscale drainage and imbibition patterns have not been quantitatively validated against laboratory samples in the papers examined for this review. Qualitative examples of specific interfacial area vs. saturation presented in </w:t>
      </w:r>
      <w:proofErr w:type="spellStart"/>
      <w:r>
        <w:rPr>
          <w:i/>
        </w:rPr>
        <w:t>Joekar-Niasar</w:t>
      </w:r>
      <w:proofErr w:type="spellEnd"/>
      <w:r>
        <w:rPr>
          <w:i/>
        </w:rPr>
        <w:t xml:space="preserve"> </w:t>
      </w:r>
      <w:proofErr w:type="gramStart"/>
      <w:r>
        <w:rPr>
          <w:i/>
        </w:rPr>
        <w:t>et</w:t>
      </w:r>
      <w:proofErr w:type="gramEnd"/>
      <w:r>
        <w:rPr>
          <w:i/>
        </w:rPr>
        <w:t xml:space="preserve">. al. 2008 </w:t>
      </w:r>
      <w:r>
        <w:t xml:space="preserve">over predict specific interfacial area when compared to data from </w:t>
      </w:r>
      <w:proofErr w:type="spellStart"/>
      <w:r>
        <w:rPr>
          <w:i/>
        </w:rPr>
        <w:t>Culligan</w:t>
      </w:r>
      <w:proofErr w:type="spellEnd"/>
      <w:r>
        <w:rPr>
          <w:i/>
        </w:rPr>
        <w:t xml:space="preserve"> </w:t>
      </w:r>
      <w:proofErr w:type="gramStart"/>
      <w:r>
        <w:rPr>
          <w:i/>
        </w:rPr>
        <w:t>et</w:t>
      </w:r>
      <w:proofErr w:type="gramEnd"/>
      <w:r>
        <w:rPr>
          <w:i/>
        </w:rPr>
        <w:t xml:space="preserve">. al. 2006. </w:t>
      </w:r>
      <w:r>
        <w:t xml:space="preserve">Drainage and imbibition curves for SC lattice Boltzmann models of natural porous media closely reflected laboratory results at the wet end for the porous media tested in </w:t>
      </w:r>
      <w:r>
        <w:rPr>
          <w:i/>
        </w:rPr>
        <w:t xml:space="preserve">Porter 2009. </w:t>
      </w:r>
      <w:r>
        <w:t xml:space="preserve">However, the LB method was limited by resolution due to computational demand, and was unable to adequately represent the dry end of the capillary pressure, saturation curve. As indicated previously, lattice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r w:rsidR="00120E45">
        <w:t xml:space="preserve"> &lt;</w:t>
      </w:r>
      <w:proofErr w:type="gramStart"/>
      <w:r w:rsidR="00120E45">
        <w:t>one</w:t>
      </w:r>
      <w:proofErr w:type="gramEnd"/>
      <w:r w:rsidR="00120E45">
        <w:t xml:space="preserve"> to two lines about why lattice Boltzmann is my choice for this project&gt;.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Field scale testing has been limited however to the use of conservative and non-conservative tracers, which may not be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935895" w:rsidRPr="00B82642"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lastRenderedPageBreak/>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4D66D9"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Non-dimensional fluid viscosity is applied to the model through the parametrization of a relaxation time. Adjustments to the relaxation time parameter, effectively alter the shear viscosity and control the progression of the model to equilibrium &lt;refs&gt;.</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&lt;confirm this equation&gt;.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4D66D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4D66D9">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8578B9" w:rsidRDefault="003E4066">
      <w:r>
        <w:lastRenderedPageBreak/>
        <w:t>Multiple relaxation time lattice Boltzmann implementations have been presented by &lt;</w:t>
      </w:r>
      <w:proofErr w:type="spellStart"/>
      <w:r>
        <w:t>Hilpert</w:t>
      </w:r>
      <w:proofErr w:type="spellEnd"/>
      <w:r>
        <w:t>, etc</w:t>
      </w:r>
      <w:proofErr w:type="gramStart"/>
      <w:r>
        <w:t>..</w:t>
      </w:r>
      <w:proofErr w:type="gramEnd"/>
      <w:r>
        <w:t xml:space="preserve">&gt; These methods account for instability in boundary conditions from relaxation times that diverge significantly from 1. Alternative boundary conditions have been developed and can extend the stable range of the relaxation time parameter for fluids &lt;Pan </w:t>
      </w:r>
      <w:proofErr w:type="gramStart"/>
      <w:r>
        <w:t>et</w:t>
      </w:r>
      <w:proofErr w:type="gramEnd"/>
      <w:r>
        <w:t xml:space="preserve">. </w:t>
      </w:r>
      <w:proofErr w:type="gramStart"/>
      <w:r>
        <w:t>al</w:t>
      </w:r>
      <w:proofErr w:type="gramEnd"/>
      <w:r>
        <w:t xml:space="preserve">.&gt;. </w:t>
      </w:r>
    </w:p>
    <w:p w:rsidR="006E5502" w:rsidRDefault="006E5502">
      <w:proofErr w:type="spellStart"/>
      <w:r>
        <w:t>Dimensionalization</w:t>
      </w:r>
      <w:proofErr w:type="spellEnd"/>
      <w:r>
        <w:t xml:space="preserve"> of lattice Boltzmann fluid domains has been covered in some detail by &lt;Sukop, </w:t>
      </w:r>
      <w:proofErr w:type="spellStart"/>
      <w:r>
        <w:t>Hilpert</w:t>
      </w:r>
      <w:proofErr w:type="spellEnd"/>
      <w:r>
        <w:t>&gt;. The relationship between non-dimensional lattice Boltzmann and model dimensions can be derived through the non-dimensional Reynolds number:</w:t>
      </w:r>
    </w:p>
    <w:p w:rsidR="006E5502" w:rsidRDefault="00F811D7">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E5502">
      <w:r>
        <w:t xml:space="preserve">The non-dimensional Reynolds number is assumed to be constant between lattice units and physical units, therefore we can equate a lattice calculation and physical calculation of Reynolds number and solve for the unknown mean fluid velocity in physical units. </w:t>
      </w:r>
    </w:p>
    <w:p w:rsidR="00235F15" w:rsidRPr="00235F15" w:rsidRDefault="004D66D9">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D64095">
      <w:r>
        <w:t xml:space="preserve">CFD methods that rely on defining their fluid flow domain from </w:t>
      </w:r>
      <w:proofErr w:type="spellStart"/>
      <w:r>
        <w:t>binarized</w:t>
      </w:r>
      <w:proofErr w:type="spellEnd"/>
      <w:r>
        <w:t xml:space="preserve"> porous media thin sections and X-ray computed tomography representations may </w:t>
      </w:r>
      <w:r w:rsidR="008656BB">
        <w:t xml:space="preserve">be </w:t>
      </w:r>
      <w:r>
        <w:t xml:space="preserve">limited by </w:t>
      </w:r>
      <w:r w:rsidR="008656BB">
        <w:t xml:space="preserve">image collection and processing methodology &lt;refs&gt;.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source enormous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rsidR="00EA7B0E">
        <w:t xml:space="preserve"> &lt;</w:t>
      </w:r>
      <w:proofErr w:type="spellStart"/>
      <w:r w:rsidR="00EA7B0E">
        <w:t>wildenschild</w:t>
      </w:r>
      <w:proofErr w:type="spellEnd"/>
      <w:r w:rsidR="00EA7B0E">
        <w:t>&gt;</w:t>
      </w:r>
      <w:r w:rsidR="00E42371">
        <w:t>. Dual energy X-ray CT scans and the addition of specific dopants are required to represent organic material in the image collection process</w:t>
      </w:r>
      <w:r w:rsidR="00EA7B0E">
        <w:t xml:space="preserve"> &lt;wildenschild&gt;</w:t>
      </w:r>
      <w:r w:rsidR="00E42371">
        <w:t>. Misrepresentation of organic materials can cause severe overestimations of porosity, connectivity, and permeability. The use of synthetically generated porous media for model development therefore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 xml:space="preserve">Colloid transport through the soil environment is of great interest and importance to soil development processes, contaminant transport, filtration and transport of bio-colloids, and soil nutrient dynamics. The importance of colloidal influence on transport the transport of chemical contaminants and soil nutrients should not be understated. </w:t>
      </w:r>
      <w:r w:rsidR="00887114">
        <w:t xml:space="preserve">Saturated zone contaminant transport models have traditionally been modeled as immobile and mobile phase systems. Translocation and transport of inorganic and organic colloids complicate these models. It has been suggested by multiple researchers that the presence of colloids speeds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lastRenderedPageBreak/>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has been suggested to relate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proofErr w:type="spellStart"/>
      <w:r w:rsidR="003E47C4">
        <w:t>onduits</w:t>
      </w:r>
      <w:proofErr w:type="spellEnd"/>
      <w:r w:rsidR="003E47C4">
        <w:t xml:space="preserve"> experiencing high flow rates [</w:t>
      </w:r>
      <w:proofErr w:type="spellStart"/>
      <w:r w:rsidR="003E47C4">
        <w:rPr>
          <w:i/>
        </w:rPr>
        <w:t>Goppert</w:t>
      </w:r>
      <w:proofErr w:type="spellEnd"/>
      <w:r w:rsidR="003E47C4">
        <w:rPr>
          <w:i/>
        </w:rPr>
        <w:t xml:space="preserve"> 2008</w:t>
      </w:r>
      <w:r w:rsidR="003E47C4">
        <w:t>].</w:t>
      </w:r>
    </w:p>
    <w:p w:rsidR="00804BA7" w:rsidRPr="00EE2F61" w:rsidRDefault="008956A8">
      <w:r>
        <w:t>Increased industrial use of new materials like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 depth dependent relationships are observed with greater deposition in nearest to the inlet region 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proofErr w:type="gramStart"/>
      <w:r w:rsidRPr="00EE2F61">
        <w:rPr>
          <w:i/>
        </w:rPr>
        <w:t>parvum</w:t>
      </w:r>
      <w:proofErr w:type="spellEnd"/>
      <w:r w:rsidRPr="00EE2F61">
        <w:rPr>
          <w:i/>
        </w:rPr>
        <w:t xml:space="preserve"> </w:t>
      </w:r>
      <w:r w:rsidRPr="00EE2F61">
        <w:t xml:space="preserve"> and</w:t>
      </w:r>
      <w:proofErr w:type="gramEnd"/>
      <w:r w:rsidRPr="00EE2F61">
        <w:t xml:space="preserve">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 xml:space="preserve">Sinclair </w:t>
      </w:r>
      <w:proofErr w:type="gramStart"/>
      <w:r w:rsidRPr="00EE2F61">
        <w:rPr>
          <w:i/>
        </w:rPr>
        <w:t>et</w:t>
      </w:r>
      <w:proofErr w:type="gramEnd"/>
      <w:r w:rsidRPr="00EE2F61">
        <w:rPr>
          <w:i/>
        </w:rPr>
        <w: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contaminant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w:t>
      </w:r>
      <w:proofErr w:type="gramStart"/>
      <w:r w:rsidR="0040213E" w:rsidRPr="00EE2F61">
        <w:rPr>
          <w:i/>
        </w:rPr>
        <w:t>et</w:t>
      </w:r>
      <w:proofErr w:type="gramEnd"/>
      <w:r w:rsidR="0040213E" w:rsidRPr="00EE2F61">
        <w:rPr>
          <w:i/>
        </w:rPr>
        <w:t xml:space="preserve">. al. 1982 </w:t>
      </w:r>
      <w:r w:rsidR="0040213E" w:rsidRPr="00EE2F61">
        <w:t xml:space="preserve">summarize the results of a number of field studies of total and fecal coliform transport. They conclude that bacteria can be transported moderate distances up to several hundreds and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studies of </w:t>
      </w:r>
      <w:r w:rsidR="0040213E" w:rsidRPr="00EE2F61">
        <w:rPr>
          <w:i/>
        </w:rPr>
        <w:t xml:space="preserve">E. </w:t>
      </w:r>
      <w:proofErr w:type="gramStart"/>
      <w:r w:rsidR="0040213E" w:rsidRPr="00EE2F61">
        <w:rPr>
          <w:i/>
        </w:rPr>
        <w:t>Coli</w:t>
      </w:r>
      <w:proofErr w:type="gramEnd"/>
      <w:r w:rsidR="0040213E" w:rsidRPr="00EE2F61">
        <w:rPr>
          <w:i/>
        </w:rPr>
        <w:t xml:space="preserve"> </w:t>
      </w:r>
      <w:r w:rsidR="0040213E" w:rsidRPr="00EE2F61">
        <w:t xml:space="preserve">bacteria transport. Even in sandy soils, they conclude that straining </w:t>
      </w:r>
      <w:r w:rsidR="00EE2F61" w:rsidRPr="00EE2F61">
        <w:t>is a significant depositional process.</w:t>
      </w:r>
    </w:p>
    <w:p w:rsidR="00ED0B13" w:rsidRDefault="005A5EEE">
      <w:r>
        <w:t xml:space="preserve">Many field studies apply inverse modeling of the advection dispersion equation (ADE) updated for colloid transport (CDE) [refs]. Application of mobile-immobile [refs] and mobile-immobile-mobile region refinement of the ADE and CDE has also been applied. </w:t>
      </w:r>
      <w:r>
        <w:rPr>
          <w:i/>
        </w:rPr>
        <w:t xml:space="preserve">Bradford </w:t>
      </w:r>
      <w:proofErr w:type="gramStart"/>
      <w:r>
        <w:rPr>
          <w:i/>
        </w:rPr>
        <w:t>et</w:t>
      </w:r>
      <w:proofErr w:type="gramEnd"/>
      <w:r>
        <w:rPr>
          <w:i/>
        </w:rPr>
        <w:t xml:space="preserve">. </w:t>
      </w:r>
      <w:proofErr w:type="gramStart"/>
      <w:r>
        <w:rPr>
          <w:i/>
        </w:rPr>
        <w:t>al</w:t>
      </w:r>
      <w:proofErr w:type="gramEnd"/>
      <w:r>
        <w:rPr>
          <w:i/>
        </w:rPr>
        <w:t>.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w:t>
      </w:r>
      <w:r>
        <w:lastRenderedPageBreak/>
        <w:t xml:space="preserve">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5E43E8" w:rsidRDefault="00593905">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proofErr w:type="gramStart"/>
      <w:r w:rsidR="004F64E9">
        <w:rPr>
          <w:i/>
        </w:rPr>
        <w:t>Gao</w:t>
      </w:r>
      <w:proofErr w:type="gramEnd"/>
      <w:r w:rsidR="004F64E9">
        <w:rPr>
          <w:i/>
        </w:rPr>
        <w:t xml:space="preserve"> </w:t>
      </w:r>
      <w:r w:rsidR="001B0254">
        <w:rPr>
          <w:i/>
        </w:rPr>
        <w:t xml:space="preserve">et. al. </w:t>
      </w:r>
      <w:r w:rsidR="004F64E9">
        <w:rPr>
          <w:i/>
        </w:rPr>
        <w:t>2010</w:t>
      </w:r>
      <w:r w:rsidR="004F64E9">
        <w:t xml:space="preserve"> presents a colloid modeling approach</w:t>
      </w:r>
      <w:r w:rsidR="005E43E8">
        <w:t xml:space="preserve"> which was</w:t>
      </w:r>
      <w:r w:rsidR="001B0254">
        <w:t xml:space="preserve"> updated</w:t>
      </w:r>
      <w:r w:rsidR="004F64E9">
        <w:t xml:space="preserve"> by </w:t>
      </w:r>
      <w:proofErr w:type="spellStart"/>
      <w:r w:rsidR="004F64E9">
        <w:rPr>
          <w:i/>
        </w:rPr>
        <w:t>Qiu</w:t>
      </w:r>
      <w:proofErr w:type="spellEnd"/>
      <w:r w:rsidR="001B0254">
        <w:rPr>
          <w:i/>
        </w:rPr>
        <w:t xml:space="preserve"> </w:t>
      </w:r>
      <w:proofErr w:type="gramStart"/>
      <w:r w:rsidR="001B0254">
        <w:rPr>
          <w:i/>
        </w:rPr>
        <w:t>et</w:t>
      </w:r>
      <w:proofErr w:type="gramEnd"/>
      <w:r w:rsidR="001B0254">
        <w:rPr>
          <w:i/>
        </w:rPr>
        <w:t>. al.</w:t>
      </w:r>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w:t>
      </w:r>
      <w:r w:rsidR="005E43E8">
        <w:rPr>
          <w:i/>
        </w:rPr>
        <w:t xml:space="preserve">Qui 2011 </w:t>
      </w:r>
      <w:r w:rsidR="005E43E8">
        <w:t xml:space="preserve">approach modeling colloids using a Lagrangian trajectory over a unit cell approach. </w:t>
      </w:r>
      <w:r w:rsidR="004F64E9">
        <w:t>This model examined effects of ionic strength on colloid attachment in a glass bead micro-model.</w:t>
      </w:r>
      <w:r w:rsidR="005E43E8">
        <w:t xml:space="preserve"> </w:t>
      </w:r>
    </w:p>
    <w:p w:rsidR="005E43E8" w:rsidRDefault="005E43E8">
      <w:r>
        <w:t xml:space="preserve">A colloid equation of motion is outlined by </w:t>
      </w:r>
      <w:r>
        <w:rPr>
          <w:i/>
        </w:rPr>
        <w:t>Qui 2011</w:t>
      </w:r>
      <w:r>
        <w:t xml:space="preserve"> and can be updated to include gravitational and buoyancy forces </w:t>
      </w:r>
      <w:r w:rsidR="001B0254">
        <w:t>not were not present in this approach:</w:t>
      </w:r>
    </w:p>
    <w:p w:rsidR="00507264" w:rsidRPr="00507264" w:rsidRDefault="004D66D9">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507264" w:rsidRDefault="00507264">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are the mass of colloid and change in colloid velocity with time.</w:t>
      </w:r>
    </w:p>
    <w:p w:rsidR="001B0254" w:rsidRDefault="008257BF">
      <w:r>
        <w:t xml:space="preserve">Colloid drag forces can be calculated in normal and tangential directions as particles move through the system </w:t>
      </w:r>
    </w:p>
    <w:p w:rsidR="008257BF" w:rsidRPr="008257BF" w:rsidRDefault="004D66D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dy</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e>
          </m:d>
          <m:r>
            <w:rPr>
              <w:rFonts w:ascii="Cambria Math" w:hAnsi="Cambria Math"/>
            </w:rPr>
            <m:t xml:space="preserve"> </m:t>
          </m:r>
        </m:oMath>
      </m:oMathPara>
    </w:p>
    <w:p w:rsidR="008257BF" w:rsidRPr="008257BF" w:rsidRDefault="004D66D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dx</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8257BF" w:rsidRDefault="008257BF">
      <w:pPr>
        <w:rPr>
          <w:rFonts w:eastAsiaTheme="minorEastAsia"/>
        </w:rPr>
      </w:pPr>
      <w:r>
        <w:rPr>
          <w:rFonts w:eastAsiaTheme="minorEastAsia"/>
          <w:i/>
        </w:rPr>
        <w:t xml:space="preserve">Gao 2010 </w:t>
      </w:r>
      <w:r>
        <w:rPr>
          <w:rFonts w:eastAsiaTheme="minorEastAsia"/>
        </w:rPr>
        <w:t xml:space="preserve">defines the hydrodynamic force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rPr>
          <w:rFonts w:eastAsiaTheme="minorEastAsia"/>
        </w:rPr>
        <w:t xml:space="preserve"> as</w:t>
      </w:r>
    </w:p>
    <w:p w:rsidR="008257BF" w:rsidRPr="004E0C61" w:rsidRDefault="004D66D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=1.0-0.433</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-1.299</m:t>
                  </m:r>
                  <m:acc>
                    <m:accPr>
                      <m:chr m:val="̅"/>
                      <m:ctrlPr>
                        <w:rPr>
                          <w:rFonts w:ascii="Cambria Math" w:hAnsi="Cambria Math"/>
                          <w:i/>
                        </w:rPr>
                      </m:ctrlPr>
                    </m:accPr>
                    <m:e>
                      <m:r>
                        <w:rPr>
                          <w:rFonts w:ascii="Cambria Math" w:hAnsi="Cambria Math"/>
                        </w:rPr>
                        <m:t>h</m:t>
                      </m:r>
                    </m:e>
                  </m:acc>
                </m:e>
              </m:d>
            </m:e>
          </m:func>
          <m:r>
            <w:rPr>
              <w:rFonts w:ascii="Cambria Math" w:hAnsi="Cambria Math"/>
            </w:rPr>
            <m:t>-0.5568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-0.32</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0.75</m:t>
                      </m:r>
                    </m:sup>
                  </m:sSup>
                </m:e>
              </m:d>
            </m:e>
          </m:func>
        </m:oMath>
      </m:oMathPara>
    </w:p>
    <w:p w:rsidR="004E0C61" w:rsidRPr="001B0254" w:rsidRDefault="004D66D9" w:rsidP="004E0C6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=1.0+1.455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-1.256</m:t>
                  </m:r>
                  <m:acc>
                    <m:accPr>
                      <m:chr m:val="̅"/>
                      <m:ctrlPr>
                        <w:rPr>
                          <w:rFonts w:ascii="Cambria Math" w:hAnsi="Cambria Math"/>
                          <w:i/>
                        </w:rPr>
                      </m:ctrlPr>
                    </m:accPr>
                    <m:e>
                      <m:r>
                        <w:rPr>
                          <w:rFonts w:ascii="Cambria Math" w:hAnsi="Cambria Math"/>
                        </w:rPr>
                        <m:t>h</m:t>
                      </m:r>
                    </m:e>
                  </m:acc>
                </m:e>
              </m:d>
            </m:e>
          </m:func>
          <m:r>
            <w:rPr>
              <w:rFonts w:ascii="Cambria Math" w:hAnsi="Cambria Math"/>
            </w:rPr>
            <m:t>+0.7951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-0.56</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4D66D9" w:rsidP="004E0C61">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=1.0-0.487</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-5.432</m:t>
                  </m:r>
                  <m:acc>
                    <m:accPr>
                      <m:chr m:val="̅"/>
                      <m:ctrlPr>
                        <w:rPr>
                          <w:rFonts w:ascii="Cambria Math" w:hAnsi="Cambria Math"/>
                          <w:i/>
                        </w:rPr>
                      </m:ctrlPr>
                    </m:accPr>
                    <m:e>
                      <m:r>
                        <w:rPr>
                          <w:rFonts w:ascii="Cambria Math" w:hAnsi="Cambria Math"/>
                        </w:rPr>
                        <m:t>h</m:t>
                      </m:r>
                    </m:e>
                  </m:acc>
                </m:e>
              </m:d>
            </m:e>
          </m:func>
          <m:r>
            <w:rPr>
              <w:rFonts w:ascii="Cambria Math" w:hAnsi="Cambria Math"/>
            </w:rPr>
            <m:t>-0.5905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-37.83</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4D66D9" w:rsidP="004E0C61">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=1.0-0.35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-0.25</m:t>
                  </m:r>
                  <m:acc>
                    <m:accPr>
                      <m:chr m:val="̅"/>
                      <m:ctrlPr>
                        <w:rPr>
                          <w:rFonts w:ascii="Cambria Math" w:hAnsi="Cambria Math"/>
                          <w:i/>
                        </w:rPr>
                      </m:ctrlPr>
                    </m:accPr>
                    <m:e>
                      <m:r>
                        <w:rPr>
                          <w:rFonts w:ascii="Cambria Math" w:hAnsi="Cambria Math"/>
                        </w:rPr>
                        <m:t>h</m:t>
                      </m:r>
                    </m:e>
                  </m:acc>
                </m:e>
              </m:d>
            </m:e>
          </m:func>
          <m:r>
            <w:rPr>
              <w:rFonts w:ascii="Cambria Math" w:hAnsi="Cambria Math"/>
            </w:rPr>
            <m:t>-0.40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-10.0</m:t>
                  </m:r>
                  <m:acc>
                    <m:accPr>
                      <m:chr m:val="̅"/>
                      <m:ctrlPr>
                        <w:rPr>
                          <w:rFonts w:ascii="Cambria Math" w:hAnsi="Cambria Math"/>
                          <w:i/>
                        </w:rPr>
                      </m:ctrlPr>
                    </m:accPr>
                    <m:e>
                      <m:r>
                        <w:rPr>
                          <w:rFonts w:ascii="Cambria Math" w:hAnsi="Cambria Math"/>
                        </w:rPr>
                        <m:t>h</m:t>
                      </m:r>
                    </m:e>
                  </m:acc>
                </m:e>
              </m:d>
            </m:e>
          </m:func>
        </m:oMath>
      </m:oMathPara>
    </w:p>
    <w:p w:rsidR="005E43E8" w:rsidRDefault="00507264">
      <w:pPr>
        <w:rPr>
          <w:rFonts w:eastAsiaTheme="minorEastAsia"/>
        </w:rPr>
      </w:pPr>
      <w:r>
        <w:t xml:space="preserve">The non-dimensional gap distance </w:t>
      </w:r>
      <m:oMath>
        <m:acc>
          <m:accPr>
            <m:chr m:val="̅"/>
            <m:ctrlPr>
              <w:rPr>
                <w:rFonts w:ascii="Cambria Math" w:hAnsi="Cambria Math"/>
                <w:i/>
              </w:rPr>
            </m:ctrlPr>
          </m:accPr>
          <m:e>
            <m:r>
              <w:rPr>
                <w:rFonts w:ascii="Cambria Math" w:hAnsi="Cambria Math"/>
              </w:rPr>
              <m:t>h</m:t>
            </m:r>
          </m:e>
        </m:acc>
      </m:oMath>
      <w:r>
        <w:rPr>
          <w:rFonts w:eastAsiaTheme="minorEastAsia"/>
        </w:rPr>
        <w:t xml:space="preserve"> describes the distance between colloid and surface normalized by the colloid radius. Colloid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xml:space="preserve"> along with </w:t>
      </w:r>
      <m:oMath>
        <m:r>
          <w:rPr>
            <w:rFonts w:ascii="Cambria Math" w:eastAsiaTheme="minorEastAsia" w:hAnsi="Cambria Math"/>
          </w:rPr>
          <m:t>ξ=6πμ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complete the drag force calculation where </w:t>
      </w:r>
      <m:oMath>
        <m:r>
          <w:rPr>
            <w:rFonts w:ascii="Cambria Math" w:eastAsiaTheme="minorEastAsia" w:hAnsi="Cambria Math"/>
          </w:rPr>
          <m:t>μ</m:t>
        </m:r>
      </m:oMath>
      <w:r>
        <w:rPr>
          <w:rFonts w:eastAsiaTheme="minorEastAsia"/>
        </w:rPr>
        <w:t xml:space="preserve"> is the fluid viscosity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is the colloid radius. </w:t>
      </w:r>
    </w:p>
    <w:p w:rsidR="00F2029E" w:rsidRDefault="00F2029E">
      <w:r>
        <w:t xml:space="preserve">Gravity and buoyancy </w:t>
      </w:r>
      <w:r w:rsidR="00AE2FFF">
        <w:t>forces are calculated as</w:t>
      </w:r>
    </w:p>
    <w:p w:rsidR="00AE2FFF" w:rsidRPr="00AE2FFF" w:rsidRDefault="004D66D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AE2FFF" w:rsidRDefault="004D66D9">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AE2FFF" w:rsidRDefault="00AE2FFF">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gravity. </w:t>
      </w:r>
    </w:p>
    <w:p w:rsidR="009568A6" w:rsidRDefault="009568A6">
      <w:pPr>
        <w:rPr>
          <w:rFonts w:eastAsiaTheme="minorEastAsia"/>
        </w:rPr>
      </w:pPr>
      <w:r>
        <w:rPr>
          <w:rFonts w:eastAsiaTheme="minorEastAsia"/>
        </w:rPr>
        <w:t>Dispersive processes can be represented through Brownian motion. Brownian motion describes the random movement of an object due to collision and bombardment from fast moving atoms [</w:t>
      </w:r>
      <w:r>
        <w:rPr>
          <w:rFonts w:eastAsiaTheme="minorEastAsia"/>
          <w:i/>
        </w:rPr>
        <w:t>Qui 2011</w:t>
      </w:r>
      <w:r>
        <w:rPr>
          <w:rFonts w:eastAsiaTheme="minorEastAsia"/>
        </w:rPr>
        <w:t xml:space="preserve">]. </w:t>
      </w:r>
    </w:p>
    <w:p w:rsidR="009568A6" w:rsidRPr="009568A6" w:rsidRDefault="004D66D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dt</m:t>
                  </m:r>
                </m:den>
              </m:f>
            </m:e>
          </m:rad>
          <m:r>
            <w:rPr>
              <w:rFonts w:ascii="Cambria Math" w:eastAsiaTheme="minorEastAsia" w:hAnsi="Cambria Math"/>
            </w:rPr>
            <m:t>G(0, 1)</m:t>
          </m:r>
        </m:oMath>
      </m:oMathPara>
    </w:p>
    <w:p w:rsidR="009568A6" w:rsidRPr="00E2273F" w:rsidRDefault="004D66D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dt</m:t>
                  </m:r>
                </m:den>
              </m:f>
            </m:e>
          </m:rad>
          <m:r>
            <w:rPr>
              <w:rFonts w:ascii="Cambria Math" w:eastAsiaTheme="minorEastAsia" w:hAnsi="Cambria Math"/>
            </w:rPr>
            <m:t>G(0, 1)</m:t>
          </m:r>
        </m:oMath>
      </m:oMathPara>
    </w:p>
    <w:p w:rsidR="00E2273F" w:rsidRPr="00E2273F" w:rsidRDefault="004D66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ξ</m:t>
              </m:r>
            </m:den>
          </m:f>
        </m:oMath>
      </m:oMathPara>
    </w:p>
    <w:p w:rsidR="00E2273F" w:rsidRPr="00E2273F" w:rsidRDefault="00E2273F">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kT</m:t>
        </m:r>
      </m:oMath>
      <w:r>
        <w:rPr>
          <w:rFonts w:eastAsiaTheme="minorEastAsia"/>
        </w:rPr>
        <w:t xml:space="preserve"> is the product of the Boltzmann constant and temperature in Kelvin. </w:t>
      </w:r>
      <m:oMath>
        <m:r>
          <w:rPr>
            <w:rFonts w:ascii="Cambria Math" w:eastAsiaTheme="minorEastAsia" w:hAnsi="Cambria Math"/>
          </w:rPr>
          <m:t>G(0, 1)</m:t>
        </m:r>
      </m:oMath>
      <w:r>
        <w:rPr>
          <w:rFonts w:eastAsiaTheme="minorEastAsia"/>
        </w:rPr>
        <w:t xml:space="preserve"> </w:t>
      </w:r>
      <w:proofErr w:type="gramStart"/>
      <w:r>
        <w:rPr>
          <w:rFonts w:eastAsiaTheme="minorEastAsia"/>
        </w:rPr>
        <w:t>represents</w:t>
      </w:r>
      <w:proofErr w:type="gramEnd"/>
      <w:r>
        <w:rPr>
          <w:rFonts w:eastAsiaTheme="minorEastAsia"/>
        </w:rPr>
        <w:t xml:space="preserve"> a random Gaussian distribution whose mean is zero and standard deviation is one. </w:t>
      </w:r>
    </w:p>
    <w:p w:rsidR="00F2029E" w:rsidRPr="00EA36AA" w:rsidRDefault="00EA36AA">
      <w:r>
        <w:t>Chemical forces are split into three terms representing the major components of DLVO theory, electric double layer repulsion (EDL), Lifshitz-van der Waals (VDW), and Lewis acid-base (LAB). The chemical force term for colloid-surface interaction is [</w:t>
      </w:r>
      <w:r>
        <w:rPr>
          <w:i/>
        </w:rPr>
        <w:t>Qui 2011</w:t>
      </w:r>
      <w:r>
        <w:t>]</w:t>
      </w:r>
    </w:p>
    <w:p w:rsidR="00EA36AA" w:rsidRPr="00EA36AA" w:rsidRDefault="00EA36A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EA36AA" w:rsidRDefault="00EA36AA">
      <w:pPr>
        <w:rPr>
          <w:rFonts w:eastAsiaTheme="minorEastAsia"/>
          <w:i/>
        </w:rPr>
      </w:pPr>
      <w:r>
        <w:rPr>
          <w:rFonts w:eastAsiaTheme="minorEastAsia"/>
        </w:rPr>
        <w:t xml:space="preserve">Surface-colloid electrostatic double layer repulsion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al. 1996</w:t>
      </w:r>
    </w:p>
    <w:p w:rsidR="00EA36AA" w:rsidRPr="004D66D9" w:rsidRDefault="00EA36AA">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r>
                                    <w:rPr>
                                      <w:rFonts w:ascii="Cambria Math" w:hAnsi="Cambria Math"/>
                                    </w:rPr>
                                    <m:t>κ</m:t>
                                  </m:r>
                                  <m:r>
                                    <w:rPr>
                                      <w:rFonts w:ascii="Cambria Math" w:hAnsi="Cambria Math"/>
                                    </w:rPr>
                                    <m:t>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r>
                                    <w:rPr>
                                      <w:rFonts w:ascii="Cambria Math" w:hAnsi="Cambria Math"/>
                                    </w:rPr>
                                    <m:t>κ</m:t>
                                  </m:r>
                                  <m:r>
                                    <w:rPr>
                                      <w:rFonts w:ascii="Cambria Math" w:hAnsi="Cambria Math"/>
                                    </w:rPr>
                                    <m:t>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4D66D9" w:rsidRDefault="004D66D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is the dielectric permittivity of a vacuum (8.85 * 10</w:t>
      </w:r>
      <w:r>
        <w:rPr>
          <w:rFonts w:eastAsiaTheme="minorEastAsia"/>
          <w:vertAlign w:val="superscript"/>
        </w:rPr>
        <w:t>-12</w:t>
      </w:r>
      <w:r>
        <w:rPr>
          <w:rFonts w:eastAsiaTheme="minorEastAsia"/>
        </w:rPr>
        <w:t>C</w:t>
      </w:r>
      <w:r>
        <w:rPr>
          <w:rFonts w:eastAsiaTheme="minorEastAsia"/>
          <w:vertAlign w:val="superscript"/>
        </w:rPr>
        <w:t>2</w:t>
      </w:r>
      <w:r>
        <w:rPr>
          <w:rFonts w:eastAsiaTheme="minorEastAsia"/>
        </w:rPr>
        <w:t xml:space="preserve">/(J 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eastAsiaTheme="minorEastAsia"/>
        </w:rPr>
        <w:t xml:space="preserve"> is the dielectric permittivity of the solid phase,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rPr>
          <w:rFonts w:eastAsiaTheme="minorEastAsia"/>
        </w:rPr>
        <w:t xml:space="preserve"> are the surface potential of the porous media and the colloid which are calculated their respective zeta potential </w:t>
      </w:r>
      <m:oMath>
        <m:r>
          <w:rPr>
            <w:rFonts w:ascii="Cambria Math" w:eastAsiaTheme="minorEastAsia" w:hAnsi="Cambria Math"/>
          </w:rPr>
          <m:t>ς</m:t>
        </m:r>
      </m:oMath>
      <w:r>
        <w:rPr>
          <w:rFonts w:eastAsiaTheme="minorEastAsia"/>
        </w:rPr>
        <w:t xml:space="preserve"> as:</w:t>
      </w:r>
    </w:p>
    <w:p w:rsidR="004D66D9" w:rsidRDefault="004D66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κz</m:t>
                  </m:r>
                </m:e>
              </m:d>
            </m:e>
          </m:func>
        </m:oMath>
      </m:oMathPara>
    </w:p>
    <w:p w:rsidR="004D66D9" w:rsidRPr="004D66D9" w:rsidRDefault="004D66D9">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c</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κz</m:t>
                  </m:r>
                </m:e>
              </m:d>
            </m:e>
          </m:func>
        </m:oMath>
      </m:oMathPara>
    </w:p>
    <w:p w:rsidR="004D66D9" w:rsidRDefault="004D66D9">
      <w:pPr>
        <w:rPr>
          <w:rFonts w:eastAsiaTheme="minorEastAsia"/>
        </w:rPr>
      </w:pPr>
      <w:r>
        <w:rPr>
          <w:rFonts w:eastAsiaTheme="minorEastAsia"/>
        </w:rPr>
        <w:t xml:space="preserve">We assume that the thickness of the Stern layer </w:t>
      </w:r>
      <m:oMath>
        <m:r>
          <w:rPr>
            <w:rFonts w:ascii="Cambria Math" w:eastAsiaTheme="minorEastAsia" w:hAnsi="Cambria Math"/>
          </w:rPr>
          <m:t>z</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eastAsiaTheme="minorEastAsia"/>
        </w:rPr>
        <w:t xml:space="preserve"> meters [</w:t>
      </w:r>
      <w:r w:rsidR="00043375">
        <w:rPr>
          <w:rFonts w:eastAsiaTheme="minorEastAsia"/>
          <w:i/>
        </w:rPr>
        <w:t>Interface Sci. and Tech. Vol. 16 Ch. 3</w:t>
      </w:r>
      <w:r w:rsidR="00043375">
        <w:rPr>
          <w:rFonts w:eastAsiaTheme="minorEastAsia"/>
        </w:rPr>
        <w:t>]. The Debye length, which represents the thickness of the diffuse double layer, is then calculated as</w:t>
      </w:r>
    </w:p>
    <w:p w:rsidR="00043375" w:rsidRPr="00043375" w:rsidRDefault="0004337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043375" w:rsidRDefault="00043375">
      <w:pPr>
        <w:rPr>
          <w:rFonts w:eastAsiaTheme="minorEastAsia"/>
        </w:rPr>
      </w:pPr>
      <w:r>
        <w:rPr>
          <w:rFonts w:eastAsiaTheme="minorEastAsia"/>
        </w:rPr>
        <w:t xml:space="preserve">The Boltzmann constant </w:t>
      </w:r>
      <m:oMath>
        <m:r>
          <w:rPr>
            <w:rFonts w:ascii="Cambria Math" w:hAnsi="Cambria Math"/>
          </w:rPr>
          <m:t>k</m:t>
        </m:r>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rPr>
          <w:rFonts w:eastAsiaTheme="minorEastAsia"/>
        </w:rPr>
        <w:t xml:space="preserve">, Avogadro’s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=6.02*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ions</m:t>
            </m:r>
          </m:num>
          <m:den>
            <m:r>
              <w:rPr>
                <w:rFonts w:ascii="Cambria Math" w:eastAsiaTheme="minorEastAsia" w:hAnsi="Cambria Math"/>
              </w:rPr>
              <m:t>mol</m:t>
            </m:r>
          </m:den>
        </m:f>
      </m:oMath>
      <w:r>
        <w:rPr>
          <w:rFonts w:eastAsiaTheme="minorEastAsia"/>
        </w:rPr>
        <w:t xml:space="preserve">, and electron charge </w:t>
      </w:r>
      <m:oMath>
        <m:r>
          <w:rPr>
            <w:rFonts w:ascii="Cambria Math" w:eastAsiaTheme="minorEastAsia" w:hAnsi="Cambria Math"/>
          </w:rPr>
          <m:t>e=</m:t>
        </m:r>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C</m:t>
        </m:r>
      </m:oMath>
      <w:r w:rsidR="00200B12">
        <w:rPr>
          <w:rFonts w:eastAsiaTheme="minorEastAsia"/>
        </w:rPr>
        <w:t xml:space="preserve"> are used to parameterize to Debye length calculation leaving the solvent temperature </w:t>
      </w:r>
      <m:oMath>
        <m:r>
          <w:rPr>
            <w:rFonts w:ascii="Cambria Math" w:eastAsiaTheme="minorEastAsia" w:hAnsi="Cambria Math"/>
          </w:rPr>
          <m:t>T</m:t>
        </m:r>
      </m:oMath>
      <w:r w:rsidR="00200B12">
        <w:rPr>
          <w:rFonts w:eastAsiaTheme="minorEastAsia"/>
        </w:rPr>
        <w:t xml:space="preserve"> and two times the solution ionic strength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00B12">
        <w:rPr>
          <w:rFonts w:eastAsiaTheme="minorEastAsia"/>
        </w:rPr>
        <w:t xml:space="preserve"> to be supplied or calculated.</w:t>
      </w:r>
    </w:p>
    <w:p w:rsidR="00200B12" w:rsidRPr="00200B12" w:rsidRDefault="00200B12">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200B12" w:rsidRDefault="00281A89">
      <w:pPr>
        <w:rPr>
          <w:rFonts w:eastAsiaTheme="minorEastAsia"/>
        </w:rPr>
      </w:pPr>
      <w:r>
        <w:t xml:space="preserve">Ionic strength </w:t>
      </w:r>
      <m:oMath>
        <m:r>
          <w:rPr>
            <w:rFonts w:ascii="Cambria Math" w:hAnsi="Cambria Math"/>
          </w:rPr>
          <m:t>I</m:t>
        </m:r>
      </m:oMath>
      <w:r>
        <w:rPr>
          <w:rFonts w:eastAsiaTheme="minorEastAsia"/>
        </w:rPr>
        <w:t xml:space="preserve"> </w:t>
      </w:r>
      <w:r>
        <w:t xml:space="preserve">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molarity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of each ionic constituent.</w:t>
      </w:r>
    </w:p>
    <w:p w:rsidR="00CF2783" w:rsidRDefault="00CF2783">
      <w:r>
        <w:t>Lifshitz-van der Walls forces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disadvantage of this approach is that it relies on van der Waals surface tension measurement values</w:t>
      </w:r>
      <w:r>
        <w:rPr>
          <w:rFonts w:eastAsiaTheme="minorEastAsia"/>
        </w:rPr>
        <w:t xml:space="preserve"> </w:t>
      </w:r>
      <m:oMath>
        <m:r>
          <w:rPr>
            <w:rFonts w:ascii="Cambria Math" w:hAnsi="Cambria Math"/>
          </w:rPr>
          <m:t>γ</m:t>
        </m:r>
      </m:oMath>
      <w:r w:rsidR="00017156">
        <w:rPr>
          <w:rFonts w:eastAsiaTheme="minorEastAsia"/>
        </w:rPr>
        <w:t xml:space="preserve"> based on wicking studies and electron acceptor parameters </w:t>
      </w:r>
      <m:oMath>
        <m:r>
          <w:rPr>
            <w:rFonts w:ascii="Cambria Math" w:eastAsiaTheme="minorEastAsia" w:hAnsi="Cambria Math"/>
          </w:rPr>
          <m:t>ϱ</m:t>
        </m:r>
      </m:oMath>
      <w:r>
        <w:t xml:space="preserve"> that may not be readily available to the researcher</w:t>
      </w:r>
    </w:p>
    <w:p w:rsidR="00CF2783" w:rsidRPr="00017156" w:rsidRDefault="00CF2783">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VDW</m:t>
              </m:r>
            </m:sub>
          </m:sSub>
          <m:r>
            <w:rPr>
              <w:rFonts w:ascii="Cambria Math" w:hAnsi="Cambria Math"/>
            </w:rPr>
            <m:t>= -</m:t>
          </m:r>
          <m:r>
            <w:rPr>
              <w:rFonts w:ascii="Cambria Math" w:hAnsi="Cambria Math"/>
            </w:rPr>
            <m:t>4π</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h</m:t>
              </m:r>
            </m:den>
          </m:f>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media</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colloid</m:t>
                      </m:r>
                    </m:sub>
                  </m:sSub>
                </m:e>
              </m:rad>
            </m:e>
          </m:d>
        </m:oMath>
      </m:oMathPara>
    </w:p>
    <w:p w:rsidR="00017156" w:rsidRDefault="00017156">
      <m:oMathPara>
        <m:oMath>
          <m:sSub>
            <m:sSubPr>
              <m:ctrlPr>
                <w:rPr>
                  <w:rFonts w:ascii="Cambria Math" w:hAnsi="Cambria Math"/>
                  <w:i/>
                </w:rPr>
              </m:ctrlPr>
            </m:sSubPr>
            <m:e>
              <m:r>
                <w:rPr>
                  <w:rFonts w:ascii="Cambria Math" w:hAnsi="Cambria Math"/>
                </w:rPr>
                <m:t>ϕ</m:t>
              </m:r>
            </m:e>
            <m:sub>
              <m:r>
                <w:rPr>
                  <w:rFonts w:ascii="Cambria Math" w:hAnsi="Cambria Math"/>
                </w:rPr>
                <m:t>LAB</m:t>
              </m:r>
            </m:sub>
          </m:sSub>
          <m:r>
            <w:rPr>
              <w:rFonts w:ascii="Cambria Math" w:hAnsi="Cambria Math"/>
            </w:rPr>
            <m:t>= -4π</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num>
                    <m:den>
                      <m:r>
                        <w:rPr>
                          <w:rFonts w:ascii="Cambria Math" w:hAnsi="Cambria Math"/>
                        </w:rPr>
                        <m:t>χ</m:t>
                      </m:r>
                    </m:den>
                  </m:f>
                </m:e>
              </m:d>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water</m:t>
                      </m:r>
                    </m:sub>
                    <m:sup>
                      <m:r>
                        <w:rPr>
                          <w:rFonts w:ascii="Cambria Math" w:hAnsi="Cambria Math"/>
                        </w:rPr>
                        <m:t>+</m:t>
                      </m:r>
                    </m:sup>
                  </m:sSubSup>
                </m:e>
              </m:rad>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r>
                    <w:rPr>
                      <w:rFonts w:ascii="Cambria Math" w:eastAsiaTheme="minorEastAsia" w:hAnsi="Cambria Math"/>
                    </w:rPr>
                    <m:t xml:space="preserve"> </m:t>
                  </m:r>
                  <m:d>
                    <m:dPr>
                      <m:ctrlPr>
                        <w:rPr>
                          <w:rFonts w:ascii="Cambria Math" w:eastAsiaTheme="minorEastAsia"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m:t>
                      </m:r>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ctrlPr>
                <w:rPr>
                  <w:rFonts w:ascii="Cambria Math" w:eastAsiaTheme="minorEastAsia" w:hAnsi="Cambria Math"/>
                  <w:i/>
                </w:rPr>
              </m:ctrlPr>
            </m:e>
          </m:d>
        </m:oMath>
      </m:oMathPara>
    </w:p>
    <w:p w:rsidR="00CF2783" w:rsidRDefault="00CF2783"/>
    <w:p w:rsidR="00CF2783" w:rsidRDefault="007249E8">
      <w:pPr>
        <w:rPr>
          <w:i/>
        </w:rPr>
      </w:pPr>
      <w:r>
        <w:t>A more flexible option is to combine the attractive interaction energy</w:t>
      </w:r>
      <w:r w:rsidR="00CF2783">
        <w:t xml:space="preserve"> calculations </w:t>
      </w:r>
      <w:r>
        <w:t xml:space="preserve">and estimate the attractive contribution based on </w:t>
      </w:r>
      <w:r>
        <w:rPr>
          <w:i/>
        </w:rPr>
        <w:t xml:space="preserve">Liang </w:t>
      </w:r>
      <w:proofErr w:type="gramStart"/>
      <w:r>
        <w:rPr>
          <w:i/>
        </w:rPr>
        <w:t>et</w:t>
      </w:r>
      <w:proofErr w:type="gramEnd"/>
      <w:r>
        <w:rPr>
          <w:i/>
        </w:rPr>
        <w:t>. al. 2007.</w:t>
      </w:r>
    </w:p>
    <w:p w:rsidR="007249E8" w:rsidRPr="007249E8" w:rsidRDefault="007249E8">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c</m:t>
                              </m:r>
                            </m:sub>
                          </m:sSub>
                        </m:den>
                      </m:f>
                    </m:e>
                  </m:d>
                </m:e>
              </m:func>
            </m:e>
          </m:d>
          <m:r>
            <w:rPr>
              <w:rFonts w:ascii="Cambria Math" w:hAnsi="Cambria Math"/>
            </w:rPr>
            <m:t xml:space="preserve"> </m:t>
          </m:r>
        </m:oMath>
      </m:oMathPara>
      <w:bookmarkStart w:id="0" w:name="_GoBack"/>
      <w:bookmarkEnd w:id="0"/>
    </w:p>
    <w:p w:rsidR="00D244DA" w:rsidRPr="003E47C4" w:rsidRDefault="00CF2783">
      <w:r>
        <w:t xml:space="preserve"> </w:t>
      </w:r>
      <w:r w:rsidR="004F64E9">
        <w:t>Development of a separate extendable colloid transport model, based on lattice Boltzmann fluid dynamics, drawing from the strengths of these works is still necessary though. Release of an open source</w:t>
      </w:r>
      <w:r w:rsidR="00A6229C">
        <w:t xml:space="preserve"> and extendable</w:t>
      </w:r>
      <w:r w:rsidR="004F64E9">
        <w:t xml:space="preserve"> computational fluid dynamic approach to colloid transport has the potential </w:t>
      </w:r>
      <w:r w:rsidR="00A6229C">
        <w:t xml:space="preserve">to evolve based on the strengths and insights of multiple researchers.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w:t>
      </w:r>
      <w:r>
        <w:lastRenderedPageBreak/>
        <w:t xml:space="preserve">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w:t>
      </w:r>
      <w:r w:rsidR="00FF3BFB">
        <w:lastRenderedPageBreak/>
        <w:t xml:space="preserve">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&lt;year&gt; will provide a starting point to explore colloid-surface relationships and identify unknowns that will be provided by the user. Previous colloid transport modeling papers &lt;Qui, Gao</w:t>
      </w:r>
      <w:proofErr w:type="gramStart"/>
      <w:r w:rsidR="00AB23D5">
        <w:t>, ?</w:t>
      </w:r>
      <w:proofErr w:type="gramEnd"/>
      <w:r w:rsidR="00AB23D5">
        <w:t xml:space="preserve">&gt;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lastRenderedPageBreak/>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17156"/>
    <w:rsid w:val="0003124D"/>
    <w:rsid w:val="00033F70"/>
    <w:rsid w:val="00043375"/>
    <w:rsid w:val="000472A9"/>
    <w:rsid w:val="000C00C9"/>
    <w:rsid w:val="000E0169"/>
    <w:rsid w:val="000F5FFF"/>
    <w:rsid w:val="0010010C"/>
    <w:rsid w:val="00110381"/>
    <w:rsid w:val="00120E45"/>
    <w:rsid w:val="00123E1C"/>
    <w:rsid w:val="00132DDC"/>
    <w:rsid w:val="0014609E"/>
    <w:rsid w:val="00194E6B"/>
    <w:rsid w:val="001A0048"/>
    <w:rsid w:val="001A106F"/>
    <w:rsid w:val="001B0254"/>
    <w:rsid w:val="001E3ACA"/>
    <w:rsid w:val="001E61A3"/>
    <w:rsid w:val="00200B12"/>
    <w:rsid w:val="00232C14"/>
    <w:rsid w:val="00234D79"/>
    <w:rsid w:val="00235F15"/>
    <w:rsid w:val="00261AF0"/>
    <w:rsid w:val="00281A89"/>
    <w:rsid w:val="002937F0"/>
    <w:rsid w:val="002A4981"/>
    <w:rsid w:val="00300D6B"/>
    <w:rsid w:val="00320346"/>
    <w:rsid w:val="00321AA8"/>
    <w:rsid w:val="00332223"/>
    <w:rsid w:val="00347356"/>
    <w:rsid w:val="00352497"/>
    <w:rsid w:val="0035324A"/>
    <w:rsid w:val="0035434D"/>
    <w:rsid w:val="00377737"/>
    <w:rsid w:val="003A2E4E"/>
    <w:rsid w:val="003C326D"/>
    <w:rsid w:val="003D3619"/>
    <w:rsid w:val="003E4066"/>
    <w:rsid w:val="003E47C4"/>
    <w:rsid w:val="0040213E"/>
    <w:rsid w:val="004021FE"/>
    <w:rsid w:val="004206E9"/>
    <w:rsid w:val="004417BC"/>
    <w:rsid w:val="004422E1"/>
    <w:rsid w:val="00442A8B"/>
    <w:rsid w:val="00452C39"/>
    <w:rsid w:val="00465688"/>
    <w:rsid w:val="00474EAC"/>
    <w:rsid w:val="00476ABA"/>
    <w:rsid w:val="004806C5"/>
    <w:rsid w:val="00490897"/>
    <w:rsid w:val="004C0B5B"/>
    <w:rsid w:val="004D66D9"/>
    <w:rsid w:val="004E0C61"/>
    <w:rsid w:val="004F64E9"/>
    <w:rsid w:val="00507264"/>
    <w:rsid w:val="00531C24"/>
    <w:rsid w:val="00537821"/>
    <w:rsid w:val="00545024"/>
    <w:rsid w:val="0055150C"/>
    <w:rsid w:val="00552B55"/>
    <w:rsid w:val="005562DF"/>
    <w:rsid w:val="00556880"/>
    <w:rsid w:val="00571CCC"/>
    <w:rsid w:val="00585BED"/>
    <w:rsid w:val="00593905"/>
    <w:rsid w:val="005A5EEE"/>
    <w:rsid w:val="005B1B4B"/>
    <w:rsid w:val="005C54F4"/>
    <w:rsid w:val="005E43E8"/>
    <w:rsid w:val="005E7724"/>
    <w:rsid w:val="005E7A24"/>
    <w:rsid w:val="00606A6C"/>
    <w:rsid w:val="0064727F"/>
    <w:rsid w:val="0065555C"/>
    <w:rsid w:val="006A07E1"/>
    <w:rsid w:val="006A7C73"/>
    <w:rsid w:val="006B3140"/>
    <w:rsid w:val="006C0FA2"/>
    <w:rsid w:val="006C61F7"/>
    <w:rsid w:val="006D7DF6"/>
    <w:rsid w:val="006E5502"/>
    <w:rsid w:val="006F1AFE"/>
    <w:rsid w:val="006F40F8"/>
    <w:rsid w:val="006F4334"/>
    <w:rsid w:val="0070008E"/>
    <w:rsid w:val="007022AB"/>
    <w:rsid w:val="00702595"/>
    <w:rsid w:val="007121E7"/>
    <w:rsid w:val="00716CF0"/>
    <w:rsid w:val="0072292B"/>
    <w:rsid w:val="007249E8"/>
    <w:rsid w:val="00726452"/>
    <w:rsid w:val="007321FC"/>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04BA7"/>
    <w:rsid w:val="00813289"/>
    <w:rsid w:val="00820E65"/>
    <w:rsid w:val="00824739"/>
    <w:rsid w:val="008257BF"/>
    <w:rsid w:val="008261A1"/>
    <w:rsid w:val="008325AF"/>
    <w:rsid w:val="00851EF0"/>
    <w:rsid w:val="008578B9"/>
    <w:rsid w:val="00864128"/>
    <w:rsid w:val="008656BB"/>
    <w:rsid w:val="00887114"/>
    <w:rsid w:val="008956A8"/>
    <w:rsid w:val="008A0736"/>
    <w:rsid w:val="008C385F"/>
    <w:rsid w:val="00913916"/>
    <w:rsid w:val="00922188"/>
    <w:rsid w:val="00924820"/>
    <w:rsid w:val="00935895"/>
    <w:rsid w:val="00941113"/>
    <w:rsid w:val="0094125B"/>
    <w:rsid w:val="009568A6"/>
    <w:rsid w:val="009800BD"/>
    <w:rsid w:val="00980B6A"/>
    <w:rsid w:val="009862D5"/>
    <w:rsid w:val="009A004A"/>
    <w:rsid w:val="009A0D92"/>
    <w:rsid w:val="009B71AC"/>
    <w:rsid w:val="009C4B1D"/>
    <w:rsid w:val="009D3847"/>
    <w:rsid w:val="009F0CC8"/>
    <w:rsid w:val="009F5053"/>
    <w:rsid w:val="00A03AE7"/>
    <w:rsid w:val="00A046F8"/>
    <w:rsid w:val="00A37193"/>
    <w:rsid w:val="00A46613"/>
    <w:rsid w:val="00A51818"/>
    <w:rsid w:val="00A6229C"/>
    <w:rsid w:val="00A778FE"/>
    <w:rsid w:val="00A85EAC"/>
    <w:rsid w:val="00A903D1"/>
    <w:rsid w:val="00AA45DB"/>
    <w:rsid w:val="00AB23D5"/>
    <w:rsid w:val="00AC2E63"/>
    <w:rsid w:val="00AE2FFF"/>
    <w:rsid w:val="00AF2CC3"/>
    <w:rsid w:val="00AF4B9B"/>
    <w:rsid w:val="00B02C74"/>
    <w:rsid w:val="00B1375D"/>
    <w:rsid w:val="00B1464A"/>
    <w:rsid w:val="00B205BD"/>
    <w:rsid w:val="00B21583"/>
    <w:rsid w:val="00B52067"/>
    <w:rsid w:val="00B5470D"/>
    <w:rsid w:val="00B82642"/>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2783"/>
    <w:rsid w:val="00CF3E60"/>
    <w:rsid w:val="00D04EC0"/>
    <w:rsid w:val="00D0659D"/>
    <w:rsid w:val="00D12205"/>
    <w:rsid w:val="00D17B03"/>
    <w:rsid w:val="00D17CD8"/>
    <w:rsid w:val="00D244DA"/>
    <w:rsid w:val="00D345C1"/>
    <w:rsid w:val="00D44EB0"/>
    <w:rsid w:val="00D64095"/>
    <w:rsid w:val="00D73779"/>
    <w:rsid w:val="00D80CCF"/>
    <w:rsid w:val="00DA3F14"/>
    <w:rsid w:val="00DC2C83"/>
    <w:rsid w:val="00DE6773"/>
    <w:rsid w:val="00E05791"/>
    <w:rsid w:val="00E140B1"/>
    <w:rsid w:val="00E15A1F"/>
    <w:rsid w:val="00E2085E"/>
    <w:rsid w:val="00E2273F"/>
    <w:rsid w:val="00E310AA"/>
    <w:rsid w:val="00E42371"/>
    <w:rsid w:val="00E4244D"/>
    <w:rsid w:val="00E42680"/>
    <w:rsid w:val="00E604BA"/>
    <w:rsid w:val="00E6514F"/>
    <w:rsid w:val="00E766BB"/>
    <w:rsid w:val="00E92B22"/>
    <w:rsid w:val="00E94395"/>
    <w:rsid w:val="00EA36AA"/>
    <w:rsid w:val="00EA5C0A"/>
    <w:rsid w:val="00EA7B0E"/>
    <w:rsid w:val="00EB65AF"/>
    <w:rsid w:val="00ED0B13"/>
    <w:rsid w:val="00EE2F61"/>
    <w:rsid w:val="00EF0500"/>
    <w:rsid w:val="00EF3EEB"/>
    <w:rsid w:val="00EF6C47"/>
    <w:rsid w:val="00F05858"/>
    <w:rsid w:val="00F2029E"/>
    <w:rsid w:val="00F233DB"/>
    <w:rsid w:val="00F30244"/>
    <w:rsid w:val="00F347FE"/>
    <w:rsid w:val="00F45931"/>
    <w:rsid w:val="00F74343"/>
    <w:rsid w:val="00F75890"/>
    <w:rsid w:val="00F80709"/>
    <w:rsid w:val="00F811D7"/>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4A59-9D9E-4758-863A-C9A78478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14</Pages>
  <Words>6999</Words>
  <Characters>39897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204</cp:revision>
  <dcterms:created xsi:type="dcterms:W3CDTF">2017-07-14T01:22:00Z</dcterms:created>
  <dcterms:modified xsi:type="dcterms:W3CDTF">2017-08-07T03:01:00Z</dcterms:modified>
</cp:coreProperties>
</file>