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many academic disciplines</w:t>
      </w:r>
      <w:r w:rsidR="00AC2E63">
        <w:t>. P</w:t>
      </w:r>
      <w:r>
        <w:t xml:space="preserve">roducts such as whipped cream, </w:t>
      </w:r>
      <w:r w:rsidR="00AC2E63">
        <w:t xml:space="preserve">a foam created by </w:t>
      </w:r>
      <w:r>
        <w:t xml:space="preserve">air suspended </w:t>
      </w:r>
      <w:r w:rsidR="00AC2E63">
        <w:t>in a liquid due to the stability of milk fat, and mayonnaise which is a stable emulsion of oil, egg yolk, and vinegar can be found in many households. Geological materials such as pumice and scoria are considered solid foams, gas suspended in a solid, and are used in industrial settings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a bodily fluid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Much theoretical research has been completed in the field of colloid physical and chemical transport dynamics. Knowledge of colloid transport and collection efficiency is critical to understanding the transport of emerging contaminants and environmental pathogens. Chemical interactions and the associated resulting from these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the hydrological system. Hydrus1d</w:t>
      </w:r>
      <w:r w:rsidR="007E0BFF">
        <w:t xml:space="preserve"> is an unsaturated zone modeling tool which</w:t>
      </w:r>
      <w:r w:rsidR="004806C5">
        <w:t xml:space="preserve"> assumes one dimensional flow and applies</w:t>
      </w:r>
      <w:r w:rsidR="007E0BFF">
        <w:t xml:space="preserve"> the advection</w:t>
      </w:r>
      <w:r>
        <w:t>-dispersion equation with macroscopic parameters describing these processes</w:t>
      </w:r>
      <w:r w:rsidR="004806C5">
        <w:t>.</w:t>
      </w:r>
      <w:r w:rsidR="007E0BFF">
        <w:t xml:space="preserve"> A statistical distribution of particles is generated based upon the advection-dispersion parameters and is returned to the user. MODPATH is a saturated zone particle tracking software to observe particle transport in a three dimensional hydrological system. This tracking tool is limited to advective flow and saturated system. No retardation, diffusion, or dispersion is considered. A small number of pore scale models have been developed to track </w:t>
      </w:r>
      <w:r w:rsidR="00571CCC">
        <w:t>colloid transport in porous media.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physical and chemical 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t>have a course discretization due to a limited</w:t>
      </w:r>
      <w:r w:rsidR="007E0BFF">
        <w:t xml:space="preserve"> number of observation </w:t>
      </w:r>
      <w:r w:rsidR="00571CCC">
        <w:t>accessible</w:t>
      </w:r>
      <w:r w:rsidR="007E0BFF">
        <w:t xml:space="preserve"> wells, piezometers, and near surface monitoring equipment</w:t>
      </w:r>
      <w:r>
        <w:t xml:space="preserve">. Laboratory studies and </w:t>
      </w:r>
      <w:r>
        <w:lastRenderedPageBreak/>
        <w:t xml:space="preserve">numerical models are often used to understand the </w:t>
      </w:r>
      <w:r w:rsidR="007E0BFF">
        <w:t>transport, distribution</w:t>
      </w:r>
      <w:r>
        <w:t>,</w:t>
      </w:r>
      <w:r w:rsidR="007E0BFF">
        <w:t xml:space="preserve"> and</w:t>
      </w:r>
      <w:r>
        <w:t xml:space="preserve"> immobilization</w:t>
      </w:r>
      <w:r w:rsidR="007E0BFF">
        <w:t xml:space="preserve"> mechanisms in a hydrological system. From these studies prediction models can be generated. </w:t>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Redman 2004 suggests that many bacteria can be modeled to a limited extent using colloid dynamics due to their physical size and chemical properties. Bacterial fate and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Elevated nitrate concentrations can be the cause of fatal ailments such as blue baby syndrome </w:t>
      </w:r>
      <w:r w:rsidR="00C334ED">
        <w:t>(</w:t>
      </w:r>
      <w:proofErr w:type="spellStart"/>
      <w:r w:rsidR="00C334ED">
        <w:t>methemoglobinemia</w:t>
      </w:r>
      <w:proofErr w:type="spellEnd"/>
      <w:r w:rsidR="00C334ED">
        <w:t>)</w:t>
      </w:r>
      <w:r w:rsidR="00E604BA">
        <w:t xml:space="preserve"> in young children. </w:t>
      </w:r>
    </w:p>
    <w:p w:rsidR="009800BD" w:rsidRDefault="009800BD">
      <w:r>
        <w:t xml:space="preserve">The purpose of this study is to examine the physical and chemical forces of colloid transport on the micro-scale and determine controlling factors of colloid transport. A significant effort </w:t>
      </w:r>
      <w:r w:rsidR="00D17CD8">
        <w:t>can</w:t>
      </w:r>
      <w:r>
        <w:t xml:space="preserve"> be made to 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B7D84" w:rsidRDefault="00C3418A">
      <w:r>
        <w:t xml:space="preserve">Physical forces describing colloid movement and settling in fluid and porous media are integral to colloid transport. Stokes settling </w:t>
      </w:r>
      <w:r w:rsidR="007C4217">
        <w:t>can be applied to spherical particles with mass</w:t>
      </w:r>
      <w:r>
        <w:t xml:space="preserve"> </w:t>
      </w:r>
      <w:r w:rsidR="007C4217">
        <w:t xml:space="preserve">to describe sedimentation in an undisturbed fluid. </w:t>
      </w:r>
      <w:r w:rsidR="00537821">
        <w:t xml:space="preserve">Gravitational, </w:t>
      </w:r>
      <w:r w:rsidR="00BB7D84">
        <w:t>b</w:t>
      </w:r>
      <w:r w:rsidR="00537821">
        <w:t xml:space="preserve">uoyancy, and </w:t>
      </w:r>
      <w:r w:rsidR="00BB7D84">
        <w:t>v</w:t>
      </w:r>
      <w:r w:rsidR="00537821">
        <w:t xml:space="preserve">iscous drag forces can be used to determine a specific sedimentation velocity for particles of known density and mass. </w:t>
      </w:r>
      <w:r w:rsidR="00BB7D84">
        <w:t>This relationship does not hold in porous media where fluid is rarely static. Drag forces can be extended to account for fluid and colloid velocity. Non dimensional colloid-surface c</w:t>
      </w:r>
      <w:r w:rsidR="00924820">
        <w:t xml:space="preserve">orrection factors presented in </w:t>
      </w:r>
      <w:proofErr w:type="gramStart"/>
      <w:r w:rsidR="00924820" w:rsidRPr="00924820">
        <w:rPr>
          <w:i/>
        </w:rPr>
        <w:t>Gao</w:t>
      </w:r>
      <w:proofErr w:type="gramEnd"/>
      <w:r w:rsidR="00924820" w:rsidRPr="00924820">
        <w:rPr>
          <w:i/>
        </w:rPr>
        <w:t xml:space="preserve"> 2010</w:t>
      </w:r>
      <w:r w:rsidR="00BB7D84">
        <w:t xml:space="preserve"> account for the structure of the porous media in calculating these forces. Fluid velocity vectors must also be accounted for in modeling colloid transport in porous media. </w:t>
      </w:r>
    </w:p>
    <w:p w:rsidR="00E604BA" w:rsidRDefault="00C3418A" w:rsidP="00EB65AF">
      <w:r>
        <w:t xml:space="preserve">Physical forces alone do not describe colloid-colloid interactions or colloid-surface interactions. </w:t>
      </w:r>
      <w:r w:rsidR="00585BED">
        <w:t xml:space="preserve">Development </w:t>
      </w:r>
      <w:r w:rsidR="00556880">
        <w:t xml:space="preserve">of colloid-surface interaction theory has been active since Helmholtz identified an </w:t>
      </w:r>
      <w:r w:rsidR="00556880">
        <w:lastRenderedPageBreak/>
        <w:t>interface between ionic solutions and a charged surface in 1853</w:t>
      </w:r>
      <w:r w:rsidR="003C326D">
        <w:t>.</w:t>
      </w:r>
      <w:r w:rsidR="00320346">
        <w:t xml:space="preserve"> </w:t>
      </w:r>
      <w:r w:rsidR="00556880">
        <w:t xml:space="preserve"> Surface c</w:t>
      </w:r>
      <w:r w:rsidR="003C326D">
        <w:t xml:space="preserve">hemical potentials that define </w:t>
      </w:r>
      <w:r w:rsidR="00556880">
        <w:t xml:space="preserve">surface charge in </w:t>
      </w:r>
      <w:r w:rsidR="003C326D">
        <w:t xml:space="preserve">colloid-colloid and colloid-surface interactions must be represented in colloid transport models. </w:t>
      </w:r>
      <w:r w:rsidR="00556880">
        <w:t>Significant refinement from Helmholtz initial model of surface interactions</w:t>
      </w:r>
      <w:r w:rsidR="00CF3E60">
        <w:t xml:space="preserve"> have provided a base for our modern model of colloid-surface interaction</w:t>
      </w:r>
      <w:r w:rsidR="00556880">
        <w:t xml:space="preserve"> </w:t>
      </w:r>
      <w:r w:rsidR="003C326D">
        <w:t xml:space="preserve">Electric double layer </w:t>
      </w:r>
      <w:r w:rsidR="00585BED">
        <w:t>interaction</w:t>
      </w:r>
      <w:r w:rsidR="003C326D">
        <w:t xml:space="preserve">, Lewis acid-base, and Lifshitz van der Waals forces represent the major contributors </w:t>
      </w:r>
      <w:r w:rsidR="0003124D">
        <w:t xml:space="preserve">to </w:t>
      </w:r>
      <w:r w:rsidR="00CF3E60">
        <w:t xml:space="preserve">the </w:t>
      </w:r>
      <w:r w:rsidR="0003124D">
        <w:t xml:space="preserve">classical </w:t>
      </w:r>
      <w:proofErr w:type="spellStart"/>
      <w:r w:rsidR="0003124D">
        <w:t>D</w:t>
      </w:r>
      <w:r w:rsidR="00556880">
        <w:t>erjaguin</w:t>
      </w:r>
      <w:proofErr w:type="spellEnd"/>
      <w:r w:rsidR="00556880">
        <w:t xml:space="preserve"> and </w:t>
      </w:r>
      <w:r w:rsidR="0003124D">
        <w:t>L</w:t>
      </w:r>
      <w:r w:rsidR="00556880">
        <w:t xml:space="preserve">andau, </w:t>
      </w:r>
      <w:proofErr w:type="spellStart"/>
      <w:r w:rsidR="0003124D">
        <w:t>V</w:t>
      </w:r>
      <w:r w:rsidR="00556880">
        <w:t>erwey</w:t>
      </w:r>
      <w:proofErr w:type="spellEnd"/>
      <w:r w:rsidR="00556880">
        <w:t xml:space="preserve"> and </w:t>
      </w:r>
      <w:proofErr w:type="spellStart"/>
      <w:r w:rsidR="0003124D">
        <w:t>O</w:t>
      </w:r>
      <w:r w:rsidR="00556880">
        <w:t>verbeek</w:t>
      </w:r>
      <w:proofErr w:type="spellEnd"/>
      <w:r w:rsidR="00556880">
        <w:t xml:space="preserve"> (DLVO)</w:t>
      </w:r>
      <w:r w:rsidR="0003124D">
        <w:t xml:space="preserve"> interactions. Representation of these micro-scale forces can provide insight into the dispersivity of colloids in a porous media. The inclusion of random motion defi</w:t>
      </w:r>
      <w:r w:rsidR="00EB65AF">
        <w:t>ned by a random walk algorithm and</w:t>
      </w:r>
      <w:r w:rsidR="0003124D">
        <w:t xml:space="preserve"> Brownian motion described by a random Gaussian distribution has been used to describe Dispersivity, the random diffusion of particles by heat and solute gradient or collision.</w:t>
      </w:r>
      <w:r w:rsidR="0003124D">
        <w:tab/>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chemical forces dictate a colloid’s affinity to be sorbed and stored within a porous media or to be transported?</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models, allows researchers to gain simulate many more scenarios and gain a deeper understanding of their system. Releasing the proposed modeling software as a well-documented packaged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Pr>
          <w:i/>
        </w:rPr>
        <w:t>Gerke</w:t>
      </w:r>
      <w:proofErr w:type="spellEnd"/>
      <w:r>
        <w:rPr>
          <w:i/>
        </w:rPr>
        <w:t xml:space="preserve"> 2006</w:t>
      </w:r>
      <w:r>
        <w:t>]. Preferential flow has been identified as one of the most significant field-scale mechanisms to determine the pollution potential of chemicals [</w:t>
      </w:r>
      <w:r>
        <w:rPr>
          <w:i/>
        </w:rPr>
        <w:t>Kung et. al. 2000</w:t>
      </w:r>
      <w:r>
        <w:t xml:space="preserve">]. Field scale testing has been limited however to the use of conservative and non-conservative tracers, which may not be subject to the same suite of </w:t>
      </w:r>
      <w:r>
        <w:lastRenderedPageBreak/>
        <w:t>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retention in constricting pores and stagnation zones is heavily influenced by the physical and chemical characteristics of the hydrological system and influence the distribution of colloids throughout a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 xml:space="preserve">Most studies have focused on recovering macroscale parameters of colloid transport via laboratory analysis [cite studies]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or stranding in fluid stagnation zones are not visible at the field scale and play an important role in colloid </w:t>
      </w:r>
      <w:r w:rsidR="0035324A">
        <w:t>retention (maybe some numbers?)</w:t>
      </w:r>
      <w:r w:rsidR="009C4B1D">
        <w:t xml:space="preserve"> {Get some refs}.</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51EF0">
        <w:t xml:space="preserve"> of the [</w:t>
      </w:r>
      <w:proofErr w:type="spellStart"/>
      <w:r w:rsidR="00851EF0">
        <w:t>frish</w:t>
      </w:r>
      <w:proofErr w:type="spellEnd"/>
      <w:r w:rsidR="00851EF0">
        <w:t>]</w:t>
      </w:r>
      <w:r w:rsidR="00A85EAC">
        <w:t xml:space="preserve">} lattice gas </w:t>
      </w:r>
      <w:r w:rsidR="00D0659D">
        <w:t xml:space="preserve">automata </w:t>
      </w:r>
      <w:r w:rsidR="0070008E">
        <w:t xml:space="preserve">system. </w:t>
      </w:r>
      <w:r w:rsidR="00110381">
        <w:t xml:space="preserve">Due to </w:t>
      </w:r>
      <w:r w:rsidR="00AA45DB">
        <w:t>the</w:t>
      </w:r>
      <w:r w:rsidR="00D0659D">
        <w:t xml:space="preserve"> </w:t>
      </w:r>
      <w:r w:rsidR="00AA45DB">
        <w:t>discretization</w:t>
      </w:r>
      <w:r w:rsidR="00C312EF">
        <w:t xml:space="preserve"> </w:t>
      </w:r>
      <w:r w:rsidR="007022AB">
        <w:t>processes and application</w:t>
      </w:r>
      <w:r w:rsidR="00C312EF">
        <w:t xml:space="preserve"> of simple bounce back </w:t>
      </w:r>
      <w:r w:rsidR="00AA45DB">
        <w:t xml:space="preserve">rules complex geological structures can be </w:t>
      </w:r>
      <w:r w:rsidR="004206E9">
        <w:t xml:space="preserve">represented. </w:t>
      </w:r>
      <w:r w:rsidR="00BF35D1">
        <w:t xml:space="preserve">Application of either body force </w:t>
      </w:r>
      <w:r w:rsidR="00452C39">
        <w:t xml:space="preserve">of pressure boundary conditions drives flow within the system. </w:t>
      </w:r>
      <w:r w:rsidR="00EF3EEB">
        <w:t xml:space="preserve">Fluid flow is slightly compressible, and has been shown to return an approximation of the </w:t>
      </w:r>
      <w:r w:rsidR="00545024">
        <w:t xml:space="preserve">Navier-Stokes equation upon &lt;&gt; expansion &lt;ref&gt;. </w:t>
      </w:r>
      <w:r w:rsidR="00452C39">
        <w:t xml:space="preserve">Lattice Boltzmann </w:t>
      </w:r>
      <w:r w:rsidR="00545024">
        <w:t>CFD</w:t>
      </w:r>
      <w:r w:rsidR="00452C39">
        <w:t xml:space="preserve"> models have been successfully used to represent fluid flow in both saturated systems, unsaturated systems, heat transport, and macropore</w:t>
      </w:r>
      <w:r w:rsidR="00CC3A4C">
        <w:t xml:space="preserve"> fluid</w:t>
      </w:r>
      <w:r w:rsidR="00452C39">
        <w:t xml:space="preserve"> flow</w:t>
      </w:r>
      <w:r w:rsidR="00CC3A4C">
        <w:t xml:space="preserve"> </w:t>
      </w:r>
      <w:r w:rsidR="00740400">
        <w:t>&lt;refs&gt;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A778FE">
        <w:t>&lt;refs&gt;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5E7724">
        <w:t xml:space="preserve"> unsaturated flow </w:t>
      </w:r>
      <w:r w:rsidR="00EF6C47">
        <w:t>&lt;</w:t>
      </w:r>
      <w:proofErr w:type="spellStart"/>
      <w:r w:rsidR="00EF6C47">
        <w:t>zho</w:t>
      </w:r>
      <w:proofErr w:type="spellEnd"/>
      <w:r w:rsidR="00EF6C47">
        <w:t xml:space="preserve"> he</w:t>
      </w:r>
      <w:proofErr w:type="gramStart"/>
      <w:r w:rsidR="00EF6C47">
        <w:t>&gt;</w:t>
      </w:r>
      <w:r w:rsidR="00B1464A">
        <w:t xml:space="preserve"> </w:t>
      </w:r>
      <w:r w:rsidR="00EF6C47">
        <w:t>.</w:t>
      </w:r>
      <w:proofErr w:type="gramEnd"/>
      <w:r w:rsidR="00EF6C47">
        <w:t xml:space="preserve"> </w:t>
      </w:r>
    </w:p>
    <w:p w:rsidR="00A778FE" w:rsidRDefault="003A2E4E">
      <w:r>
        <w:t>An applied fluid is represente</w:t>
      </w:r>
      <w:r w:rsidR="00BA5915">
        <w:t xml:space="preserve">d as a </w:t>
      </w:r>
      <w:r w:rsidR="00A51818">
        <w:t xml:space="preserve">fluid </w:t>
      </w:r>
      <w:r w:rsidR="00BA5915">
        <w:t>distribution</w:t>
      </w:r>
      <w:r w:rsidR="007C29EA">
        <w:t xml:space="preserve"> of</w:t>
      </w:r>
      <w:r w:rsidR="00A51818">
        <w:t xml:space="preserve"> a numerical density</w:t>
      </w:r>
      <w:r w:rsidR="00B5470D">
        <w:t xml:space="preserve"> representing</w:t>
      </w:r>
      <w:r w:rsidR="007C29EA">
        <w:t xml:space="preserve"> particles</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p w:rsidR="00935895" w:rsidRPr="00935895" w:rsidRDefault="00935895">
      <w:pPr>
        <w:rPr>
          <w:rFonts w:eastAsiaTheme="minorEastAsia"/>
        </w:rPr>
      </w:pPr>
      <m:oMathPara>
        <m:oMath>
          <m:r>
            <w:rPr>
              <w:rFonts w:ascii="Cambria Math" w:hAnsi="Cambria Math"/>
            </w:rPr>
            <m:t xml:space="preserve">  </m:t>
          </m:r>
        </m:oMath>
      </m:oMathPara>
    </w:p>
    <w:p w:rsidR="00935895" w:rsidRPr="00935895" w:rsidRDefault="00935895">
      <w:pPr>
        <w:rPr>
          <w:rFonts w:eastAsiaTheme="minorEastAsia"/>
        </w:rPr>
      </w:pP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lastRenderedPageBreak/>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F05858"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7472A0">
      <w:r>
        <w:t xml:space="preserve">Non-dimensional number density </w:t>
      </w:r>
      <w:r w:rsidR="001A0048">
        <w:t>is calculated from the eq</w:t>
      </w:r>
      <w:r w:rsidR="00232C14">
        <w:t>uilibrium distribution function 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 xml:space="preserve">Momentum density and non-dimensional fluid velocity may also be calculated similarly with the inclusion of by extending the previous equation to include the representative eigenvectors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Non-dimensional fluid viscosity is applied to the model through the parametrization of a relaxation time. Adjustments to the relaxation time parameter, effectively alter the shear viscosity and control the progression of the model to equilibrium &lt;refs&gt;.</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equation &lt;confirm this equation&gt;.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B5206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B52067">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m:oMathPara>
    </w:p>
    <w:p w:rsidR="008578B9" w:rsidRDefault="003E4066">
      <w:r>
        <w:lastRenderedPageBreak/>
        <w:t>Multiple relaxation time lattice Boltzmann implementations have been presented by &lt;</w:t>
      </w:r>
      <w:proofErr w:type="spellStart"/>
      <w:r>
        <w:t>Hilpert</w:t>
      </w:r>
      <w:proofErr w:type="spellEnd"/>
      <w:r>
        <w:t>, etc</w:t>
      </w:r>
      <w:proofErr w:type="gramStart"/>
      <w:r>
        <w:t>..</w:t>
      </w:r>
      <w:proofErr w:type="gramEnd"/>
      <w:r>
        <w:t xml:space="preserve">&gt; These methods account for instability in boundary conditions from relaxation times that diverge significantly from 1. Alternative boundary conditions have been developed and can extend the stable range of the relaxation time parameter for fluids &lt;Pan </w:t>
      </w:r>
      <w:proofErr w:type="gramStart"/>
      <w:r>
        <w:t>et</w:t>
      </w:r>
      <w:proofErr w:type="gramEnd"/>
      <w:r>
        <w:t xml:space="preserve">. </w:t>
      </w:r>
      <w:proofErr w:type="gramStart"/>
      <w:r>
        <w:t>al</w:t>
      </w:r>
      <w:proofErr w:type="gramEnd"/>
      <w:r>
        <w:t xml:space="preserve">.&gt;. </w:t>
      </w:r>
    </w:p>
    <w:p w:rsidR="00D64095" w:rsidRPr="00E42680" w:rsidRDefault="00D64095">
      <w:r>
        <w:t xml:space="preserve">CFD methods that rely on defining their fluid flow domain from </w:t>
      </w:r>
      <w:proofErr w:type="spellStart"/>
      <w:r>
        <w:t>binarized</w:t>
      </w:r>
      <w:proofErr w:type="spellEnd"/>
      <w:r>
        <w:t xml:space="preserve"> porous media thin sections and X-ray computed tomography representations may </w:t>
      </w:r>
      <w:r w:rsidR="008656BB">
        <w:t xml:space="preserve">be </w:t>
      </w:r>
      <w:r>
        <w:t xml:space="preserve">limited by </w:t>
      </w:r>
      <w:r w:rsidR="008656BB">
        <w:t xml:space="preserve">image collection and processing methodology &lt;refs&gt;. Segmentation algorithm choice and optimization technique between researchers has been documented as a source enormous uncertainty in the representation of the skeletal system of porous media &lt;sources&gt;. </w:t>
      </w:r>
      <w:r w:rsidR="00347356">
        <w:t>&lt;et.al.&gt; present porosity values ranging from &lt;x&gt; to &lt;x&gt; of the same porous media segmented in different laboratories using accepted techniques. Currently over 100 segmentation techniques exist</w:t>
      </w:r>
      <w:r w:rsidR="00F75890">
        <w:t xml:space="preserve">, each returning slightly different interpretations of greyscale imagery based </w:t>
      </w:r>
      <w:proofErr w:type="gramStart"/>
      <w:r w:rsidR="00F75890">
        <w:t>it’s</w:t>
      </w:r>
      <w:proofErr w:type="gramEnd"/>
      <w:r w:rsidR="00F75890">
        <w:t xml:space="preserve"> unique optimization function</w:t>
      </w:r>
      <w:bookmarkStart w:id="0" w:name="_GoBack"/>
      <w:bookmarkEnd w:id="0"/>
      <w:r w:rsidR="00347356">
        <w:t xml:space="preserve">. </w:t>
      </w:r>
    </w:p>
    <w:p w:rsidR="00E42680" w:rsidRPr="00E42680" w:rsidRDefault="00E42680">
      <w:pPr>
        <w:rPr>
          <w:i/>
          <w:u w:val="single"/>
        </w:rPr>
      </w:pPr>
      <w:r w:rsidRPr="00E42680">
        <w:rPr>
          <w:i/>
          <w:u w:val="single"/>
        </w:rPr>
        <w:t>Colloid Transport background:</w:t>
      </w:r>
    </w:p>
    <w:p w:rsidR="00B95675" w:rsidRDefault="00C334ED">
      <w:r>
        <w:t xml:space="preserve"> </w:t>
      </w:r>
      <w:proofErr w:type="spellStart"/>
      <w:proofErr w:type="gramStart"/>
      <w:r w:rsidR="00E42680">
        <w:t>aaa</w:t>
      </w:r>
      <w:proofErr w:type="spellEnd"/>
      <w:proofErr w:type="gramEnd"/>
    </w:p>
    <w:p w:rsidR="00D73779" w:rsidRPr="0014609E" w:rsidRDefault="00D73779"/>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&lt; </w:t>
      </w:r>
      <w:proofErr w:type="gramStart"/>
      <w:r>
        <w:t>x</w:t>
      </w:r>
      <w:proofErr w:type="gramEnd"/>
      <w:r>
        <w:t xml:space="preserve">, x, and x&gt; single relaxation time lattice Boltzmann has been shown to return an approximation of the Naiver-Stokes equation. Pan </w:t>
      </w:r>
      <w:proofErr w:type="gramStart"/>
      <w:r>
        <w:t>et</w:t>
      </w:r>
      <w:proofErr w:type="gramEnd"/>
      <w:r>
        <w:t xml:space="preserve">. </w:t>
      </w:r>
      <w:proofErr w:type="gramStart"/>
      <w:r>
        <w:t>al</w:t>
      </w:r>
      <w:proofErr w:type="gramEnd"/>
      <w:r>
        <w:t>.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t>Lattice Boltzmann objective 1:</w:t>
      </w:r>
      <w:r>
        <w:t xml:space="preserve"> Research into binarization schemes from </w:t>
      </w:r>
      <w:r w:rsidR="005B1B4B">
        <w:t>greyscale imagery of CT scan data and the conversion of binary images into fluid domains &lt;sentence fragment rewrite&gt;.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 xml:space="preserve">Research lattice Boltzmann development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w:t>
      </w:r>
      <w:r w:rsidR="00531C24">
        <w:lastRenderedPageBreak/>
        <w:t xml:space="preserve">to be structured in a highly extendable way. Structuring lattice Boltzmann code into a series of object oriented subroutines instead of the traditional 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can provide insight into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 xml:space="preserve">Research particle tracking modeling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 xml:space="preserve">Compatibility with lattice Boltzmann computational may limit the number of modeling approaches that are suitable for this project. </w:t>
      </w:r>
      <w:r w:rsidR="007A59D8">
        <w:t xml:space="preserve">Development of object oriented computer code to handle model grid boundary conditions imposed by the choice of modeling scheme will be created and tested. </w:t>
      </w:r>
    </w:p>
    <w:p w:rsidR="007A59D8" w:rsidRDefault="007A59D8">
      <w:r>
        <w:rPr>
          <w:i/>
        </w:rPr>
        <w:t xml:space="preserve">Colloid code objective 2: </w:t>
      </w:r>
      <w:r w:rsidR="009A004A">
        <w:t xml:space="preserve">Research into the physical forces affecting colloid transport at the microscale will occur. Compilation of physical relationships of colloids in porous media is planned. It is expected that drag forces in a flowing fluid, buoyancy, gravity,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t>Derjaguin</w:t>
      </w:r>
      <w:proofErr w:type="spellEnd"/>
      <w:r w:rsidR="00AB23D5">
        <w:rPr>
          <w:b/>
        </w:rPr>
        <w:t xml:space="preserve"> </w:t>
      </w:r>
      <w:r w:rsidR="00AB23D5">
        <w:t>&lt;year&gt; will provide a starting point to explore colloid-surface relationships and identify unknowns that will be provided by the user. Previous colloid transport modeling papers &lt;Qui, Gao</w:t>
      </w:r>
      <w:proofErr w:type="gramStart"/>
      <w:r w:rsidR="00AB23D5">
        <w:t>, ?</w:t>
      </w:r>
      <w:proofErr w:type="gramEnd"/>
      <w:r w:rsidR="00AB23D5">
        <w:t xml:space="preserve">&gt; will be consulted and mathematical </w:t>
      </w:r>
      <w:r w:rsidR="00AB23D5">
        <w:lastRenderedPageBreak/>
        <w:t xml:space="preserve">relationships from these models will be incorporated as necessary. An object oriented approach to developing colloid-surface interaction code will be developed. It is anticipated that chemistry handbooks of surface forces will need to be consulted during development to parameterize model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t xml:space="preserve">Documentation of all code using PEP8 style guide for python </w:t>
      </w:r>
      <w:r w:rsidR="00F233DB">
        <w:t>and creating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t>Lattice Boltzmann Colloids model validation:</w:t>
      </w:r>
    </w:p>
    <w:p w:rsidR="00F233DB" w:rsidRDefault="004C0B5B">
      <w:r>
        <w:t>Model validation will be performed using a limited number of laboratory collected breakthrough curves. Multiple synthetic media thin sections will be generated digitally that approximate the physical structure 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 xml:space="preserve">Validation consists of &lt;x number&gt;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F80709">
        <w:t xml:space="preserve">to obtain relevant chemical and physical properties of the geological media that laboratory studies were performed on and the colloids. </w:t>
      </w:r>
    </w:p>
    <w:p w:rsidR="004C0B5B" w:rsidRPr="00B205BD" w:rsidRDefault="00B205BD">
      <w:r>
        <w:rPr>
          <w:i/>
        </w:rPr>
        <w:lastRenderedPageBreak/>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erative approach with evaluation or model independent parameter estimation software if appropriate. Optimization will provide a means to identify gaps in the modeling software and assist in evaluating the rigor of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A03AE7" w:rsidRPr="00A03AE7" w:rsidRDefault="00A03AE7"/>
    <w:p w:rsidR="00B02C74" w:rsidRDefault="003D3619">
      <w:pPr>
        <w:rPr>
          <w:b/>
        </w:rPr>
      </w:pPr>
      <w:r>
        <w:rPr>
          <w:b/>
        </w:rPr>
        <w:t>References:</w:t>
      </w:r>
    </w:p>
    <w:p w:rsidR="003D3619" w:rsidRPr="003D3619" w:rsidRDefault="003D3619">
      <w:pPr>
        <w:rPr>
          <w:b/>
        </w:rPr>
      </w:pPr>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3124D"/>
    <w:rsid w:val="000472A9"/>
    <w:rsid w:val="000C00C9"/>
    <w:rsid w:val="000E0169"/>
    <w:rsid w:val="000F5FFF"/>
    <w:rsid w:val="0010010C"/>
    <w:rsid w:val="00110381"/>
    <w:rsid w:val="00123E1C"/>
    <w:rsid w:val="0014609E"/>
    <w:rsid w:val="00194E6B"/>
    <w:rsid w:val="001A0048"/>
    <w:rsid w:val="001E3ACA"/>
    <w:rsid w:val="001E61A3"/>
    <w:rsid w:val="00232C14"/>
    <w:rsid w:val="00234D79"/>
    <w:rsid w:val="00261AF0"/>
    <w:rsid w:val="002A4981"/>
    <w:rsid w:val="00300D6B"/>
    <w:rsid w:val="00320346"/>
    <w:rsid w:val="00321AA8"/>
    <w:rsid w:val="00332223"/>
    <w:rsid w:val="00347356"/>
    <w:rsid w:val="00352497"/>
    <w:rsid w:val="0035324A"/>
    <w:rsid w:val="0035434D"/>
    <w:rsid w:val="00377737"/>
    <w:rsid w:val="003A2E4E"/>
    <w:rsid w:val="003C326D"/>
    <w:rsid w:val="003D3619"/>
    <w:rsid w:val="003E4066"/>
    <w:rsid w:val="004021FE"/>
    <w:rsid w:val="004206E9"/>
    <w:rsid w:val="004417BC"/>
    <w:rsid w:val="004422E1"/>
    <w:rsid w:val="00442A8B"/>
    <w:rsid w:val="00452C39"/>
    <w:rsid w:val="00465688"/>
    <w:rsid w:val="00474EAC"/>
    <w:rsid w:val="004806C5"/>
    <w:rsid w:val="00490897"/>
    <w:rsid w:val="004C0B5B"/>
    <w:rsid w:val="00531C24"/>
    <w:rsid w:val="00537821"/>
    <w:rsid w:val="00545024"/>
    <w:rsid w:val="0055150C"/>
    <w:rsid w:val="00552B55"/>
    <w:rsid w:val="005562DF"/>
    <w:rsid w:val="00556880"/>
    <w:rsid w:val="00571CCC"/>
    <w:rsid w:val="00585BED"/>
    <w:rsid w:val="005B1B4B"/>
    <w:rsid w:val="005E7724"/>
    <w:rsid w:val="005E7A24"/>
    <w:rsid w:val="00606A6C"/>
    <w:rsid w:val="0064727F"/>
    <w:rsid w:val="0065555C"/>
    <w:rsid w:val="006A07E1"/>
    <w:rsid w:val="006A7C73"/>
    <w:rsid w:val="006B3140"/>
    <w:rsid w:val="006C0FA2"/>
    <w:rsid w:val="006C61F7"/>
    <w:rsid w:val="006D7DF6"/>
    <w:rsid w:val="006F40F8"/>
    <w:rsid w:val="006F4334"/>
    <w:rsid w:val="0070008E"/>
    <w:rsid w:val="007022AB"/>
    <w:rsid w:val="00702595"/>
    <w:rsid w:val="00716CF0"/>
    <w:rsid w:val="0072292B"/>
    <w:rsid w:val="00726452"/>
    <w:rsid w:val="007321FC"/>
    <w:rsid w:val="00740400"/>
    <w:rsid w:val="00741D6D"/>
    <w:rsid w:val="007472A0"/>
    <w:rsid w:val="00770073"/>
    <w:rsid w:val="00776EC5"/>
    <w:rsid w:val="00780170"/>
    <w:rsid w:val="00785E22"/>
    <w:rsid w:val="00794E59"/>
    <w:rsid w:val="007A59D8"/>
    <w:rsid w:val="007C29EA"/>
    <w:rsid w:val="007C4217"/>
    <w:rsid w:val="007E0BFF"/>
    <w:rsid w:val="007E73E6"/>
    <w:rsid w:val="00804565"/>
    <w:rsid w:val="00813289"/>
    <w:rsid w:val="00820E65"/>
    <w:rsid w:val="00824739"/>
    <w:rsid w:val="008325AF"/>
    <w:rsid w:val="00851EF0"/>
    <w:rsid w:val="008578B9"/>
    <w:rsid w:val="008656BB"/>
    <w:rsid w:val="008A0736"/>
    <w:rsid w:val="008C385F"/>
    <w:rsid w:val="00913916"/>
    <w:rsid w:val="00922188"/>
    <w:rsid w:val="00924820"/>
    <w:rsid w:val="00935895"/>
    <w:rsid w:val="0094125B"/>
    <w:rsid w:val="009800BD"/>
    <w:rsid w:val="00980B6A"/>
    <w:rsid w:val="009862D5"/>
    <w:rsid w:val="009A004A"/>
    <w:rsid w:val="009A0D92"/>
    <w:rsid w:val="009B71AC"/>
    <w:rsid w:val="009C4B1D"/>
    <w:rsid w:val="009D3847"/>
    <w:rsid w:val="009F0CC8"/>
    <w:rsid w:val="00A03AE7"/>
    <w:rsid w:val="00A046F8"/>
    <w:rsid w:val="00A46613"/>
    <w:rsid w:val="00A51818"/>
    <w:rsid w:val="00A778FE"/>
    <w:rsid w:val="00A85EAC"/>
    <w:rsid w:val="00A903D1"/>
    <w:rsid w:val="00AA45DB"/>
    <w:rsid w:val="00AB23D5"/>
    <w:rsid w:val="00AC2E63"/>
    <w:rsid w:val="00AF2CC3"/>
    <w:rsid w:val="00AF4B9B"/>
    <w:rsid w:val="00B02C74"/>
    <w:rsid w:val="00B1375D"/>
    <w:rsid w:val="00B1464A"/>
    <w:rsid w:val="00B205BD"/>
    <w:rsid w:val="00B52067"/>
    <w:rsid w:val="00B5470D"/>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60B3E"/>
    <w:rsid w:val="00C639A5"/>
    <w:rsid w:val="00CA2E9E"/>
    <w:rsid w:val="00CA706A"/>
    <w:rsid w:val="00CC078D"/>
    <w:rsid w:val="00CC3A4C"/>
    <w:rsid w:val="00CF3E60"/>
    <w:rsid w:val="00D04EC0"/>
    <w:rsid w:val="00D0659D"/>
    <w:rsid w:val="00D12205"/>
    <w:rsid w:val="00D17B03"/>
    <w:rsid w:val="00D17CD8"/>
    <w:rsid w:val="00D345C1"/>
    <w:rsid w:val="00D64095"/>
    <w:rsid w:val="00D73779"/>
    <w:rsid w:val="00D80CCF"/>
    <w:rsid w:val="00DA3F14"/>
    <w:rsid w:val="00DC2C83"/>
    <w:rsid w:val="00DE6773"/>
    <w:rsid w:val="00E05791"/>
    <w:rsid w:val="00E140B1"/>
    <w:rsid w:val="00E15A1F"/>
    <w:rsid w:val="00E310AA"/>
    <w:rsid w:val="00E4244D"/>
    <w:rsid w:val="00E42680"/>
    <w:rsid w:val="00E604BA"/>
    <w:rsid w:val="00E6514F"/>
    <w:rsid w:val="00E766BB"/>
    <w:rsid w:val="00E92B22"/>
    <w:rsid w:val="00E94395"/>
    <w:rsid w:val="00EA5C0A"/>
    <w:rsid w:val="00EB65AF"/>
    <w:rsid w:val="00EF0500"/>
    <w:rsid w:val="00EF3EEB"/>
    <w:rsid w:val="00EF6C47"/>
    <w:rsid w:val="00F05858"/>
    <w:rsid w:val="00F233DB"/>
    <w:rsid w:val="00F30244"/>
    <w:rsid w:val="00F347FE"/>
    <w:rsid w:val="00F45931"/>
    <w:rsid w:val="00F75890"/>
    <w:rsid w:val="00F80709"/>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EB444-AC7F-4339-A45F-43D035C8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9</Pages>
  <Words>4427</Words>
  <Characters>25237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170</cp:revision>
  <dcterms:created xsi:type="dcterms:W3CDTF">2017-07-14T01:22:00Z</dcterms:created>
  <dcterms:modified xsi:type="dcterms:W3CDTF">2017-07-29T04:43:00Z</dcterms:modified>
</cp:coreProperties>
</file>