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b/>
          <w:color w:val="5B9BD5"/>
          <w:sz w:val="30"/>
        </w:rPr>
        <w:t>IA_RealTime_CenterCall</w:t>
      </w:r>
    </w:p>
    <w:p>
      <w:pPr>
        <w:pStyle w:val="Title"/>
        <w:jc w:val="center"/>
      </w:pPr>
      <w:r>
        <w:t>Guía Viva de Seguridad</w:t>
      </w:r>
    </w:p>
    <w:p>
      <w:pPr>
        <w:jc w:val="center"/>
      </w:pPr>
      <w:r>
        <w:rPr>
          <w:i/>
          <w:color w:val="666666"/>
          <w:sz w:val="22"/>
        </w:rPr>
        <w:t>Documento operativo, de arquitectura y continuidad entre sesiones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Versión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0.7 - SEC-P0-06 implementado localmente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Fecha de corte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29 de agosto de 2026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Repositorio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jdlc86/IA_RealTime_CenterCall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Rama estable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rebuild/v39-stable-baseline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SHA verificado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d7435fd81915c470f74bce81eb87d8ae7bda1c1f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Canary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SEC-P0-05: Gemini Fast Canary Deploy run 33261676273 - SUCCESS; Cloud Run gemini-media-edge-00205-mub; Fast Worker 318b36d8-a900-4fe9-99ba-64863891883f. SEC-P0-06 pendiente de commit/CI/deploy; tráfico productivo sin cambios.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Naturaleza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Documento vivo. Debe actualizarse al terminar cada bloque de trabajo de seguridad.</w:t>
            </w:r>
          </w:p>
        </w:tc>
      </w:tr>
    </w:tbl>
    <w:p>
      <w:pPr>
        <w:spacing w:before="320"/>
        <w:jc w:val="center"/>
      </w:pPr>
      <w:r>
        <w:rPr>
          <w:b/>
          <w:color w:val="C65911"/>
          <w:sz w:val="18"/>
        </w:rPr>
        <w:t>Regla de continuidad: este documento no sustituye la verificación del código. Al iniciar una nueva sesión se confirma primero el estado de GitHub y del despliegue, y luego se continúa desde el backlog y el registro de decisiones.</w:t>
      </w:r>
    </w:p>
    <w:p>
      <w:r>
        <w:br w:type="page"/>
      </w:r>
    </w:p>
    <w:p>
      <w:pPr>
        <w:pStyle w:val="Heading1"/>
        <w:keepNext/>
      </w:pPr>
      <w:r>
        <w:t>Índice de trabajo</w:t>
      </w:r>
    </w:p>
    <w:p>
      <w:pPr>
        <w:spacing w:after="40"/>
      </w:pPr>
      <w:r>
        <w:t>1. Propósito y forma de uso</w:t>
      </w:r>
    </w:p>
    <w:p>
      <w:pPr>
        <w:spacing w:after="40"/>
      </w:pPr>
      <w:r>
        <w:t>2. Estado autoritativo del proyecto</w:t>
      </w:r>
    </w:p>
    <w:p>
      <w:pPr>
        <w:spacing w:after="40"/>
      </w:pPr>
      <w:r>
        <w:t>3. Principios de seguridad no negociables</w:t>
      </w:r>
    </w:p>
    <w:p>
      <w:pPr>
        <w:spacing w:after="40"/>
      </w:pPr>
      <w:r>
        <w:t>4. Modelo de amenazas</w:t>
      </w:r>
    </w:p>
    <w:p>
      <w:pPr>
        <w:spacing w:after="40"/>
      </w:pPr>
      <w:r>
        <w:t>5. Controles ya implementados - OpenAI / Control Plane</w:t>
      </w:r>
    </w:p>
    <w:p>
      <w:pPr>
        <w:spacing w:after="40"/>
      </w:pPr>
      <w:r>
        <w:t>6. Controles actuales - Gemini Fast</w:t>
      </w:r>
    </w:p>
    <w:p>
      <w:pPr>
        <w:spacing w:after="40"/>
      </w:pPr>
      <w:r>
        <w:t>7. Qué reutilizar, adaptar o no copiar</w:t>
      </w:r>
    </w:p>
    <w:p>
      <w:pPr>
        <w:spacing w:after="40"/>
      </w:pPr>
      <w:r>
        <w:t>8. Arquitectura objetivo de seguridad</w:t>
      </w:r>
    </w:p>
    <w:p>
      <w:pPr>
        <w:spacing w:after="40"/>
      </w:pPr>
      <w:r>
        <w:t>9. Auditoría, privacidad y evidencia forense</w:t>
      </w:r>
    </w:p>
    <w:p>
      <w:pPr>
        <w:spacing w:after="40"/>
      </w:pPr>
      <w:r>
        <w:t>10. Riesgos abiertos y backlog</w:t>
      </w:r>
    </w:p>
    <w:p>
      <w:pPr>
        <w:spacing w:after="40"/>
      </w:pPr>
      <w:r>
        <w:t>11. Criterios de aceptación para cambios de seguridad</w:t>
      </w:r>
    </w:p>
    <w:p>
      <w:pPr>
        <w:spacing w:after="40"/>
      </w:pPr>
      <w:r>
        <w:t>12. Protocolo para retomar el trabajo en otra sesión</w:t>
      </w:r>
    </w:p>
    <w:p>
      <w:pPr>
        <w:spacing w:after="40"/>
      </w:pPr>
      <w:r>
        <w:t>13. Registro de decisiones</w:t>
      </w:r>
    </w:p>
    <w:p>
      <w:pPr>
        <w:spacing w:after="40"/>
      </w:pPr>
      <w:r>
        <w:t>14. Registro de evidencia técnica</w:t>
      </w:r>
    </w:p>
    <w:p>
      <w:pPr>
        <w:spacing w:after="40"/>
      </w:pPr>
      <w:r>
        <w:t>15. Historial de cambios del documento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rPr>
          <w:cantSplit/>
        </w:trPr>
        <w:tc>
          <w:tcPr>
            <w:tcW w:type="dxa" w:w="10200"/>
            <w:shd w:fill="FFF2CC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8" w:color="BF9000"/>
              <w:left w:val="single" w:sz="8" w:color="BF9000"/>
              <w:bottom w:val="single" w:sz="8" w:color="BF9000"/>
              <w:right w:val="single" w:sz="8" w:color="BF9000"/>
            </w:tcBorders>
          </w:tcPr>
          <w:p>
            <w:pPr>
              <w:spacing w:after="60"/>
            </w:pPr>
            <w:r>
              <w:rPr>
                <w:b/>
                <w:color w:val="BF9000"/>
                <w:sz w:val="20"/>
              </w:rPr>
              <w:t>Lectura rápida</w:t>
            </w:r>
          </w:p>
          <w:p>
            <w:pPr>
              <w:spacing w:after="0"/>
            </w:pPr>
            <w:r>
              <w:rPr>
                <w:sz w:val="18"/>
              </w:rPr>
              <w:t>Si una sesión nueva sólo dispone de unos minutos: leer primero las secciones 2, 3, 10, 12 y 13. Después verificar el SHA de la rama estable antes de modificar código.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1. Propósito y forma de uso</w:t>
      </w:r>
    </w:p>
    <w:p>
      <w:r>
        <w:t>Esta guía concentra el estado de seguridad del proyecto, las decisiones de arquitectura, los controles existentes, las evidencias verificadas y el trabajo pendiente. Su objetivo principal es permitir continuidad técnica entre sesiones sin depender de la memoria del chat.</w:t>
      </w:r>
    </w:p>
    <w:p>
      <w:pPr>
        <w:pStyle w:val="Heading2"/>
        <w:keepNext/>
      </w:pPr>
      <w:r>
        <w:t>1.1 Qué debe registrar siempre</w:t>
      </w:r>
    </w:p>
    <w:p>
      <w:pPr>
        <w:pStyle w:val="ListBullet"/>
        <w:spacing w:after="40"/>
      </w:pPr>
      <w:r>
        <w:t>Estado verificable: repositorio, rama estable, SHA, CI/canary y, cuando corresponda, estado real de producción.</w:t>
      </w:r>
    </w:p>
    <w:p>
      <w:pPr>
        <w:pStyle w:val="ListBullet"/>
        <w:spacing w:after="40"/>
      </w:pPr>
      <w:r>
        <w:t>Decisiones de seguridad con motivo, alcance, alternativas descartadas y consecuencias.</w:t>
      </w:r>
    </w:p>
    <w:p>
      <w:pPr>
        <w:pStyle w:val="ListBullet"/>
        <w:spacing w:after="40"/>
      </w:pPr>
      <w:r>
        <w:t>Controles existentes y ubicación exacta en el código o en la infraestructura.</w:t>
      </w:r>
    </w:p>
    <w:p>
      <w:pPr>
        <w:pStyle w:val="ListBullet"/>
        <w:spacing w:after="40"/>
      </w:pPr>
      <w:r>
        <w:t>Riesgos abiertos, prioridad, criterio de cierre y evidencia que demostrará que están resueltos.</w:t>
      </w:r>
    </w:p>
    <w:p>
      <w:pPr>
        <w:pStyle w:val="ListBullet"/>
        <w:spacing w:after="40"/>
      </w:pPr>
      <w:r>
        <w:t>Cambios implementados, pruebas ejecutadas y cualquier incidente o comportamiento observado en llamadas reales.</w:t>
      </w:r>
    </w:p>
    <w:p>
      <w:pPr>
        <w:pStyle w:val="Heading2"/>
        <w:keepNext/>
      </w:pPr>
      <w:r>
        <w:t>1.2 Estados usados en la guía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Significado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VERIFICADO EN CÓDIGO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Revisado en la rama/SHA indicado.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VERIFICADO EN CANARY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Workflow/deploy canary completado para el SHA indicado.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VERIFICADO EN PRODUCCIÓN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Evidencia directa de comportamiento real en producción.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DISEÑADO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Decisión aceptada, todavía sin implementación o evidencia completa.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PENDIENTE DE VERIFICAR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Existe indicio o implementación histórica, pero debe comprobarse en el estado actual.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DEFENSA EN PROFUNDIDAD / LEGACY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Puede aportar señal adicional, pero no debe ser la autoridad principal.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2. Estado autoritativo del proyecto</w:t>
      </w:r>
    </w:p>
    <w:p>
      <w:pPr>
        <w:pStyle w:val="Heading2"/>
        <w:keepNext/>
      </w:pPr>
      <w:r>
        <w:t>2.1 Snapshot verificado al crear esta versión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Elemento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Valor / estado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Repositorio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jdlc86/IA_RealTime_CenterCall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Rama estable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rebuild/v39-stable-baseline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SHA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d7435fd81915c470f74bce81eb87d8ae7bda1c1f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Último merge relevante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PR #94 - Fast semantic incidents -&gt; caller reputation; extracción Gemini-native d7435fd81915...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Kernel de autorización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 #91 - generic FastToolAuthorizationKernel - merged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Canary exacto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SEC-P0-05: Gemini Fast Canary Deploy run 33261676273 - SUCCESS; revisión gemini-media-edge-00205-mub; Fast Worker 318b36d8-a900-4fe9-99ba-64863891883f. SEC-P0-06 sólo local.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Modelo Gemini Fast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gemini-3.1-flash-live-preview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Voz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Kore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Zona horaria por defecto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Europe/Madrid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rPr>
          <w:cantSplit/>
        </w:trPr>
        <w:tc>
          <w:tcPr>
            <w:tcW w:type="dxa" w:w="10200"/>
            <w:shd w:fill="FCE4D6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8" w:color="C65911"/>
              <w:left w:val="single" w:sz="8" w:color="C65911"/>
              <w:bottom w:val="single" w:sz="8" w:color="C65911"/>
              <w:right w:val="single" w:sz="8" w:color="C65911"/>
            </w:tcBorders>
          </w:tcPr>
          <w:p>
            <w:pPr>
              <w:spacing w:after="60"/>
            </w:pPr>
            <w:r>
              <w:rPr>
                <w:b/>
                <w:color w:val="C65911"/>
                <w:sz w:val="20"/>
              </w:rPr>
              <w:t>Importante sobre despliegues</w:t>
            </w:r>
          </w:p>
          <w:p>
            <w:pPr>
              <w:spacing w:after="0"/>
            </w:pPr>
            <w:r>
              <w:rPr>
                <w:sz w:val="18"/>
              </w:rPr>
              <w:t>Un SHA en stable y un canary verde no significan automáticamente que el 100% del tráfico general use ese SHA. En cada nueva sesión se debe verificar la revisión/tag/ruta efectiva antes de afirmar “está en producción general”.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2.2 Arquitectura operacional relevante para seguridad</w:t>
      </w:r>
    </w:p>
    <w:p>
      <w:pPr>
        <w:pStyle w:val="CodeBlock"/>
        <w:spacing w:after="80"/>
      </w:pPr>
      <w:r>
        <w:t>Telnyx  &lt;-&gt;  Gemini Fast Media Edge  &lt;-&gt;  Gemini Live</w:t>
        <w:br/>
        <w:t xml:space="preserve">                 |</w:t>
        <w:br/>
        <w:t xml:space="preserve">                 +---- control/tool path ----&gt; Gemini Fast Worker / control services</w:t>
        <w:br/>
        <w:br/>
        <w:t>Regla: Cloudflare Worker NO relaya el audio continuo. Las decisiones de seguridad y tools deben permanecer fuera del per-chunk audio hot path.</w:t>
      </w:r>
    </w:p>
    <w:p>
      <w:r>
        <w:t>La seguridad se divide deliberadamente entre admisión de llamada, interpretación semántica, autorización determinista de tools, kernels de dominio, persistencia/auditoría y efectos externos. El audio continuo no debe pagar el coste de estas comprobaciones salvo los eventos discretos que realmente lo requieren.</w:t>
      </w:r>
    </w:p>
    <w:p>
      <w:pPr>
        <w:pStyle w:val="Heading1"/>
        <w:keepNext/>
      </w:pPr>
      <w:r>
        <w:t>3. Principios de seguridad no negociables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Principio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Regla práctica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P-01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Cero regresión de latencia en el hot path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No introducir clasificadores, llamadas de red ni lógica de seguridad por chunk de audio.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P-02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No tocar audio/VAD sin necesidad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Modelo, VAD, bridge, codecs, resampler y buffers se consideran zona protegida.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P-03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Tool call != autorización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Una function call del modelo es sólo una propuesta. El servidor decide ALLOW/DENY antes de cualquier handler o efecto.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P-04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Semántica, no listas rígidas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La intención se interpreta por significado y contexto. Regex/denylist sólo pueden ser defensa auxiliar para señales inequívocas.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P-05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Fail closed en acciones sensibles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Si falta política, identidad, autoridad o evidencia requerida, no hay efecto externo.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P-06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Aislamiento por tenant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Toda identidad, capability, configuración, reputación y efecto debe quedar tenant-scoped.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P-07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Mínima evidencia persistida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No guardar transcript bruto, system prompt, secretos, credenciales o PII cuando basten hashes/metadata seguras.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P-08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Idempotencia y anti-replay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Eventos, señales y mutaciones deben resistir duplicados/reintentos sin repetir efectos.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P-09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No degradar seguridad por fallback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Nunca caer silenciosamente a un proveedor/ruta con controles más débiles.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P-10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Evidencia antes de afirmar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“Implementado”, “desplegado” y “probado” son estados distintos y deben documentarse por separado.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4. Modelo de amenazas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Amenaza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Escenario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Control esperado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T-01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Webhook spoofing / replay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Eventos Telnyx falsos, reusados o con identidad temporal inválida.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Firma + admission identity + anti-replay/idempotencia.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T-02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Abuso de llamadas / DoS económico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Caller que llama repetidamente para agotar recursos/coste.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Rate limits persistentes + bloqueos progresivos + reputación.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T-03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Prompt injection / exfiltration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Intento de cambiar reglas, extraer instrucciones privadas o eludir límites.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Frontera semántica + no revelar prompts + cortar/registrar según confianza.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T-04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Manipulación de tools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Modelo inducido a llamar tools o falsificar autoridad.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FastToolAuthorizationKernel + políticas no sobreescribibles.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T-05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Efecto sin consentimiento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Crear/cancelar/modificar/transferir sin autoridad suficiente.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Política por effect + evidencia caller para acciones effectful.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T-06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Cross-tenant access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Usar identifiers/capabilities de otro tenant.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Bootstrap autenticado + tenant-scoped policies/handlers/data.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T-07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Suplantación de identidad operativa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Modificar reservas o datos de otro caller.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Trusted caller identity + validación backend de ownership.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T-08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Fuga en logs/diagnósticos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PII, secretos, prompt o contenido sensible persistido.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Redaction/safe-details + allowlist de campos forenses.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T-09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Duplicación de side effects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Reintento/redelivery crea una segunda reserva/transferencia/cancelación.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Idempotency keys + state machines + backend constraints.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T-10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Compromiso de configuración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Tenant intenta debilitar mínimos horizontales.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Políticas horizontales locales no-overridable + schema validation.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T-11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Ambigüedad semántica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Palabras con varios significados disparan tools innecesarias.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Interpretación por turno completo + tool contracts específicos.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T-12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Transcripción tardía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Tool llega antes que el transcript del provider.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Lecturas read-only pueden usar SEMANTIC_NECESSITY sin transcript; efectos no.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5. Controles ya implementados - OpenAI / Control Plane</w:t>
      </w:r>
    </w:p>
    <w:p>
      <w:r>
        <w:t>La implementación OpenAI se conserva temporalmente como referencia histórica y producto legado pendiente de retirada. Gemini no reutiliza su runtime, endpoint, cola, secretos ni lifecycle; los controles transversales se implementan detrás de contratos neutrales y almacenamiento compartido.</w:t>
      </w:r>
    </w:p>
    <w:p>
      <w:pPr>
        <w:pStyle w:val="Heading2"/>
        <w:keepNext/>
      </w:pPr>
      <w:r>
        <w:t>5.1 Admisión, autenticidad e identidad del caller</w:t>
      </w:r>
    </w:p>
    <w:p>
      <w:pPr>
        <w:pStyle w:val="ListBullet"/>
        <w:spacing w:after="40"/>
      </w:pPr>
      <w:r>
        <w:t>Verificación de firma del webhook Telnyx antes de procesar eventos de llamada entrante.</w:t>
      </w:r>
    </w:p>
    <w:p>
      <w:pPr>
        <w:pStyle w:val="ListBullet"/>
        <w:spacing w:after="40"/>
      </w:pPr>
      <w:r>
        <w:t>Admission identity basada en el evento firmado, con identidad/eventId y ventana temporal de credencial.</w:t>
      </w:r>
    </w:p>
    <w:p>
      <w:pPr>
        <w:pStyle w:val="ListBullet"/>
        <w:spacing w:after="40"/>
      </w:pPr>
      <w:r>
        <w:t>Normalización de caller desde el contexto confiable de Telnyx; el caller no puede autodeclarar libremente su identidad interna.</w:t>
      </w:r>
    </w:p>
    <w:p>
      <w:pPr>
        <w:pStyle w:val="ListBullet"/>
        <w:spacing w:after="40"/>
      </w:pPr>
      <w:r>
        <w:t>Resolución de tenant y ruta de proveedor antes de iniciar la sesión.</w:t>
      </w:r>
    </w:p>
    <w:p>
      <w:pPr>
        <w:pStyle w:val="ListBullet"/>
        <w:spacing w:after="40"/>
      </w:pPr>
      <w:r>
        <w:t>Evaluación de caller-security previa a la admisión. BLOCK =&gt; rechazo. Error del servicio de seguridad =&gt; fail closed.</w:t>
      </w:r>
    </w:p>
    <w:p>
      <w:pPr>
        <w:pStyle w:val="ListBullet"/>
        <w:spacing w:after="40"/>
      </w:pPr>
      <w:r>
        <w:t>Sin fallback silencioso a otro proveedor si la ruta seleccionada falla de forma que pudiera debilitar garantías.</w:t>
      </w:r>
    </w:p>
    <w:p>
      <w:pPr>
        <w:pStyle w:val="CodeBlock"/>
        <w:spacing w:after="80"/>
      </w:pPr>
      <w:r>
        <w:t>Referencia principal: apps/control-plane/src/index-v4.ts</w:t>
        <w:br/>
        <w:t>Apoyos: telnyx-webhook-admission-identity.ts, trusted-caller-propagation.ts, caller-security.ts</w:t>
      </w:r>
    </w:p>
    <w:p>
      <w:pPr>
        <w:pStyle w:val="Heading2"/>
        <w:keepNext/>
      </w:pPr>
      <w:r>
        <w:t>5.2 Reputación persistente y rate limiting por caller</w:t>
      </w:r>
    </w:p>
    <w:p>
      <w:r>
        <w:t>CallerSecurityService delega en RPCs de Supabase para mantener riesgo entre llamadas. La identidad se maneja de forma tenant-scoped y con derivación HMAC en la capa de servicio.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Control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Valor verificado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Rate limit 1 minuto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5 llamadas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Rate limit 5 minutos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8 llamadas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Rate limit 1 hora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20 llamadas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Bloqueo progresivo 1ª incidencia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 hora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Bloqueo progresivo 2ª incidencia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24 horas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Bloqueo progresivo 3ª+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7 días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Bloqueo permanente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security_strikes &gt;= 8 AND rate_limit_blocks &gt;= 3 AND risk_score &gt;= 25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Reason de persistencia hostil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PERSISTENT_HOSTILE_BEHAVIOR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t>Estado persistente relevante: risk_score, security_strikes, rate_limit_blocks, blocked_until, permanent_block, last_reason.</w:t>
      </w:r>
    </w:p>
    <w:p>
      <w:pPr>
        <w:pStyle w:val="ListBullet"/>
        <w:spacing w:after="40"/>
      </w:pPr>
      <w:r>
        <w:t>Entrega durable de señales con fallback de cola e idempotencia para no perder evidencias por fallos transitorios.</w:t>
      </w:r>
    </w:p>
    <w:p>
      <w:pPr>
        <w:pStyle w:val="Heading2"/>
        <w:keepNext/>
      </w:pPr>
      <w:r>
        <w:t>5.3 Seguridad de Supabase verificada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RPC / tabla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Resultado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evaluate_inbound_call_security_v2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EXECUTE: anon=false, authenticated=false, service_role=true, postgres=true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record_caller_security_signal_v2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EXECUTE: anon=false, authenticated=false, service_role=true, postgres=true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caller_security_events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RLS habilitado; sin políticas públicas detectadas en la revisión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caller_security_state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RLS habilitado; sin políticas públicas detectadas en la revisión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5.4 Frontera de ciberseguridad durante la conversación - V33</w:t>
      </w:r>
    </w:p>
    <w:p>
      <w:pPr>
        <w:pStyle w:val="ListBullet"/>
        <w:spacing w:after="40"/>
      </w:pPr>
      <w:r>
        <w:t>Intercepción de CALLER_TRANSCRIPT_COMPLETED antes de que texto hostil de alta confianza llegue al agente.</w:t>
      </w:r>
    </w:p>
    <w:p>
      <w:pPr>
        <w:pStyle w:val="ListBullet"/>
        <w:spacing w:after="40"/>
      </w:pPr>
      <w:r>
        <w:t>Detección high-confidence =&gt; cierre mediante la autoridad neutral de lifecycle, no mediante una orden libre del modelo.</w:t>
      </w:r>
    </w:p>
    <w:p>
      <w:pPr>
        <w:pStyle w:val="ListBullet"/>
        <w:spacing w:after="40"/>
      </w:pPr>
      <w:r>
        <w:t>Registro forense: matched_rule, transcript_length, SHA-256 y raw_transcript_stored=false.</w:t>
      </w:r>
    </w:p>
    <w:p>
      <w:pPr>
        <w:pStyle w:val="ListBullet"/>
        <w:spacing w:after="40"/>
      </w:pPr>
      <w:r>
        <w:t>Diagnóstico explícito de transcript_forwarded_to_lucia=false.</w:t>
      </w:r>
    </w:p>
    <w:p>
      <w:pPr>
        <w:pStyle w:val="CodeBlock"/>
        <w:spacing w:after="80"/>
      </w:pPr>
      <w:r>
        <w:t>Referencia: apps/control-plane/src/call-session-v33.ts</w:t>
      </w:r>
    </w:p>
    <w:p>
      <w:pPr>
        <w:pStyle w:val="Heading2"/>
        <w:keepNext/>
      </w:pPr>
      <w:r>
        <w:t>5.5 Denylist tenant + built-in - V34</w:t>
      </w:r>
    </w:p>
    <w:p>
      <w:r>
        <w:t>V34 añadió frases bloqueadas configurables por tenant y un fallback incorporado. Una coincidencia se eleva como riesgo HIGH, se registra y puede cerrar la llamada antes de entregar el transcript al agente.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rPr>
          <w:cantSplit/>
        </w:trPr>
        <w:tc>
          <w:tcPr>
            <w:tcW w:type="dxa" w:w="10200"/>
            <w:shd w:fill="FFF2CC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8" w:color="BF9000"/>
              <w:left w:val="single" w:sz="8" w:color="BF9000"/>
              <w:bottom w:val="single" w:sz="8" w:color="BF9000"/>
              <w:right w:val="single" w:sz="8" w:color="BF9000"/>
            </w:tcBorders>
          </w:tcPr>
          <w:p>
            <w:pPr>
              <w:spacing w:after="60"/>
            </w:pPr>
            <w:r>
              <w:rPr>
                <w:b/>
                <w:color w:val="BF9000"/>
                <w:sz w:val="20"/>
              </w:rPr>
              <w:t>Decisión de reutilización</w:t>
            </w:r>
          </w:p>
          <w:p>
            <w:pPr>
              <w:spacing w:after="0"/>
            </w:pPr>
            <w:r>
              <w:rPr>
                <w:sz w:val="18"/>
              </w:rPr>
              <w:t>NO usar V34/regex como autoridad semántica principal en Gemini Fast. Puede conservarse sólo como defensa en profundidad para firmas inequívocas. La política principal debe entender intención y contexto, no una lista cerrada de frases.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5.6 Semantic Security Boundary</w:t>
      </w:r>
    </w:p>
    <w:p>
      <w:r>
        <w:t>La arquitectura OpenAI también contiene una frontera semántica más adecuada para Gemini Fast. Sus categorías conceptuales incluyen PROMPT_EXFILTRATION, PROMPT_INJECTION, ROLE_ESCALATION y TOOL_MANIPULATION. La intención es reconocer el significado del intento, distinguiendo por ejemplo una consulta educativa de un intento real de comprometer al agente.</w:t>
      </w:r>
    </w:p>
    <w:p>
      <w:pPr>
        <w:pStyle w:val="CodeBlock"/>
        <w:spacing w:after="80"/>
      </w:pPr>
      <w:r>
        <w:t>Referencia: apps/control-plane/src/semantic-security-boundary.ts</w:t>
      </w:r>
    </w:p>
    <w:p>
      <w:pPr>
        <w:pStyle w:val="Heading2"/>
        <w:keepNext/>
      </w:pPr>
      <w:r>
        <w:t>5.7 Autorización de tools - precursor</w:t>
      </w:r>
    </w:p>
    <w:p>
      <w:pPr>
        <w:pStyle w:val="ListBullet"/>
        <w:spacing w:after="40"/>
      </w:pPr>
      <w:r>
        <w:t>tool-gateway.ts: tool conocida, handler permitido, argumentos/política y contexto de tenant.</w:t>
      </w:r>
    </w:p>
    <w:p>
      <w:pPr>
        <w:pStyle w:val="ListBullet"/>
        <w:spacing w:after="40"/>
      </w:pPr>
      <w:r>
        <w:t>public-tool-authorization.ts: capabilities por tenant.</w:t>
      </w:r>
    </w:p>
    <w:p>
      <w:pPr>
        <w:pStyle w:val="ListBullet"/>
        <w:spacing w:after="40"/>
      </w:pPr>
      <w:r>
        <w:t>semantic-tool-authorization-port.ts: frontera de autorización desacoplada de una versión concreta de CallSession.</w:t>
      </w:r>
    </w:p>
    <w:p>
      <w:pPr>
        <w:pStyle w:val="ListBullet"/>
        <w:spacing w:after="40"/>
      </w:pPr>
      <w:r>
        <w:t>Principio heredado: una decisión semántica del modelo no equivale automáticamente a autoridad para producir efectos.</w:t>
      </w:r>
    </w:p>
    <w:p>
      <w:pPr>
        <w:pStyle w:val="Heading2"/>
        <w:keepNext/>
      </w:pPr>
      <w:r>
        <w:t>5.8 Controles de dominio de reservas ya estudiados</w:t>
      </w:r>
    </w:p>
    <w:p>
      <w:pPr>
        <w:pStyle w:val="ListBullet"/>
        <w:spacing w:after="40"/>
      </w:pPr>
      <w:r>
        <w:t>Identidad/contacto de reserva ligado al caller cuando corresponde.</w:t>
      </w:r>
    </w:p>
    <w:p>
      <w:pPr>
        <w:pStyle w:val="ListBullet"/>
        <w:spacing w:after="40"/>
      </w:pPr>
      <w:r>
        <w:t>Cancelación y modificación con confirmación y selección explícita.</w:t>
      </w:r>
    </w:p>
    <w:p>
      <w:pPr>
        <w:pStyle w:val="ListBullet"/>
        <w:spacing w:after="40"/>
      </w:pPr>
      <w:r>
        <w:t>Revalidación de disponibilidad antes de modificar.</w:t>
      </w:r>
    </w:p>
    <w:p>
      <w:pPr>
        <w:pStyle w:val="ListBullet"/>
        <w:spacing w:after="40"/>
      </w:pPr>
      <w:r>
        <w:t>Concurrencia y propiedad de mesas/reservas en backend.</w:t>
      </w:r>
    </w:p>
    <w:p>
      <w:pPr>
        <w:pStyle w:val="ListBullet"/>
        <w:spacing w:after="40"/>
      </w:pPr>
      <w:r>
        <w:t>Autoridad temporal y alcance de fechas; no inventar ni ampliar rangos por iniciativa propia.</w:t>
      </w:r>
    </w:p>
    <w:p>
      <w:pPr>
        <w:pStyle w:val="ListBullet"/>
        <w:spacing w:after="40"/>
      </w:pPr>
      <w:r>
        <w:t>Backend como autoridad de verdad: el modelo no debe afirmar BOOKED sin resultado real.</w:t>
      </w:r>
    </w:p>
    <w:p>
      <w:pPr>
        <w:pStyle w:val="Heading1"/>
        <w:keepNext/>
      </w:pPr>
      <w:r>
        <w:t>6. Controles actuales - Gemini Fast</w:t>
      </w:r>
    </w:p>
    <w:p>
      <w:pPr>
        <w:pStyle w:val="Heading2"/>
        <w:keepNext/>
      </w:pPr>
      <w:r>
        <w:t>6.1 Generic FastToolAuthorizationKernel - VERIFICADO EN CÓDIGO</w:t>
      </w:r>
    </w:p>
    <w:p>
      <w:pPr/>
      <w:r>
        <w:t>PR #91 introdujo el kernel genérico call-scoped. SEC-P0-04 refuerza ahora la frontera de ejecución: el kernel emite un comprobante opaco ligado a la function call y al contexto autenticado tenant/call, y cada sink de efectos exige ese comprobante antes de alcanzar un handler. Una llamada directa al ejecutor, un objeto de autorización fabricado o su reutilización en otra llamada/contexto falla cerrado.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Authority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Uso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SYSTEM_AUTHORITY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Autoridad interna registrada.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SEMANTIC_NECESSITY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Lectura necesaria por el significado completo del turno.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CALLER_REQUEST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El caller ha pedido semánticamente la acción.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CALLER_CONFIRMATION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El caller ha confirmado semánticamente la acción.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EXPLICIT_CONFIRMATION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Confirmación explícita de una acción concreta.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CALLER_AUTHORITY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Fuentes permitidas, p.ej. EXPLICIT_REQUEST / CONFIRMED_OFFER.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Effect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Ejemplo de riesgo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READ_CONTEXT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Reloj/contexto del sistema.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READ_BUSINESS_DATA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Consulta de datos de negocio.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MUTATE_BUSINESS_DATA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Crear/modificar reserva.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DESTRUCTIVE_ACTION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Cancelar/eliminar.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EXTERNAL_COMMUNICATION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Enviar/comunicar fuera.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TERMINAL_CALL_ACTION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Transferencia/cierre de llamada.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FINANCIAL_ACTION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Pagos/cargos futuros.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t>Las políticas horizontales son mínimos del producto y una extensión no puede sobreescribirlas.</w:t>
      </w:r>
    </w:p>
    <w:p>
      <w:pPr>
        <w:pStyle w:val="ListBullet"/>
        <w:spacing w:after="40"/>
      </w:pPr>
      <w:r>
        <w:t>El bootstrap autenticado decide qué tools están disponibles para tenant/call; el registro local decide el contrato mínimo de autoridad/efecto/capability.</w:t>
      </w:r>
    </w:p>
    <w:p>
      <w:pPr>
        <w:pStyle w:val="ListBullet"/>
        <w:spacing w:after="40"/>
      </w:pPr>
      <w:r>
        <w:t>La evidencia del caller se normaliza y se valida contra el transcript capturado cuando la política la exige.</w:t>
      </w:r>
    </w:p>
    <w:p>
      <w:pPr>
        <w:pStyle w:val="ListBullet"/>
        <w:spacing w:after="40"/>
      </w:pPr>
      <w:r>
        <w:t>No usa listas rígidas para decidir intención. Gemini interpreta lenguaje natural; el kernel valida autoridad/evidencia/política de forma determinista.</w:t>
      </w:r>
    </w:p>
    <w:p>
      <w:pPr>
        <w:pStyle w:val="CodeBlock"/>
        <w:spacing w:after="80"/>
      </w:pPr>
      <w:r>
        <w:t>Referencia: apps/gemini-media-edge/src/fast-tool-authorization-kernel.mjs</w:t>
        <w:br/>
        <w:t>PR #91: feat: add generic Fast tool authorization kernel</w:t>
      </w:r>
    </w:p>
    <w:p>
      <w:pPr>
        <w:pStyle w:val="Heading2"/>
        <w:keepNext/>
      </w:pPr>
      <w:r>
        <w:t>6.2 Políticas horizontales actuales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Tool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Authority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Effect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Capability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Evidencia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get_authoritative_datetime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SEMANTIC_NECESSITY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READ_CONTEXT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time.authoritative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NONE (read-only)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transfer_call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CALLER_AUTHORITY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TERMINAL_CALL_ACTION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call.transfer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CALLER_TRANSCRIPT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rPr>
          <w:cantSplit/>
        </w:trPr>
        <w:tc>
          <w:tcPr>
            <w:tcW w:type="dxa" w:w="10200"/>
            <w:shd w:fill="E2F0D9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8" w:color="548235"/>
              <w:left w:val="single" w:sz="8" w:color="548235"/>
              <w:bottom w:val="single" w:sz="8" w:color="548235"/>
              <w:right w:val="single" w:sz="8" w:color="548235"/>
            </w:tcBorders>
          </w:tcPr>
          <w:p>
            <w:pPr>
              <w:spacing w:after="60"/>
            </w:pPr>
            <w:r>
              <w:rPr>
                <w:b/>
                <w:color w:val="548235"/>
                <w:sz w:val="20"/>
              </w:rPr>
              <w:t>Regla estructural</w:t>
            </w:r>
          </w:p>
          <w:p>
            <w:pPr>
              <w:spacing w:after="0"/>
            </w:pPr>
            <w:r>
              <w:rPr>
                <w:sz w:val="18"/>
              </w:rPr>
              <w:t>Sólo una necesidad semántica READ-ONLY puede omitir evidencia del transcript. Una política effectful no puede optar por evidence=NONE. Esto evita que problemas de timing de transcripción debiliten acciones con efectos.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6.3 Incidente temporal y corrección - PR #92</w:t>
      </w:r>
    </w:p>
    <w:p>
      <w:r>
        <w:t>Dos llamadas reales mostraron dos fallos de integración semántica/temporal: uso demasiado amplio de la palabra “tiempo” en contexto meteorológico y bloqueo de una petición de fecha cuando la function call llegó antes que el transcript del provider. PR #92 corrigió ambos sin tocar el hot path.</w:t>
      </w:r>
    </w:p>
    <w:p>
      <w:pPr>
        <w:pStyle w:val="ListBullet"/>
        <w:spacing w:after="40"/>
      </w:pPr>
      <w:r>
        <w:t>get_authoritative_datetime queda limitado a reloj/calendario actual y excluye meteorología, clima, previsión, duración y significados no temporales de “tiempo”.</w:t>
      </w:r>
    </w:p>
    <w:p>
      <w:pPr>
        <w:pStyle w:val="ListBullet"/>
        <w:spacing w:after="40"/>
      </w:pPr>
      <w:r>
        <w:t>SEMANTIC_NECESSITY read-only puede autorizarse sin transcript para no depender del orden de llegada de la transcripción.</w:t>
      </w:r>
    </w:p>
    <w:p>
      <w:pPr>
        <w:pStyle w:val="ListBullet"/>
        <w:spacing w:after="40"/>
      </w:pPr>
      <w:r>
        <w:t>Tools mutantes/destructivas/terminales siguen exigiendo evidencia del caller.</w:t>
      </w:r>
    </w:p>
    <w:p>
      <w:pPr>
        <w:pStyle w:val="ListBullet"/>
        <w:spacing w:after="40"/>
      </w:pPr>
      <w:r>
        <w:t>Una autoridad incorrecta sigue bloqueándose antes del handler de Worker clock.</w:t>
      </w:r>
    </w:p>
    <w:p>
      <w:pPr>
        <w:pStyle w:val="CodeBlock"/>
        <w:spacing w:after="80"/>
      </w:pPr>
      <w:r>
        <w:t>PR #92 merge SHA: 12773c52a1f10dad6de160d0c41ead2d2eecfecf</w:t>
        <w:br/>
        <w:t>Hot-path safety declarado y verificado por alcance: no fast-runtime.mjs, no model/VAD/audio bridge/codecs/resampler/buffers.</w:t>
      </w:r>
    </w:p>
    <w:p>
      <w:pPr>
        <w:pStyle w:val="Heading2"/>
        <w:keepNext/>
      </w:pPr>
      <w:r>
        <w:t>6.4 Autoridad temporal</w:t>
      </w:r>
    </w:p>
    <w:p>
      <w:pPr>
        <w:pStyle w:val="ListBullet"/>
        <w:spacing w:after="40"/>
      </w:pPr>
      <w:r>
        <w:t>Fuente autoritativa: WORKER_CLOCK.</w:t>
      </w:r>
    </w:p>
    <w:p>
      <w:pPr>
        <w:pStyle w:val="ListBullet"/>
        <w:spacing w:after="40"/>
      </w:pPr>
      <w:r>
        <w:t>Zona horaria derivada de tenant cuando es válida; fallback configurado a Europe/Madrid.</w:t>
      </w:r>
    </w:p>
    <w:p>
      <w:pPr>
        <w:pStyle w:val="ListBullet"/>
        <w:spacing w:after="40"/>
      </w:pPr>
      <w:r>
        <w:t>La semántica pertenece al modelo; la hora/fecha real pertenece al Worker.</w:t>
      </w:r>
    </w:p>
    <w:p>
      <w:pPr>
        <w:pStyle w:val="ListBullet"/>
        <w:spacing w:after="40"/>
      </w:pPr>
      <w:r>
        <w:t>No existe fallback al reloj local del Media Edge si el Worker autoritativo no está disponible.</w:t>
      </w:r>
    </w:p>
    <w:p>
      <w:pPr>
        <w:pStyle w:val="ListBullet"/>
        <w:spacing w:after="40"/>
      </w:pPr>
      <w:r>
        <w:t>La auditoría segura de éxito persiste sólo kind=AUTHORITATIVE_DATETIME y source=WORKER_CLOCK, no el timestamp real ni el transcript.</w:t>
      </w:r>
    </w:p>
    <w:p>
      <w:pPr>
        <w:pStyle w:val="Heading2"/>
        <w:keepNext/>
      </w:pPr>
      <w:r>
        <w:t>6.5 Human handoff</w:t>
      </w:r>
    </w:p>
    <w:p>
      <w:pPr>
        <w:pStyle w:val="ListBullet"/>
        <w:spacing w:after="40"/>
      </w:pPr>
      <w:r>
        <w:t>La transferencia real está operativa y se conserva una política de autorización específica como defensa en profundidad.</w:t>
      </w:r>
    </w:p>
    <w:p>
      <w:pPr>
        <w:pStyle w:val="ListBullet"/>
        <w:spacing w:after="40"/>
      </w:pPr>
      <w:r>
        <w:t>El kernel exige CALLER_AUTHORITY con fuente semántica permitida y evidencia grounded en el turno actual.</w:t>
      </w:r>
    </w:p>
    <w:p>
      <w:pPr>
        <w:pStyle w:val="ListBullet"/>
        <w:spacing w:after="40"/>
      </w:pPr>
      <w:r>
        <w:t>Una tool proposal de Gemini no puede ejecutar transfer_call si la autoridad/evidencia no pasa el kernel.</w:t>
      </w:r>
    </w:p>
    <w:p>
      <w:pPr>
        <w:pStyle w:val="ListBullet"/>
        <w:spacing w:after="40"/>
      </w:pPr>
      <w:r>
        <w:t>No documentar como garantía universal comportamientos acústicos secundarios (por ejemplo ringback) sin evidencia por llamada/proveedor.</w:t>
      </w:r>
    </w:p>
    <w:p>
      <w:pPr>
        <w:pStyle w:val="Heading2"/>
      </w:pPr>
      <w:r>
        <w:t>6.6 Validación E2E real - llamada de seguridad/control</w:t>
      </w:r>
    </w:p>
    <w:p>
      <w:pPr/>
      <w:r>
        <w:t>Llamada real del 28 de agosto de 2026 usada para validar selección temporal y human handoff. No se persistió transcript bruto; la interpretación de la secuencia se apoya en telemetría segura y en la reconstrucción aportada por el caller inmediatamente después de la prueba.</w:t>
      </w:r>
    </w:p>
    <w:p>
      <w:pPr>
        <w:pStyle w:val="ListBullet"/>
      </w:pPr>
      <w:r>
        <w:t>Meteorología: el caller habló primero sobre el tiempo en Benidorm. En la llamada aparecieron dos ejecuciones autorizadas de get_authoritative_datetime; una ocurrió antes de la pregunta explícita por la hora y otra después. Dado que no existe transcript persistido, la primera invocación se registra como observación de posible over-trigger/duplicación, no como vulnerabilidad confirmada.</w:t>
      </w:r>
    </w:p>
    <w:p>
      <w:pPr>
        <w:pStyle w:val="ListBullet"/>
      </w:pPr>
      <w:r>
        <w:t>Hora: una invocación posterior de get_authoritative_datetime fue autorizada como SEMANTIC_NECESSITY / READ_CONTEXT y terminó en AUTHORITATIVE_DATETIME / WORKER_CLOCK.</w:t>
      </w:r>
    </w:p>
    <w:p>
      <w:pPr>
        <w:pStyle w:val="ListBullet"/>
      </w:pPr>
      <w:r>
        <w:t>Transferencia: el caller expresó que el asistente ya no podía ayudarle con lo que necesitaba; Gemini ofreció transferir a un compañero y el caller respondió explícitamente que sí. El backend registró transfer_call con source=CONFIRMED_OFFER, HUMAN_HANDOFF_ACCEPTED y estado final TRANSFERRED.</w:t>
      </w:r>
    </w:p>
    <w:p>
      <w:pPr>
        <w:pStyle w:val="ListBullet"/>
      </w:pPr>
      <w:r>
        <w:t>Destino remoto: el caller escuchó que el número remoto comenzó a sonar y respondió un contestador/sistema automático. El registro de handoff refleja respuesta del destino; posteriormente el caller colgó. Este comportamiento es coherente con una transferencia realmente iniciada y atendida por un sistema automático.</w:t>
      </w:r>
    </w:p>
    <w:p>
      <w:pPr>
        <w:pStyle w:val="ListBullet"/>
      </w:pPr>
      <w:r>
        <w:t>Conclusión de seguridad: la transferencia de esta prueba es PASS de consentimiento y ejecución. No constituye un fallo de confirmation integrity. La observación temporal queda ABIERTA hasta poder reproducirse de forma controlada con una llamada dedicada.</w:t>
      </w:r>
    </w:p>
    <w:p>
      <w:pPr>
        <w:pStyle w:val="CodeBlock"/>
      </w:pPr>
      <w:r>
        <w:t>E2E handoff observado:</w:t>
        <w:br/>
        <w:t>caller expresa necesidad externa -&gt; Gemini ofrece transferencia -&gt; caller confirma "sí" -&gt; TOOL_AUTHORIZATION_ALLOWED (CONFIRMED_OFFER) -&gt; HUMAN_HANDOFF_ACCEPTED -&gt; TRANSFERRED -&gt; destino automático responde -&gt; caller cuelga</w:t>
      </w:r>
    </w:p>
    <w:p>
      <w:pPr>
        <w:pStyle w:val="Heading2"/>
      </w:pPr>
      <w:r>
        <w:t>6.7 Seguridad semántica y reputación persistente - PR #93/#94</w:t>
      </w:r>
    </w:p>
    <w:p>
      <w:pPr/>
      <w:r>
        <w:t>SEC-P0-02 y SEC-P0-03 están implementados, fusionados y verificados E2E. report_semantic_security_incident acepta categorías cerradas, cruza FastToolAuthorizationKernel y entrega una señal mínima a CallerSecurityService.</w:t>
      </w:r>
    </w:p>
    <w:p>
      <w:pPr>
        <w:pStyle w:val="ListBullet"/>
      </w:pPr>
      <w:r>
        <w:t>PR #93 / merge 2ecc4cc643f1933ea7f353ab26aa231bda89e7e6: frontera semántica Gemini Fast para PROMPT_EXFILTRATION, PROMPT_INJECTION, ROLE_ESCALATION y TOOL_MANIPULATION.</w:t>
      </w:r>
    </w:p>
    <w:p>
      <w:pPr>
        <w:pStyle w:val="ListBullet"/>
      </w:pPr>
      <w:r>
        <w:t>PR #94 / merge 91b473a475a6fd7c235822c5c930cc0f5eba2002: sideband autenticado, identidad trusted, eventKey SHA-256 opaco y entrega durable Gemini-native.</w:t>
      </w:r>
    </w:p>
    <w:p>
      <w:pPr>
        <w:pStyle w:val="ListBullet"/>
      </w:pPr>
      <w:r>
        <w:t>Privacidad: no transcript, audio, prompt, tool payload, callControlId ni toolCallId en caller_security_events; raw_transcript_stored=false.</w:t>
      </w:r>
    </w:p>
    <w:p>
      <w:pPr>
        <w:pStyle w:val="ListBullet"/>
      </w:pPr>
      <w:r>
        <w:t>E2E A-G: cuatro eventos únicos persistidos en 40-135 ms, ningún TOOL_EXECUTION_FAILED; transferencia contestada y cierre HUMAN_HANDOFF_TERMINAL.</w:t>
      </w:r>
    </w:p>
    <w:p>
      <w:pPr>
        <w:pStyle w:val="Heading2"/>
      </w:pPr>
      <w:r>
        <w:t>6.8 Cobertura universal del Tool Kernel - SEC-P0-04</w:t>
      </w:r>
    </w:p>
    <w:p>
      <w:pPr/>
      <w:r>
        <w:t>Publicado el 29 de agosto de 2026 en la rama codex/fix-fast-security-persistence mediante el commit 1d514b5617a9f10691359ba6eb2493a478324baf. Pendiente de CI, despliegue y verificación E2E. La autorización deja de ser una convención de orden en fast-runtime y pasa a ser una precondición técnica de cada sink effectful.</w:t>
      </w:r>
    </w:p>
    <w:p>
      <w:pPr>
        <w:pStyle w:val="ListBullet"/>
      </w:pPr>
      <w:r>
        <w:t>FastToolAuthorizationKernel emite un recibo opaco mediante un WeakMap privado; no puede fabricarse copiando los campos públicos de una decisión ALLOW.</w:t>
      </w:r>
    </w:p>
    <w:p>
      <w:pPr>
        <w:pStyle w:val="ListBullet"/>
      </w:pPr>
      <w:r>
        <w:t>El recibo queda ligado por identidad a la function call exacta y al tenantId/callControlId autenticado.</w:t>
      </w:r>
    </w:p>
    <w:p>
      <w:pPr>
        <w:pStyle w:val="ListBullet"/>
      </w:pPr>
      <w:r>
        <w:t>El ejecutor usa la instantánea de argumentos autorizada; una mutación posterior del payload no altera el efecto ejecutado.</w:t>
      </w:r>
    </w:p>
    <w:p>
      <w:pPr>
        <w:pStyle w:val="ListBullet"/>
      </w:pPr>
      <w:r>
        <w:t>El sink especial transfer_call valida el mismo recibo antes de autorizar o iniciar el handoff.</w:t>
      </w:r>
    </w:p>
    <w:p>
      <w:pPr>
        <w:pStyle w:val="ListBullet"/>
      </w:pPr>
      <w:r>
        <w:t>Prueba focalizada: 22/22 PASS. Reproducción previa: llamada directa al ejecutor produjo effects=1. Verificación posterior: effects=0 y error Fast tool authorization receipt is required.</w:t>
      </w:r>
    </w:p>
    <w:p>
      <w:pPr>
        <w:pStyle w:val="Heading2"/>
      </w:pPr>
      <w:r>
        <w:t>6.9 Aislamiento tenant/capability - SEC-P0-05</w:t>
      </w:r>
    </w:p>
    <w:p>
      <w:pPr/>
      <w:r>
        <w:t>Publicado en a95a9311b4f9c68d1ad1894c1273b6ccf181a462 y desplegado el 29 de agosto de 2026 mediante Gemini Fast Canary Deploy run 33261676273. El bootstrap autenticado gemini-fast-bootstrap.v2 convierte la capability de cada tool en una concesión explícita y tenant-bound.</w:t>
      </w:r>
    </w:p>
    <w:p>
      <w:pPr>
        <w:pStyle w:val="ListBullet"/>
      </w:pPr>
      <w:r>
        <w:t>Control Plane exige nombre y capability válidos, sin duplicados, y conserva ambos en el bootstrap autenticado ligado a credencial, tenant y llamada.</w:t>
      </w:r>
    </w:p>
    <w:p>
      <w:pPr>
        <w:pStyle w:val="ListBullet"/>
      </w:pPr>
      <w:r>
        <w:t>Media Edge rechaza capability ausente o distinta de la policy local antes de construir la sesión o registrar handlers.</w:t>
      </w:r>
    </w:p>
    <w:p>
      <w:pPr>
        <w:pStyle w:val="ListBullet"/>
      </w:pPr>
      <w:r>
        <w:t>El Worker rechaza un registro tenant_capabilities cuyo tenant declarado no coincide con el tenant resuelto por routing.</w:t>
      </w:r>
    </w:p>
    <w:p>
      <w:pPr>
        <w:pStyle w:val="ListBullet"/>
      </w:pPr>
      <w:r>
        <w:t>No añade RPC, inferencia, persistencia ni trabajo por chunk de audio; la capability interna no se envía al wire de Gemini.</w:t>
      </w:r>
    </w:p>
    <w:p>
      <w:pPr>
        <w:pStyle w:val="ListBullet"/>
      </w:pPr>
      <w:r>
        <w:t>Canary verificado: Cloud Run gemini-media-edge-00205-mub; Fast Worker 318b36d8-a900-4fe9-99ba-64863891883f; bootstrap/HMAC PASS.</w:t>
      </w:r>
    </w:p>
    <w:p>
      <w:pPr>
        <w:pStyle w:val="Heading2"/>
      </w:pPr>
      <w:r>
        <w:t>6.10 Auditoría segura unificada - SEC-P0-06</w:t>
      </w:r>
    </w:p>
    <w:p>
      <w:pPr/>
      <w:r>
        <w:t>Implementado y verificado localmente el 29 de agosto de 2026, pendiente de commit, CI y despliegue. El Gemini Fast Worker aplica una frontera común de persistencia segura en /internal/diagnostics-ingest antes de usar la credencial privilegiada de Supabase.</w:t>
      </w:r>
    </w:p>
    <w:p>
      <w:pPr>
        <w:pStyle w:val="ListBullet"/>
      </w:pPr>
      <w:r>
        <w:t>El evento se reconstruye desde un schema top-level cerrado y details se proyecta a una allowlist explícita de códigos, métricas y booleanos bounded.</w:t>
      </w:r>
    </w:p>
    <w:p>
      <w:pPr>
        <w:pStyle w:val="ListBullet"/>
      </w:pPr>
      <w:r>
        <w:t>Campos desconocidos como transcript, system_prompt, tokens, teléfonos, provider payloads u objetos anidados se descartan antes de llegar a call_diagnostic_events.</w:t>
      </w:r>
    </w:p>
    <w:p>
      <w:pPr>
        <w:pStyle w:val="ListBullet"/>
      </w:pPr>
      <w:r>
        <w:t>Un tipo inválido en una clave permitida falla cerrado con INVALID_DIAGNOSTICS y cero llamadas al sink Supabase.</w:t>
      </w:r>
    </w:p>
    <w:p>
      <w:pPr>
        <w:pStyle w:val="ListBullet"/>
      </w:pPr>
      <w:r>
        <w:t>La reproducción previa confirmó que detalles arbitrarios alcanzaban el body REST. Tras el cambio sólo persisten metadatos técnicos permitidos.</w:t>
      </w:r>
    </w:p>
    <w:p>
      <w:pPr>
        <w:pStyle w:val="ListBullet"/>
      </w:pPr>
      <w:r>
        <w:t>La frontera es Gemini-native, vive en el Worker y se ejecuta durante el flush sideband posterior; no importa el redactor OpenAI ni toca audio, VAD, codecs, buffers o forwarding por chunk.</w:t>
      </w:r>
    </w:p>
    <w:p>
      <w:pPr>
        <w:pStyle w:val="ListBullet"/>
      </w:pPr>
      <w:r>
        <w:t>human_handoff_events mantiene un contrato operacional separado: puede conservar teléfonos estrictamente necesarios para la transferencia, con acceso restringido y enmascarado en revisiones ordinarias; esa excepción no aplica al diagnóstico general.</w:t>
      </w:r>
    </w:p>
    <w:p>
      <w:pPr>
        <w:pStyle w:val="Heading1"/>
        <w:keepNext/>
      </w:pPr>
      <w:r>
        <w:t>7. Qué reutilizar, adaptar o no copiar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Pieza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Decisión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Motivo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Caller security RPC/state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REUTILIZAR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Persistencia, rate-limit, strikes, bloqueos y tenant-scoped identity son horizontales.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Telnyx signature/admission identity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REUTILIZAR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Debe seguir siendo frontera de confianza para llamadas entrantes.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Durable signal delivery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REUTILIZAR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Adecuado para señales de seguridad fuera del hot path.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Semantic security categories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ADAPTAR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Buen modelo conceptual; integrar con Gemini Fast y el kernel genérico.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V33 pre-agent interception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ADAPTAR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Patrón útil para alta confianza, pero sin convertir regex en autoridad semántica.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V34 blocked phrases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NO COPIAR COMO AUTORIDAD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Sólo defensa en profundidad opcional.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OpenAI ToolGateway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NO PORTAR LITERALMENTE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El FastToolAuthorizationKernel ya es la frontera genérica más limpia.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Reservation ownership/confirm/concurrency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REUTILIZAR INVARIANTES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Portar reglas de dominio cuando se implementen tools de reserva Gemini.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Diagnostic redaction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REUTILIZAR/UNIFICAR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Mantener minimización y allowlists; evitar dos políticas divergentes.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8. Arquitectura objetivo de seguridad</w:t>
      </w:r>
    </w:p>
    <w:p>
      <w:pPr>
        <w:pStyle w:val="CodeBlock"/>
        <w:spacing w:after="80"/>
      </w:pPr>
      <w:r>
        <w:t>1) TELNYX ADMISSION</w:t>
        <w:br/>
        <w:t xml:space="preserve">   firma -&gt; event identity -&gt; tenant -&gt; caller security -&gt; provider route</w:t>
        <w:br/>
        <w:br/>
        <w:t>2) LIVE CONVERSATION</w:t>
        <w:br/>
        <w:t xml:space="preserve">   audio hot path DIRECTO (sin clasificador de seguridad por chunk)</w:t>
        <w:br/>
        <w:t xml:space="preserve">        |</w:t>
        <w:br/>
        <w:t xml:space="preserve">        +-&gt; eventos discretos / transcript / function call</w:t>
        <w:br/>
        <w:br/>
        <w:t>3) SEMANTIC SECURITY</w:t>
        <w:br/>
        <w:t xml:space="preserve">   modelo interpreta intención y contexto -&gt; propone categoría/tool</w:t>
        <w:br/>
        <w:br/>
        <w:t>4) DETERMINISTIC AUTHORIZATION</w:t>
        <w:br/>
        <w:t xml:space="preserve">   FastToolAuthorizationKernel</w:t>
        <w:br/>
        <w:t xml:space="preserve">   declared tool + policy + tenant + authority + evidence + effect + capability</w:t>
        <w:br/>
        <w:t xml:space="preserve">           | ALLOW                       | DENY</w:t>
        <w:br/>
        <w:t xml:space="preserve">           v                             v</w:t>
        <w:br/>
        <w:t>5) DOMAIN KERNEL / HANDLER          respuesta segura / no side effect</w:t>
        <w:br/>
        <w:t xml:space="preserve">           |</w:t>
        <w:br/>
        <w:t>6) EXTERNAL EFFECT + AUDIT MINIMAL</w:t>
      </w:r>
    </w:p>
    <w:p>
      <w:pPr>
        <w:pStyle w:val="Heading2"/>
        <w:keepNext/>
      </w:pPr>
      <w:r>
        <w:t>8.1 Separación de responsabilidades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Capa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Autoridad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Gemini Live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Comprender lenguaje natural y proponer intención/tool.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FastToolAuthorizationKernel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Decidir si la propuesta puede cruzar la frontera de efectos.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Domain kernel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Aplicar invariantes del negocio: ownership, disponibilidad, concurrencia, confirmación, etc.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Supabase/backend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Fuente de verdad persistente y constraints transaccionales.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Worker clock/config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Autoridad de contexto interno cuando corresponda.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Diagnostics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Registrar sólo evidencia segura necesaria para demostrar decisiones.</w:t>
            </w:r>
          </w:p>
        </w:tc>
      </w:tr>
    </w:tbl>
    <w:p>
      <w:pPr>
        <w:spacing w:after="0"/>
      </w:pPr>
    </w:p>
    <w:p>
      <w:pPr>
        <w:pStyle w:val="Heading2"/>
      </w:pPr>
      <w:r>
        <w:t>8.2 Capacidades transversales, verticales y contrato de tools</w:t>
      </w:r>
    </w:p>
    <w:p>
      <w:pPr/>
      <w:r>
        <w:t>El producto distingue capacidades transversales del kernel y capacidades verticales del tenant. Una vertical consume capacidades horizontales mediante contratos; no duplica ni puede debilitar sus controles.</w:t>
      </w:r>
    </w:p>
    <w:p>
      <w:pPr>
        <w:pStyle w:val="ListBullet"/>
      </w:pPr>
      <w:r>
        <w:t>TRANSVERSALES: admission e identidad Telnyx, caller security/reputación, flujo y lifecycle de voz, autorización de tools, human handoff, autoridad temporal, diagnóstico/redacción y comunicaciones externas.</w:t>
      </w:r>
    </w:p>
    <w:p>
      <w:pPr>
        <w:pStyle w:val="ListBullet"/>
      </w:pPr>
      <w:r>
        <w:t>WHATSAPP TRANSVERSAL: el KV distingue message.whatsapp.transactional y message.whatsapp.realtime_support; ambas modalidades requieren capability explícita del tenant.</w:t>
      </w:r>
    </w:p>
    <w:p>
      <w:pPr>
        <w:pStyle w:val="ListBullet"/>
      </w:pPr>
      <w:r>
        <w:t>VERTICALES: reservas, disponibilidad, horarios, mesas y reglas propias del negocio/tenant; sus datos e invariantes viven en dominio/backend.</w:t>
      </w:r>
    </w:p>
    <w:p>
      <w:pPr>
        <w:pStyle w:val="ListBullet"/>
      </w:pPr>
      <w:r>
        <w:t>CONTRATO DE TOOL: nombre y schema cerrados; authority; effect; capability; evidence; handler permitido; tenant/call context; idempotencia; y, cuando aplique, confirmación y business invariants.</w:t>
      </w:r>
    </w:p>
    <w:p>
      <w:pPr>
        <w:pStyle w:val="ListBullet"/>
      </w:pPr>
      <w:r>
        <w:t>INVARIANTE: Gemini interpreta y propone. FastToolAuthorizationKernel decide ALLOW/DENY. El domain kernel valida la vertical. Supabase/backend ejecuta como fuente de verdad.</w:t>
      </w:r>
    </w:p>
    <w:p>
      <w:pPr>
        <w:pStyle w:val="Heading1"/>
        <w:keepNext/>
      </w:pPr>
      <w:r>
        <w:t>9. Auditoría, privacidad y evidencia forense</w:t>
      </w:r>
    </w:p>
    <w:p>
      <w:pPr>
        <w:pStyle w:val="Heading2"/>
        <w:keepNext/>
      </w:pPr>
      <w:r>
        <w:t>9.1 Política de minimización</w:t>
      </w:r>
    </w:p>
    <w:p>
      <w:pPr>
        <w:pStyle w:val="ListBullet"/>
        <w:spacing w:after="40"/>
      </w:pPr>
      <w:r>
        <w:t>No persistir transcript bruto como evidencia de seguridad si un hash + longitud + categoría son suficientes.</w:t>
      </w:r>
    </w:p>
    <w:p>
      <w:pPr>
        <w:pStyle w:val="ListBullet"/>
        <w:spacing w:after="40"/>
      </w:pPr>
      <w:r>
        <w:t>Nunca persistir system/developer prompts ni instrucciones internas completas.</w:t>
      </w:r>
    </w:p>
    <w:p>
      <w:pPr>
        <w:pStyle w:val="ListBullet"/>
        <w:spacing w:after="40"/>
      </w:pPr>
      <w:r>
        <w:t>Nunca persistir secrets, bearer tokens, API keys, passwords o credenciales temporales.</w:t>
      </w:r>
    </w:p>
    <w:p>
      <w:pPr>
        <w:pStyle w:val="ListBullet"/>
        <w:spacing w:after="40"/>
      </w:pPr>
      <w:r>
        <w:t>Redactar PII: teléfonos, nombres, email, dirección, documentos, códigos de reserva y notas sensibles.</w:t>
      </w:r>
    </w:p>
    <w:p>
      <w:pPr>
        <w:pStyle w:val="ListBullet"/>
        <w:spacing w:after="40"/>
      </w:pPr>
      <w:r>
        <w:t>Para tool authorization, preferir kind/source/authority/effect/capability/status; no guardar caller_authority_evidence salvo necesidad excepcional y revisión explícita.</w:t>
      </w:r>
    </w:p>
    <w:p>
      <w:pPr>
        <w:pStyle w:val="ListBullet"/>
        <w:spacing w:after="40"/>
      </w:pPr>
      <w:r>
        <w:t>Una redacción técnica no convierte los datos en anónimos: siguen requiriendo control de acceso y retención.</w:t>
      </w:r>
    </w:p>
    <w:p>
      <w:pPr>
        <w:pStyle w:val="Heading2"/>
        <w:keepNext/>
      </w:pPr>
      <w:r>
        <w:t>9.2 Evidencia suficiente para investigar sin transcript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Evento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Campos seguros sugeridos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TOOL_AUTHORIZATION_ALLOWED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kind, source, authority, effect, capability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TOOL_AUTHORIZATION_BLOCKED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kind, source/status, effect, capability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CALLER_SECURITY_SIGNAL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event_type, severity, risk_delta, transcript_sha256, transcript_length, raw_transcript_stored=false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TEMPORAL SUCCESS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kind=AUTHORITATIVE_DATETIME, source=WORKER_CLOCK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HANDOFF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estado y timestamps operativos; evitar contenido de conversación y teléfonos en diagnóstico general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10. Riesgos abiertos y backlog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rPr>
          <w:cantSplit/>
        </w:trPr>
        <w:tc>
          <w:tcPr>
            <w:tcW w:type="dxa" w:w="10200"/>
            <w:shd w:fill="EAF2F8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8" w:color="5B9BD5"/>
              <w:left w:val="single" w:sz="8" w:color="5B9BD5"/>
              <w:bottom w:val="single" w:sz="8" w:color="5B9BD5"/>
              <w:right w:val="single" w:sz="8" w:color="5B9BD5"/>
            </w:tcBorders>
          </w:tcPr>
          <w:p>
            <w:pPr>
              <w:spacing w:after="60"/>
            </w:pPr>
            <w:r>
              <w:rPr>
                <w:b/>
                <w:color w:val="5B9BD5"/>
                <w:sz w:val="20"/>
              </w:rPr>
              <w:t>Regla del backlog</w:t>
            </w:r>
          </w:p>
          <w:p>
            <w:pPr>
              <w:spacing w:after="0"/>
            </w:pPr>
            <w:r>
              <w:rPr>
                <w:sz w:val="18"/>
              </w:rPr>
              <w:t>Un ítem sólo se marca como cerrado cuando existe evidencia verificable: test, código exacto, deploy y/o llamada real según el tipo de control.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Pri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Trabajo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Alcance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Cierre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SEC-P0-01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P0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Mapa completo OpenAI -&gt; Gemini Fast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Inventariar cada control y marcar REUSE/ADAPT/RETIRED con evidencia actual.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Matriz completa y revisada contra stable actual.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SEC-P0-02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P0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Semantic Security Boundary para Gemini Fast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Diseñar/integrar detección semántica de prompt injection/exfiltration/role/tool manipulation fuera del hot path.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Tests semánticos + sin listas rígidas como autoridad + no latencia per-chunk.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SEC-P0-03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P0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Conectar incidentes semánticos con caller reputation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Registrar señales high/low en los RPC existentes sin transcript bruto.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Risk/strike actualizado e idempotente; cola durable en fallo.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SEC-P0-04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P0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Cobertura universal del Tool Kernel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Verificar que toda tool presente/futura tiene policy local y que no existe bypass directo a handlers.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COMMIT/PUSH 1d514b5617a9f10691359ba6eb2493a478324baf; incluido en el canary 33261676273 mediante el SHA posterior a95a9311...; pruebas locales PASS. E2E telefónico no repetido.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SEC-P0-05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P0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Tenant/capability isolation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Probar intentos cross-tenant, capability ausente y capability distinta del contrato local.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COMMIT/PUSH a95a9311b4f9c68d1ad1894c1273b6ccf181a462; canary 33261676273 SUCCESS; bootstrap/HMAC verificados. E2E telefónico no repetido.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SEC-P0-06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P0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Auditoría segura unificada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Comparar redactor OpenAI con diagnostic-journal Fast y unificar mínimos.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IMPLEMENTADO LOCALMENTE: reproducción de fuga previa; allowlist en sink; transcript/prompt/token/teléfono/payload anidado descartados; tipos inválidos fallan antes de Supabase; tests/typecheck/dry-run PASS. Pendiente commit/CI/deploy.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SEC-P1-01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P1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Cierre de llamada por ataque high-confidence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Definir cuándo debe terminar la llamada actual vs sólo registrar/advertir.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Política documentada + lifecycle test + falsos positivos evaluados.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SEC-P1-02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P1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Runbook de desbloqueo/falsos positivos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Proceso seguro para revisar y remediar bloqueos legítimos.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Procedimiento, permisos y audit trail.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SEC-P1-03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P1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Regression suite de seguridad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Canary/synthetic tests para tool authority, tenant isolation, telemetry leakage y replay.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CI reproducible y gate definido.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SEC-P1-04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P1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Retención de security/audit data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Definir retención, acceso y borrado conforme a necesidad operativa/legal.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Política escrita + configuración aplicada.</w:t>
            </w:r>
          </w:p>
        </w:tc>
      </w:tr>
      <w:tr>
        <w:tc>
          <w:tcPr>
            <w:tcW w:type="dxa" w:w="2040"/>
          </w:tcPr>
          <w:p>
            <w:r>
              <w:t>SEC-P1-05</w:t>
            </w:r>
          </w:p>
        </w:tc>
        <w:tc>
          <w:tcPr>
            <w:tcW w:type="dxa" w:w="2040"/>
          </w:tcPr>
          <w:p>
            <w:r>
              <w:t>P1</w:t>
            </w:r>
          </w:p>
        </w:tc>
        <w:tc>
          <w:tcPr>
            <w:tcW w:type="dxa" w:w="2040"/>
          </w:tcPr>
          <w:p>
            <w:r>
              <w:t>Reproducir doble invocación temporal</w:t>
            </w:r>
          </w:p>
        </w:tc>
        <w:tc>
          <w:tcPr>
            <w:tcW w:type="dxa" w:w="2040"/>
          </w:tcPr>
          <w:p>
            <w:r>
              <w:t>Ejecutar llamada controlada: meteorología sin necesidad de reloj -&gt; pausa -&gt; pregunta explícita por hora; correlacionar únicamente telemetría segura y orden de eventos.</w:t>
            </w:r>
          </w:p>
        </w:tc>
        <w:tc>
          <w:tcPr>
            <w:tcW w:type="dxa" w:w="2040"/>
          </w:tcPr>
          <w:p>
            <w:r>
              <w:t>Cero tool temporal en tramo meteorológico; una única invocación cuando la petición realmente depende de fecha/hora, o explicación documentada si existe necesidad legítima.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11. Criterios de aceptación para cambios de seguridad</w:t>
      </w:r>
    </w:p>
    <w:p>
      <w:pPr>
        <w:pStyle w:val="ListNumber"/>
        <w:spacing w:after="40"/>
      </w:pPr>
      <w:r>
        <w:t>No modifica el continuous audio hot path salvo autorización explícita y necesidad demostrada.</w:t>
      </w:r>
    </w:p>
    <w:p>
      <w:pPr>
        <w:pStyle w:val="ListNumber"/>
        <w:spacing w:after="40"/>
      </w:pPr>
      <w:r>
        <w:t>No cambia modelo, VAD, codecs, resampler, buffers o bridge si el control puede vivir en control/tool path.</w:t>
      </w:r>
    </w:p>
    <w:p>
      <w:pPr>
        <w:pStyle w:val="ListNumber"/>
        <w:spacing w:after="40"/>
      </w:pPr>
      <w:r>
        <w:t>Todo efecto sensible pasa por una policy/kernel server-side; no confía en una afirmación del modelo como prueba suficiente.</w:t>
      </w:r>
    </w:p>
    <w:p>
      <w:pPr>
        <w:pStyle w:val="ListNumber"/>
        <w:spacing w:after="40"/>
      </w:pPr>
      <w:r>
        <w:t>Tenant y caller identity se obtienen de contexto confiable; no de argumentos libres del modelo.</w:t>
      </w:r>
    </w:p>
    <w:p>
      <w:pPr>
        <w:pStyle w:val="ListNumber"/>
        <w:spacing w:after="40"/>
      </w:pPr>
      <w:r>
        <w:t>Fallo de policy/evidence/capability/ownership produce cero side effects.</w:t>
      </w:r>
    </w:p>
    <w:p>
      <w:pPr>
        <w:pStyle w:val="ListNumber"/>
        <w:spacing w:after="40"/>
      </w:pPr>
      <w:r>
        <w:t>Operación idempotente o protegida contra replay/duplicados.</w:t>
      </w:r>
    </w:p>
    <w:p>
      <w:pPr>
        <w:pStyle w:val="ListNumber"/>
        <w:spacing w:after="40"/>
      </w:pPr>
      <w:r>
        <w:t>Logs/diagnósticos no contienen secretos, PII innecesaria, prompts internos o transcript bruto.</w:t>
      </w:r>
    </w:p>
    <w:p>
      <w:pPr>
        <w:pStyle w:val="ListNumber"/>
        <w:spacing w:after="40"/>
      </w:pPr>
      <w:r>
        <w:t>Pruebas unitarias y regresión pasan; los tests negativos son obligatorios.</w:t>
      </w:r>
    </w:p>
    <w:p>
      <w:pPr>
        <w:pStyle w:val="ListNumber"/>
        <w:spacing w:after="40"/>
      </w:pPr>
      <w:r>
        <w:t>Se registra el SHA exacto y el estado de CI/canary/deploy.</w:t>
      </w:r>
    </w:p>
    <w:p>
      <w:pPr>
        <w:pStyle w:val="ListNumber"/>
        <w:spacing w:after="40"/>
      </w:pPr>
      <w:r>
        <w:t>Si cambia un comportamiento real de llamada, existe prueba E2E o llamada controlada y se registra la evidencia.</w:t>
      </w:r>
    </w:p>
    <w:p>
      <w:pPr>
        <w:pStyle w:val="ListNumber"/>
        <w:spacing w:after="40"/>
      </w:pPr>
      <w:r>
        <w:t>El documento vivo se actualiza antes de considerar terminado el bloque de trabajo.</w:t>
      </w:r>
    </w:p>
    <w:p>
      <w:pPr>
        <w:pStyle w:val="Heading1"/>
        <w:keepNext/>
      </w:pPr>
      <w:r>
        <w:t>12. Protocolo para retomar el trabajo en otra sesión</w:t>
      </w:r>
    </w:p>
    <w:p>
      <w:pPr>
        <w:spacing w:after="40"/>
      </w:pPr>
      <w:r>
        <w:t>1. Abrir la última versión de esta guía desde la Library y leer “Estado autoritativo”, “Backlog” y “Registro de decisiones”.</w:t>
      </w:r>
    </w:p>
    <w:p>
      <w:pPr>
        <w:spacing w:after="40"/>
      </w:pPr>
      <w:r>
        <w:t>2. Consultar GitHub: rama rebuild/v39-stable-baseline y obtener el SHA actual. Si difiere del documentado, revisar merges desde el último corte.</w:t>
      </w:r>
    </w:p>
    <w:p>
      <w:pPr>
        <w:spacing w:after="40"/>
      </w:pPr>
      <w:r>
        <w:t>3. Verificar workflows/deploy relevantes del SHA actual. No asumir que stable == producción general.</w:t>
      </w:r>
    </w:p>
    <w:p>
      <w:pPr>
        <w:spacing w:after="40"/>
      </w:pPr>
      <w:r>
        <w:t>4. Reconciliar el documento: actualizar snapshot y marcar cualquier control que haya quedado obsoleto o pendiente de volver a verificar.</w:t>
      </w:r>
    </w:p>
    <w:p>
      <w:pPr>
        <w:spacing w:after="40"/>
      </w:pPr>
      <w:r>
        <w:t>5. Elegir el ítem de backlog de mayor prioridad compatible con el objetivo de la sesión.</w:t>
      </w:r>
    </w:p>
    <w:p>
      <w:pPr>
        <w:spacing w:after="40"/>
      </w:pPr>
      <w:r>
        <w:t>6. Antes de modificar código, identificar exactamente qué archivos/capas se tocarán y confirmar que no entran en el hot path protegido.</w:t>
      </w:r>
    </w:p>
    <w:p>
      <w:pPr>
        <w:spacing w:after="40"/>
      </w:pPr>
      <w:r>
        <w:t>7. Implementar de forma mínima, con tests negativos/fail-closed y evidencia de auditoría segura.</w:t>
      </w:r>
    </w:p>
    <w:p>
      <w:pPr>
        <w:spacing w:after="40"/>
      </w:pPr>
      <w:r>
        <w:t>8. Después de merge/deploy/prueba: registrar SHA, PR, workflow, resultado y decisión en esta guía.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rPr>
          <w:cantSplit/>
        </w:trPr>
        <w:tc>
          <w:tcPr>
            <w:tcW w:type="dxa" w:w="10200"/>
            <w:shd w:fill="E2F0D9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8" w:color="548235"/>
              <w:left w:val="single" w:sz="8" w:color="548235"/>
              <w:bottom w:val="single" w:sz="8" w:color="548235"/>
              <w:right w:val="single" w:sz="8" w:color="548235"/>
            </w:tcBorders>
          </w:tcPr>
          <w:p>
            <w:pPr>
              <w:spacing w:after="60"/>
            </w:pPr>
            <w:r>
              <w:rPr>
                <w:b/>
                <w:color w:val="548235"/>
                <w:sz w:val="20"/>
              </w:rPr>
              <w:t>Frase útil para una sesión nueva</w:t>
            </w:r>
          </w:p>
          <w:p>
            <w:pPr>
              <w:spacing w:after="0"/>
            </w:pPr>
            <w:r>
              <w:rPr>
                <w:sz w:val="18"/>
              </w:rPr>
              <w:t>“Abre la última Guía Viva de Seguridad de IA_RealTime_CenterCall, verifica el SHA actual de rebuild/v39-stable-baseline, compáralo con el snapshot del documento y continúa desde el backlog sin tocar el hot path de audio.”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13. Registro de decisiones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Fecha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Decisión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Contenido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Estado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D-001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Documento vivo de seguridad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Toda evolución de seguridad se documentará aquí para continuidad entre sesiones.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ACEPTADA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D-002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Seguridad fuera del audio hot path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Controles de admisión, semántica, autorización y auditoría se ejecutan fuera del forwarding continuo.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ACEPTADA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D-003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No listas rígidas como autoridad semántica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La intención se interpreta por contexto. Regex/denylist sólo defensa en profundidad.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ACEPTADA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D-004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Tool proposal no es autorización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Toda function call cruza FastToolAuthorizationKernel antes de handlers/efectos.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IMPLEMENTADA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D-005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Policy local obligatoria por tool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Una tool declarada sin policy debe fallar cerrada. Políticas horizontales no pueden sobreescribirse.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IMPLEMENTADA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D-006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Read-only semantic necessity sin transcript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Permitido sólo para READ_CONTEXT/READ_BUSINESS_DATA; evita dependencia del timing de transcripción.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IMPLEMENTADA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D-007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Efectos caller-governed con evidencia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Acciones mutantes/destructivas/terminales exigen autoridad/evidencia del turno actual.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IMPLEMENTADA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Reutilizar caller reputation de OpenAI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Rate-limit, risk score, strikes y blocks forman la base horizontal para Gemini Fast.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IMPLEMENTADA Y VERIFICADA E2E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D-009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Forense mínimo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No guardar transcript bruto; preferir hash/longitud/categoría y safe tool diagnostics.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ACEPTADA</w:t>
            </w:r>
          </w:p>
        </w:tc>
      </w:tr>
      <w:tr>
        <w:tc>
          <w:tcPr>
            <w:tcW w:type="dxa" w:w="2040"/>
          </w:tcPr>
          <w:p>
            <w:r>
              <w:t>D-010</w:t>
            </w:r>
          </w:p>
        </w:tc>
        <w:tc>
          <w:tcPr>
            <w:tcW w:type="dxa" w:w="2040"/>
          </w:tcPr>
          <w:p>
            <w:r>
              <w:t>2026-08-28</w:t>
            </w:r>
          </w:p>
        </w:tc>
        <w:tc>
          <w:tcPr>
            <w:tcW w:type="dxa" w:w="2040"/>
          </w:tcPr>
          <w:p>
            <w:r>
              <w:t>Distinguir oferta de transferencia de consentimiento confirmado</w:t>
            </w:r>
          </w:p>
        </w:tc>
        <w:tc>
          <w:tcPr>
            <w:tcW w:type="dxa" w:w="2040"/>
          </w:tcPr>
          <w:p>
            <w:r>
              <w:t>Una transferencia sólo se considera autorizada cuando existe confirmación del caller. La prueba E2E confirmó que el caller sí respondió afirmativamente a la oferta; por tanto el evento CONFIRMED_OFFER fue correcto en esta llamada.</w:t>
            </w:r>
          </w:p>
        </w:tc>
        <w:tc>
          <w:tcPr>
            <w:tcW w:type="dxa" w:w="2040"/>
          </w:tcPr>
          <w:p>
            <w:r>
              <w:t>VERIFICADA EN PRODUCCIÓN</w:t>
            </w:r>
          </w:p>
        </w:tc>
      </w:tr>
      <w:tr>
        <w:tc>
          <w:tcPr>
            <w:tcW w:type="dxa" w:w="2040"/>
          </w:tcPr>
          <w:p>
            <w:r>
              <w:t>D-011</w:t>
            </w:r>
          </w:p>
        </w:tc>
        <w:tc>
          <w:tcPr>
            <w:tcW w:type="dxa" w:w="2040"/>
          </w:tcPr>
          <w:p>
            <w:r>
              <w:t>2026-08-29</w:t>
            </w:r>
          </w:p>
        </w:tc>
        <w:tc>
          <w:tcPr>
            <w:tcW w:type="dxa" w:w="2040"/>
          </w:tcPr>
          <w:p>
            <w:r>
              <w:t>Kernel transversal + verticales por tenant</w:t>
            </w:r>
          </w:p>
        </w:tc>
        <w:tc>
          <w:tcPr>
            <w:tcW w:type="dxa" w:w="2040"/>
          </w:tcPr>
          <w:p>
            <w:r>
              <w:t>Seguridad, voz, handoff, tiempo, diagnóstico y comunicación son capacidades horizontales. Las verticales consumen estas capacidades mediante tools declaradas y aplican invariantes de dominio propias.</w:t>
            </w:r>
          </w:p>
        </w:tc>
        <w:tc>
          <w:tcPr>
            <w:tcW w:type="dxa" w:w="2040"/>
          </w:tcPr>
          <w:p>
            <w:r>
              <w:t>ACEPTADA</w:t>
            </w:r>
          </w:p>
        </w:tc>
      </w:tr>
      <w:tr>
        <w:tc>
          <w:tcPr>
            <w:tcW w:type="dxa" w:w="2040"/>
          </w:tcPr>
          <w:p>
            <w:r>
              <w:t>D-012</w:t>
            </w:r>
          </w:p>
        </w:tc>
        <w:tc>
          <w:tcPr>
            <w:tcW w:type="dxa" w:w="2040"/>
          </w:tcPr>
          <w:p>
            <w:r>
              <w:t>2026-08-29</w:t>
            </w:r>
          </w:p>
        </w:tc>
        <w:tc>
          <w:tcPr>
            <w:tcW w:type="dxa" w:w="2040"/>
          </w:tcPr>
          <w:p>
            <w:r>
              <w:t>Contrato obligatorio de tools</w:t>
            </w:r>
          </w:p>
        </w:tc>
        <w:tc>
          <w:tcPr>
            <w:tcW w:type="dxa" w:w="2040"/>
          </w:tcPr>
          <w:p>
            <w:r>
              <w:t>Toda tool requiere schema cerrado, authority, effect, capability, evidence, handler y contexto tenant/call; las mutaciones añaden idempotencia, confirmación e invariantes de dominio.</w:t>
            </w:r>
          </w:p>
        </w:tc>
        <w:tc>
          <w:tcPr>
            <w:tcW w:type="dxa" w:w="2040"/>
          </w:tcPr>
          <w:p>
            <w:r>
              <w:t>IMPLEMENTADA COMO INVARIANTE DEL KERNEL</w:t>
            </w:r>
          </w:p>
        </w:tc>
      </w:tr>
      <w:tr>
        <w:tc>
          <w:tcPr>
            <w:tcW w:type="dxa" w:w="2040"/>
          </w:tcPr>
          <w:p>
            <w:r>
              <w:t>D-013</w:t>
            </w:r>
          </w:p>
        </w:tc>
        <w:tc>
          <w:tcPr>
            <w:tcW w:type="dxa" w:w="2040"/>
          </w:tcPr>
          <w:p>
            <w:r>
              <w:t>2026-08-29</w:t>
            </w:r>
          </w:p>
        </w:tc>
        <w:tc>
          <w:tcPr>
            <w:tcW w:type="dxa" w:w="2040"/>
          </w:tcPr>
          <w:p>
            <w:r>
              <w:t>Persistencia de seguridad sideband</w:t>
            </w:r>
          </w:p>
        </w:tc>
        <w:tc>
          <w:tcPr>
            <w:tcW w:type="dxa" w:w="2040"/>
          </w:tcPr>
          <w:p>
            <w:r>
              <w:t>La reputación se entrega fuera del forwarding continuo. Gemini Fast posee su endpoint, Queue/DLQ y fallback Supabase; el workflow verifica token y continuidad HMAC fail-closed sin depender del Worker histórico.</w:t>
            </w:r>
          </w:p>
        </w:tc>
        <w:tc>
          <w:tcPr>
            <w:tcW w:type="dxa" w:w="2040"/>
          </w:tcPr>
          <w:p>
            <w:r>
              <w:t>IMPLEMENTADA, CI VERDE Y VERIFICADA EN CANARY</w:t>
            </w:r>
          </w:p>
        </w:tc>
      </w:tr>
      <w:tr>
        <w:tc>
          <w:tcPr>
            <w:tcW w:type="dxa" w:w="2040"/>
          </w:tcPr>
          <w:p>
            <w:r>
              <w:t>D-014</w:t>
            </w:r>
          </w:p>
        </w:tc>
        <w:tc>
          <w:tcPr>
            <w:tcW w:type="dxa" w:w="2040"/>
          </w:tcPr>
          <w:p>
            <w:r>
              <w:t>2026-08-29</w:t>
            </w:r>
          </w:p>
        </w:tc>
        <w:tc>
          <w:tcPr>
            <w:tcW w:type="dxa" w:w="2040"/>
          </w:tcPr>
          <w:p>
            <w:r>
              <w:t>Recibo opaco obligatorio en cada sink de tools</w:t>
            </w:r>
          </w:p>
        </w:tc>
        <w:tc>
          <w:tcPr>
            <w:tcW w:type="dxa" w:w="2040"/>
          </w:tcPr>
          <w:p>
            <w:r>
              <w:t>Una decisión ALLOW sólo habilita el efecto mediante un recibo no fabricable, ligado a la call exacta y al contexto tenant/call. Executor y transfer_call consumen la instantánea autorizada.</w:t>
            </w:r>
          </w:p>
        </w:tc>
        <w:tc>
          <w:tcPr>
            <w:tcW w:type="dxa" w:w="2040"/>
          </w:tcPr>
          <w:p>
            <w:r>
              <w:t>PUBLICADA E INCLUIDA EN CANARY; E2E NO REPETIDO</w:t>
            </w:r>
          </w:p>
        </w:tc>
      </w:tr>
      <w:tr>
        <w:tc>
          <w:tcPr>
            <w:tcW w:type="dxa" w:w="2040"/>
          </w:tcPr>
          <w:p>
            <w:r>
              <w:t>D-015</w:t>
            </w:r>
          </w:p>
        </w:tc>
        <w:tc>
          <w:tcPr>
            <w:tcW w:type="dxa" w:w="2040"/>
          </w:tcPr>
          <w:p>
            <w:r>
              <w:t>2026-08-29</w:t>
            </w:r>
          </w:p>
        </w:tc>
        <w:tc>
          <w:tcPr>
            <w:tcW w:type="dxa" w:w="2040"/>
          </w:tcPr>
          <w:p>
            <w:r>
              <w:t>Capability grant explícito y tenant-bound</w:t>
            </w:r>
          </w:p>
        </w:tc>
        <w:tc>
          <w:tcPr>
            <w:tcW w:type="dxa" w:w="2040"/>
          </w:tcPr>
          <w:p>
            <w:r>
              <w:t>Cada tool admitida declara capability en bootstrap v2. Media Edge exige coincidencia exacta con la policy local antes de exponerla o ejecutarla; ausencia, mismatch o claims cross-tenant fallan cerrados.</w:t>
            </w:r>
          </w:p>
        </w:tc>
        <w:tc>
          <w:tcPr>
            <w:tcW w:type="dxa" w:w="2040"/>
          </w:tcPr>
          <w:p>
            <w:r>
              <w:t>IMPLEMENTADA, PUBLICADA Y VERIFICADA EN CANARY</w:t>
            </w:r>
          </w:p>
        </w:tc>
      </w:tr>
      <w:tr>
        <w:tc>
          <w:tcPr>
            <w:tcW w:type="dxa" w:w="2040"/>
          </w:tcPr>
          <w:p>
            <w:r>
              <w:t>D-016</w:t>
            </w:r>
          </w:p>
        </w:tc>
        <w:tc>
          <w:tcPr>
            <w:tcW w:type="dxa" w:w="2040"/>
          </w:tcPr>
          <w:p>
            <w:r>
              <w:t>2026-08-29</w:t>
            </w:r>
          </w:p>
        </w:tc>
        <w:tc>
          <w:tcPr>
            <w:tcW w:type="dxa" w:w="2040"/>
          </w:tcPr>
          <w:p>
            <w:r>
              <w:t>Allowlist obligatoria en el sink de diagnóstico general</w:t>
            </w:r>
          </w:p>
        </w:tc>
        <w:tc>
          <w:tcPr>
            <w:tcW w:type="dxa" w:w="2040"/>
          </w:tcPr>
          <w:p>
            <w:r>
              <w:t>El backend persiste sólo campos técnicos bounded desde un schema cerrado. Desconocidos se descartan y tipos inválidos fallan cerrados. human_handoff_events conserva un contrato operacional separado.</w:t>
            </w:r>
          </w:p>
        </w:tc>
        <w:tc>
          <w:tcPr>
            <w:tcW w:type="dxa" w:w="2040"/>
          </w:tcPr>
          <w:p>
            <w:r>
              <w:t>IMPLEMENTADA LOCALMENTE; PENDIENTE PUBLICACIÓN/DEPLOY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14. Registro de evidencia técnica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Fuente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Evidencia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Estado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E-001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GitHub stable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rebuild/v39-stable-baseline @ 12773c52a1f10dad6de160d0c41ead2d2eecfecf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E-002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PR #91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Generic FastToolAuthorizationKernel; merge ef5f3d30...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E-003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PR #92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Temporal semantic necessity/timing fix; merge 12773c52...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E-004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Workflow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Gemini Fast Canary Deploy #62; SHA 12773c52...; SUCCESS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 EN CANARY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E-005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Código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apps/gemini-media-edge/src/fast-tool-authorization-kernel.mjs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E-006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Código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apps/control-plane/src/index-v4.ts - Telnyx signature + caller security admission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E-007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Código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apps/control-plane/src/call-session-v33.ts - pre-agent high-confidence security close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E-008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Código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apps/control-plane/src/call-session-v34.ts - tenant/builtin denylist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 / LEGACY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E-009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Código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apps/control-plane/src/semantic-security-boundary.ts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 CONCEPTUAL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E-010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Código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apps/control-plane/src/technical-diagnostic-redaction.ts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E-011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Supabase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RPC security: anon/authenticated sin EXECUTE; service_role/postgres con EXECUTE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E-012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Supabase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caller_security_state/events con RLS y sin políticas públicas detectadas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c>
          <w:tcPr>
            <w:tcW w:type="dxa" w:w="2550"/>
          </w:tcPr>
          <w:p>
            <w:r>
              <w:t>E-013</w:t>
            </w:r>
          </w:p>
        </w:tc>
        <w:tc>
          <w:tcPr>
            <w:tcW w:type="dxa" w:w="2550"/>
          </w:tcPr>
          <w:p>
            <w:r>
              <w:t>Supabase + llamada real</w:t>
            </w:r>
          </w:p>
        </w:tc>
        <w:tc>
          <w:tcPr>
            <w:tcW w:type="dxa" w:w="2550"/>
          </w:tcPr>
          <w:p>
            <w:r>
              <w:t>Handoff: TOOL_AUTHORIZATION_ALLOWED source=CONFIRMED_OFFER -&gt; HUMAN_HANDOFF_ACCEPTED -&gt; TRANSFERRED; caller confirma que respondió explícitamente "sí" a la oferta y que el destino remoto fue un contestador/sistema automático.</w:t>
            </w:r>
          </w:p>
        </w:tc>
        <w:tc>
          <w:tcPr>
            <w:tcW w:type="dxa" w:w="2550"/>
          </w:tcPr>
          <w:p>
            <w:r>
              <w:t>VERIFICADO EN PRODUCCIÓN</w:t>
            </w:r>
          </w:p>
        </w:tc>
      </w:tr>
      <w:tr>
        <w:tc>
          <w:tcPr>
            <w:tcW w:type="dxa" w:w="2550"/>
          </w:tcPr>
          <w:p>
            <w:r>
              <w:t>E-014</w:t>
            </w:r>
          </w:p>
        </w:tc>
        <w:tc>
          <w:tcPr>
            <w:tcW w:type="dxa" w:w="2550"/>
          </w:tcPr>
          <w:p>
            <w:r>
              <w:t>Supabase + llamada real</w:t>
            </w:r>
          </w:p>
        </w:tc>
        <w:tc>
          <w:tcPr>
            <w:tcW w:type="dxa" w:w="2550"/>
          </w:tcPr>
          <w:p>
            <w:r>
              <w:t>Temporal: dos AUTHORITATIVE_DATETIME / WORKER_CLOCK en una misma llamada; una anterior y otra posterior a la pregunta explícita por la hora según la reconstrucción del caller. Primera invocación pendiente de reproducción controlada.</w:t>
            </w:r>
          </w:p>
        </w:tc>
        <w:tc>
          <w:tcPr>
            <w:tcW w:type="dxa" w:w="2550"/>
          </w:tcPr>
          <w:p>
            <w:r>
              <w:t>OBSERVACIÓN ABIERTA</w:t>
            </w:r>
          </w:p>
        </w:tc>
      </w:tr>
      <w:tr>
        <w:tc>
          <w:tcPr>
            <w:tcW w:type="dxa" w:w="2550"/>
          </w:tcPr>
          <w:p>
            <w:r>
              <w:t>E-015</w:t>
            </w:r>
          </w:p>
        </w:tc>
        <w:tc>
          <w:tcPr>
            <w:tcW w:type="dxa" w:w="2550"/>
          </w:tcPr>
          <w:p>
            <w:r>
              <w:t>PR #93</w:t>
            </w:r>
          </w:p>
        </w:tc>
        <w:tc>
          <w:tcPr>
            <w:tcW w:type="dxa" w:w="2550"/>
          </w:tcPr>
          <w:p>
            <w:r>
              <w:t>Semantic Security Boundary; merge 2ecc4cc643f1933ea7f353ab26aa231bda89e7e6</w:t>
            </w:r>
          </w:p>
        </w:tc>
        <w:tc>
          <w:tcPr>
            <w:tcW w:type="dxa" w:w="2550"/>
          </w:tcPr>
          <w:p>
            <w:r>
              <w:t>VERIFICADO</w:t>
            </w:r>
          </w:p>
        </w:tc>
      </w:tr>
      <w:tr>
        <w:tc>
          <w:tcPr>
            <w:tcW w:type="dxa" w:w="2550"/>
          </w:tcPr>
          <w:p>
            <w:r>
              <w:t>E-016</w:t>
            </w:r>
          </w:p>
        </w:tc>
        <w:tc>
          <w:tcPr>
            <w:tcW w:type="dxa" w:w="2550"/>
          </w:tcPr>
          <w:p>
            <w:r>
              <w:t>PR #94</w:t>
            </w:r>
          </w:p>
        </w:tc>
        <w:tc>
          <w:tcPr>
            <w:tcW w:type="dxa" w:w="2550"/>
          </w:tcPr>
          <w:p>
            <w:r>
              <w:t>Fast semantic incidents -&gt; caller reputation; merge 91b473a475a6fd7c235822c5c930cc0f5eba2002</w:t>
            </w:r>
          </w:p>
        </w:tc>
        <w:tc>
          <w:tcPr>
            <w:tcW w:type="dxa" w:w="2550"/>
          </w:tcPr>
          <w:p>
            <w:r>
              <w:t>VERIFICADO</w:t>
            </w:r>
          </w:p>
        </w:tc>
      </w:tr>
      <w:tr>
        <w:tc>
          <w:tcPr>
            <w:tcW w:type="dxa" w:w="2550"/>
          </w:tcPr>
          <w:p>
            <w:r>
              <w:t>E-017</w:t>
            </w:r>
          </w:p>
        </w:tc>
        <w:tc>
          <w:tcPr>
            <w:tcW w:type="dxa" w:w="2550"/>
          </w:tcPr>
          <w:p>
            <w:r>
              <w:t>Workflow</w:t>
            </w:r>
          </w:p>
        </w:tc>
        <w:tc>
          <w:tcPr>
            <w:tcW w:type="dxa" w:w="2550"/>
          </w:tcPr>
          <w:p>
            <w:r>
              <w:t>Gemini Fast Canary Deploy run 33208639554; SHA 154fdcfd...; SUCCESS</w:t>
            </w:r>
          </w:p>
        </w:tc>
        <w:tc>
          <w:tcPr>
            <w:tcW w:type="dxa" w:w="2550"/>
          </w:tcPr>
          <w:p>
            <w:r>
              <w:t>VERIFICADO EN CANARY</w:t>
            </w:r>
          </w:p>
        </w:tc>
      </w:tr>
      <w:tr>
        <w:tc>
          <w:tcPr>
            <w:tcW w:type="dxa" w:w="2550"/>
          </w:tcPr>
          <w:p>
            <w:r>
              <w:t>E-018</w:t>
            </w:r>
          </w:p>
        </w:tc>
        <w:tc>
          <w:tcPr>
            <w:tcW w:type="dxa" w:w="2550"/>
          </w:tcPr>
          <w:p>
            <w:r>
              <w:t>Supabase + llamada real</w:t>
            </w:r>
          </w:p>
        </w:tc>
        <w:tc>
          <w:tcPr>
            <w:tcW w:type="dxa" w:w="2550"/>
          </w:tcPr>
          <w:p>
            <w:r>
              <w:t>Call v3:uHjdAfDtH2KmuPKzJ2cKyGY_nbIQankHLScOdnq2oN4TNewNo5xxpg: 4 eventos semánticos, risk_delta=1, raw_transcript_stored=false, sin TOOL_EXECUTION_FAILED</w:t>
            </w:r>
          </w:p>
        </w:tc>
        <w:tc>
          <w:tcPr>
            <w:tcW w:type="dxa" w:w="2550"/>
          </w:tcPr>
          <w:p>
            <w:r>
              <w:t>VERIFICADO E2E</w:t>
            </w:r>
          </w:p>
        </w:tc>
      </w:tr>
      <w:tr>
        <w:tc>
          <w:tcPr>
            <w:tcW w:type="dxa" w:w="2550"/>
          </w:tcPr>
          <w:p>
            <w:r>
              <w:t>E-019</w:t>
            </w:r>
          </w:p>
        </w:tc>
        <w:tc>
          <w:tcPr>
            <w:tcW w:type="dxa" w:w="2550"/>
          </w:tcPr>
          <w:p>
            <w:r>
              <w:t>Supabase + Telnyx</w:t>
            </w:r>
          </w:p>
        </w:tc>
        <w:tc>
          <w:tcPr>
            <w:tcW w:type="dxa" w:w="2550"/>
          </w:tcPr>
          <w:p>
            <w:r>
              <w:t>Handoff TRANSFERRED, destino contestado, failure_reason=null, cierre HUMAN_HANDOFF_TERMINAL</w:t>
            </w:r>
          </w:p>
        </w:tc>
        <w:tc>
          <w:tcPr>
            <w:tcW w:type="dxa" w:w="2550"/>
          </w:tcPr>
          <w:p>
            <w:r>
              <w:t>VERIFICADO E2E</w:t>
            </w:r>
          </w:p>
        </w:tc>
      </w:tr>
      <w:tr>
        <w:tc>
          <w:tcPr>
            <w:tcW w:type="dxa" w:w="2550"/>
          </w:tcPr>
          <w:p>
            <w:r>
              <w:t>E-020</w:t>
            </w:r>
          </w:p>
        </w:tc>
        <w:tc>
          <w:tcPr>
            <w:tcW w:type="dxa" w:w="2550"/>
          </w:tcPr>
          <w:p>
            <w:r>
              <w:t>GitHub Actions + Cloud Run + Cloudflare</w:t>
            </w:r>
          </w:p>
        </w:tc>
        <w:tc>
          <w:tcPr>
            <w:tcW w:type="dxa" w:w="2550"/>
          </w:tcPr>
          <w:p>
            <w:r>
              <w:t>SHA d7435fd81915...; Fast Canary 33252047260 y Media Canary 33252047272 SUCCESS; revisión gemini-media-edge-00202-coh; Worker 3100c432-69a0-44ea-a59f-fdaaa4458221; Queue, token parity, bootstrap y HMAC verificados</w:t>
            </w:r>
          </w:p>
        </w:tc>
        <w:tc>
          <w:tcPr>
            <w:tcW w:type="dxa" w:w="2550"/>
          </w:tcPr>
          <w:p>
            <w:r>
              <w:t>VERIFICADO EN CANARY</w:t>
            </w:r>
          </w:p>
        </w:tc>
      </w:tr>
      <w:tr>
        <w:tc>
          <w:tcPr>
            <w:tcW w:type="dxa" w:w="2550"/>
          </w:tcPr>
          <w:p>
            <w:r>
              <w:t>E-021</w:t>
            </w:r>
          </w:p>
        </w:tc>
        <w:tc>
          <w:tcPr>
            <w:tcW w:type="dxa" w:w="2550"/>
          </w:tcPr>
          <w:p>
            <w:r>
              <w:t>Git + código + tests locales</w:t>
            </w:r>
          </w:p>
        </w:tc>
        <w:tc>
          <w:tcPr>
            <w:tcW w:type="dxa" w:w="2550"/>
          </w:tcPr>
          <w:p>
            <w:r>
              <w:t>SEC-P0-04 commit/push 1d514b5617a9f10691359ba6eb2493a478324baf; recibo obligatorio en executor y transfer_call; bypass directo effects=0.</w:t>
            </w:r>
          </w:p>
        </w:tc>
        <w:tc>
          <w:tcPr>
            <w:tcW w:type="dxa" w:w="2550"/>
          </w:tcPr>
          <w:p>
            <w:r>
              <w:t>PUBLICADO E INCLUIDO EN CANARY; E2E NO REPETIDO</w:t>
            </w:r>
          </w:p>
        </w:tc>
      </w:tr>
      <w:tr>
        <w:tc>
          <w:tcPr>
            <w:tcW w:type="dxa" w:w="2550"/>
          </w:tcPr>
          <w:p>
            <w:r>
              <w:t>E-022</w:t>
            </w:r>
          </w:p>
        </w:tc>
        <w:tc>
          <w:tcPr>
            <w:tcW w:type="dxa" w:w="2550"/>
          </w:tcPr>
          <w:p>
            <w:r>
              <w:t>Código + tests locales</w:t>
            </w:r>
          </w:p>
        </w:tc>
        <w:tc>
          <w:tcPr>
            <w:tcW w:type="dxa" w:w="2550"/>
          </w:tcPr>
          <w:p>
            <w:r>
              <w:t>gemini-fast-bootstrap.v2 y capability explícita; commit a95a9311b4f9c68d1ad1894c1273b6ccf181a462; canary 33261676273; Cloud Run gemini-media-edge-00205-mub; Worker 318b36d8-a900-4fe9-99ba-64863891883f.</w:t>
            </w:r>
          </w:p>
        </w:tc>
        <w:tc>
          <w:tcPr>
            <w:tcW w:type="dxa" w:w="2550"/>
          </w:tcPr>
          <w:p>
            <w:r>
              <w:t>PUBLICADO Y VERIFICADO EN CANARY</w:t>
            </w:r>
          </w:p>
        </w:tc>
      </w:tr>
      <w:tr>
        <w:tc>
          <w:tcPr>
            <w:tcW w:type="dxa" w:w="2550"/>
          </w:tcPr>
          <w:p>
            <w:r>
              <w:t>E-023</w:t>
            </w:r>
          </w:p>
        </w:tc>
        <w:tc>
          <w:tcPr>
            <w:tcW w:type="dxa" w:w="2550"/>
          </w:tcPr>
          <w:p>
            <w:r>
              <w:t>Código + reproducción + tests locales</w:t>
            </w:r>
          </w:p>
        </w:tc>
        <w:tc>
          <w:tcPr>
            <w:tcW w:type="dxa" w:w="2550"/>
          </w:tcPr>
          <w:p>
            <w:r>
              <w:t>fast-diagnostic-safety.ts y fast-diagnostics-ingest.ts: antes el body Supabase conservaba transcript/prompt/token/teléfono/payload arbitrario; después sólo conserva allowlist técnica y rechaza tipos inválidos antes del fetch.</w:t>
            </w:r>
          </w:p>
        </w:tc>
        <w:tc>
          <w:tcPr>
            <w:tcW w:type="dxa" w:w="2550"/>
          </w:tcPr>
          <w:p>
            <w:r>
              <w:t>VERIFICADO LOCALMENTE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14.1 Archivos clave a revisar al actualizar esta guía</w:t>
      </w:r>
    </w:p>
    <w:p>
      <w:pPr>
        <w:pStyle w:val="ListBullet"/>
        <w:spacing w:after="40"/>
      </w:pPr>
      <w:r>
        <w:t>apps/gemini-media-edge/src/fast-tool-authorization-kernel.mjs</w:t>
      </w:r>
    </w:p>
    <w:p>
      <w:pPr>
        <w:pStyle w:val="ListBullet"/>
        <w:spacing w:after="40"/>
      </w:pPr>
      <w:r>
        <w:t>apps/gemini-media-edge/src/fast-runtime.mjs</w:t>
      </w:r>
    </w:p>
    <w:p>
      <w:pPr>
        <w:pStyle w:val="ListBullet"/>
        <w:spacing w:after="40"/>
      </w:pPr>
      <w:r>
        <w:t>apps/gemini-media-edge/src/diagnostic-journal.mjs</w:t>
      </w:r>
    </w:p>
    <w:p>
      <w:pPr>
        <w:pStyle w:val="ListBullet"/>
        <w:spacing w:after="40"/>
      </w:pPr>
      <w:r>
        <w:t>apps/gemini-media-edge/src/fast-gemini31.mjs</w:t>
      </w:r>
    </w:p>
    <w:p>
      <w:pPr>
        <w:pStyle w:val="ListBullet"/>
        <w:spacing w:after="40"/>
      </w:pPr>
      <w:r>
        <w:t>apps/control-plane/src/caller-security.ts</w:t>
      </w:r>
    </w:p>
    <w:p>
      <w:pPr>
        <w:pStyle w:val="ListBullet"/>
        <w:spacing w:after="40"/>
      </w:pPr>
      <w:r>
        <w:t>apps/control-plane/src/caller-security-signal-delivery.ts</w:t>
      </w:r>
    </w:p>
    <w:p>
      <w:pPr>
        <w:pStyle w:val="ListBullet"/>
        <w:spacing w:after="40"/>
      </w:pPr>
      <w:r>
        <w:t>apps/control-plane/src/index-v4.ts</w:t>
      </w:r>
    </w:p>
    <w:p>
      <w:pPr>
        <w:pStyle w:val="ListBullet"/>
        <w:spacing w:after="40"/>
      </w:pPr>
      <w:r>
        <w:t>apps/control-plane/src/semantic-security-boundary.ts</w:t>
      </w:r>
    </w:p>
    <w:p>
      <w:pPr>
        <w:pStyle w:val="ListBullet"/>
        <w:spacing w:after="40"/>
      </w:pPr>
      <w:r>
        <w:t>apps/control-plane/src/technical-diagnostic-redaction.ts</w:t>
      </w:r>
    </w:p>
    <w:p>
      <w:pPr>
        <w:pStyle w:val="ListBullet"/>
        <w:spacing w:after="40"/>
      </w:pPr>
      <w:r>
        <w:t>Supabase RPCs evaluate_inbound_call_security_v2 / record_caller_security_signal_v2</w:t>
      </w:r>
    </w:p>
    <w:p>
      <w:pPr>
        <w:pStyle w:val="ListBullet"/>
      </w:pPr>
      <w:r>
        <w:t>apps/gemini-control-plane/src/fast-diagnostic-safety.ts</w:t>
      </w:r>
    </w:p>
    <w:p>
      <w:pPr>
        <w:pStyle w:val="ListBullet"/>
      </w:pPr>
      <w:r>
        <w:t>apps/gemini-control-plane/src/fast-diagnostics-ingest.ts</w:t>
      </w:r>
    </w:p>
    <w:p>
      <w:pPr>
        <w:pStyle w:val="Heading1"/>
        <w:keepNext/>
      </w:pPr>
      <w:r>
        <w:t>15. Historial de cambios del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Versión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Fecha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Cambios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0.1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2026-08-28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Baseline inicial: revisión OpenAI security, caller reputation/Supabase, semantic boundary, FastToolAuthorizationKernel PR #91, fix temporal PR #92, arquitectura objetivo, backlog, criterios de aceptación y protocolo cross-session.</w:t>
            </w:r>
          </w:p>
        </w:tc>
      </w:tr>
      <w:tr>
        <w:tc>
          <w:tcPr>
            <w:tcW w:type="dxa" w:w="3400"/>
          </w:tcPr>
          <w:p>
            <w:r>
              <w:t>0.2</w:t>
            </w:r>
          </w:p>
        </w:tc>
        <w:tc>
          <w:tcPr>
            <w:tcW w:type="dxa" w:w="3400"/>
          </w:tcPr>
          <w:p>
            <w:r>
              <w:t>2026-08-28</w:t>
            </w:r>
          </w:p>
        </w:tc>
        <w:tc>
          <w:tcPr>
            <w:tcW w:type="dxa" w:w="3400"/>
          </w:tcPr>
          <w:p>
            <w:r>
              <w:t>Validación E2E real: se corrige la interpretación de transferencia (consentimiento explícito confirmado, handoff PASS y destino automático); se registra como observación abierta la doble invocación temporal y se añade prueba controlada SEC-P1-05.</w:t>
            </w:r>
          </w:p>
        </w:tc>
      </w:tr>
      <w:tr>
        <w:tc>
          <w:tcPr>
            <w:tcW w:type="dxa" w:w="3400"/>
          </w:tcPr>
          <w:p>
            <w:r>
              <w:t>0.3</w:t>
            </w:r>
          </w:p>
        </w:tc>
        <w:tc>
          <w:tcPr>
            <w:tcW w:type="dxa" w:w="3400"/>
          </w:tcPr>
          <w:p>
            <w:r>
              <w:t>2026-08-29</w:t>
            </w:r>
          </w:p>
        </w:tc>
        <w:tc>
          <w:tcPr>
            <w:tcW w:type="dxa" w:w="3400"/>
          </w:tcPr>
          <w:p>
            <w:r>
              <w:t>Reconciliación PR #93/#94 y corrección de persistencia; E2E A-G; SEC-P0-01/02/03 cerrados; arquitectura transversal/vertical y contrato obligatorio de tools explicitados.</w:t>
            </w:r>
          </w:p>
        </w:tc>
      </w:tr>
      <w:tr>
        <w:tc>
          <w:tcPr>
            <w:tcW w:type="dxa" w:w="3400"/>
          </w:tcPr>
          <w:p>
            <w:r>
              <w:t>0.4</w:t>
            </w:r>
          </w:p>
        </w:tc>
        <w:tc>
          <w:tcPr>
            <w:tcW w:type="dxa" w:w="3400"/>
          </w:tcPr>
          <w:p>
            <w:r>
              <w:t>2026-08-29</w:t>
            </w:r>
          </w:p>
        </w:tc>
        <w:tc>
          <w:tcPr>
            <w:tcW w:type="dxa" w:w="3400"/>
          </w:tcPr>
          <w:p>
            <w:r>
              <w:t>Extracción Gemini-native de caller security desplegada: secretos históricos y huella independiente provisionados, Queue/DLQ propias, corte del Worker histórico, CI verde, canary 33252047260/33252047272 y revisión gemini-media-edge-00202-coh.</w:t>
            </w:r>
          </w:p>
        </w:tc>
      </w:tr>
      <w:tr>
        <w:tc>
          <w:tcPr>
            <w:tcW w:type="dxa" w:w="3400"/>
          </w:tcPr>
          <w:p>
            <w:r>
              <w:t>0.5</w:t>
            </w:r>
          </w:p>
        </w:tc>
        <w:tc>
          <w:tcPr>
            <w:tcW w:type="dxa" w:w="3400"/>
          </w:tcPr>
          <w:p>
            <w:r>
              <w:t>2026-08-29</w:t>
            </w:r>
          </w:p>
        </w:tc>
        <w:tc>
          <w:tcPr>
            <w:tcW w:type="dxa" w:w="3400"/>
          </w:tcPr>
          <w:p>
            <w:r>
              <w:t>SEC-P0-04 implementado localmente: recibo opaco de autorización obligatorio en executor y transferencia, binding call/tenant/context, snapshot autorizado de argumentos y pruebas negativas de bypass.</w:t>
            </w:r>
          </w:p>
        </w:tc>
      </w:tr>
      <w:tr>
        <w:tc>
          <w:tcPr>
            <w:tcW w:type="dxa" w:w="3400"/>
          </w:tcPr>
          <w:p>
            <w:r>
              <w:t>0.6</w:t>
            </w:r>
          </w:p>
        </w:tc>
        <w:tc>
          <w:tcPr>
            <w:tcW w:type="dxa" w:w="3400"/>
          </w:tcPr>
          <w:p>
            <w:r>
              <w:t>2026-08-29</w:t>
            </w:r>
          </w:p>
        </w:tc>
        <w:tc>
          <w:tcPr>
            <w:tcW w:type="dxa" w:w="3400"/>
          </w:tcPr>
          <w:p>
            <w:r>
              <w:t>SEC-P0-04 publicado en 1d514b... y SEC-P0-05 implementado localmente: bootstrap v2, capability grant explícito y tenant-bound, fail-closed ante ausencia/mismatch/cross-tenant y suites completas verdes.</w:t>
            </w:r>
          </w:p>
        </w:tc>
      </w:tr>
      <w:tr>
        <w:tc>
          <w:tcPr>
            <w:tcW w:type="dxa" w:w="3400"/>
          </w:tcPr>
          <w:p>
            <w:r>
              <w:t>0.7</w:t>
            </w:r>
          </w:p>
        </w:tc>
        <w:tc>
          <w:tcPr>
            <w:tcW w:type="dxa" w:w="3400"/>
          </w:tcPr>
          <w:p>
            <w:r>
              <w:t>2026-08-29</w:t>
            </w:r>
          </w:p>
        </w:tc>
        <w:tc>
          <w:tcPr>
            <w:tcW w:type="dxa" w:w="3400"/>
          </w:tcPr>
          <w:p>
            <w:r>
              <w:t>SEC-P0-05 reconciliado con su canary desplegado. SEC-P0-06 implementado localmente: schema cerrado y allowlist en el sink Gemini de diagnósticos, tests negativos de contenido sensible y bypass top-level, sin impacto en el hot path.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Plantilla para la próxima actualización</w:t>
      </w:r>
    </w:p>
    <w:p>
      <w:pPr>
        <w:pStyle w:val="CodeBlock"/>
        <w:spacing w:after="80"/>
      </w:pPr>
      <w:r>
        <w:t>Versión: 0.x</w:t>
        <w:br/>
        <w:t>Fecha:</w:t>
        <w:br/>
        <w:t>Nuevo SHA estable:</w:t>
        <w:br/>
        <w:t>PR(s):</w:t>
        <w:br/>
        <w:t>Deploy/canary:</w:t>
        <w:br/>
        <w:t>Controles añadidos/cambiados:</w:t>
        <w:br/>
        <w:t>Riesgos cerrados:</w:t>
        <w:br/>
        <w:t>Nuevos riesgos:</w:t>
        <w:br/>
        <w:t>Decisiones D-xxx:</w:t>
        <w:br/>
        <w:t>Evidencia E-xxx:</w:t>
        <w:br/>
        <w:t>Impacto hot path: NONE / EXPLICAR</w:t>
        <w:br/>
        <w:t>Próximo paso: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rPr>
          <w:cantSplit/>
        </w:trPr>
        <w:tc>
          <w:tcPr>
            <w:tcW w:type="dxa" w:w="10200"/>
            <w:shd w:fill="DDEBF7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8" w:color="2F5597"/>
              <w:left w:val="single" w:sz="8" w:color="2F5597"/>
              <w:bottom w:val="single" w:sz="8" w:color="2F5597"/>
              <w:right w:val="single" w:sz="8" w:color="2F5597"/>
            </w:tcBorders>
          </w:tcPr>
          <w:p>
            <w:r>
              <w:t>Cierre de versión 0.7</w:t>
              <w:br/>
              <w:t>SEC-P0-04 y SEC-P0-05 están publicados e incluidos en el canary 33261676273. SEC-P0-06 queda implementado y verificado localmente, sin commit, CI ni deploy. Permanecen abiertos SEC-P1-01 en adelante y SEC-P1-05.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64" w:right="1020" w:bottom="850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F7F7F"/>
        <w:sz w:val="14"/>
      </w:rPr>
      <w:t xml:space="preserve">Documento vivo - verificar rama, SHA y despliegue antes de actuar  |  </w:t>
    </w:r>
    <w:r>
      <w:t xml:space="preserve">Página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7F7F7F"/>
        <w:sz w:val="15"/>
      </w:rPr>
      <w:t>IA_RealTime_CenterCall  |  Guía Viva de Seguridad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6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559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6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5B9BD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40" w:after="80"/>
      <w:ind w:left="255" w:right="255"/>
    </w:pPr>
    <w:rPr>
      <w:rFonts w:ascii="DejaVu Sans Mono" w:hAnsi="DejaVu Sans Mono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IA_RealTime_CenterCall - Guía Viva de Seguridad</dc:title>
  <dc:subject>Arquitectura, controles, decisiones, riesgos y continuidad entre sesiones</dc:subject>
  <dc:creator>Proyecto IA_RealTime_CenterCall</dc:creator>
  <cp:keywords>security, Gemini Fast, OpenAI, Telnyx, Supabase, tool authorization, caller security</cp:keywords>
  <dc:description>Documento vivo. Verificar SHA y despliegue antes de usar como estado autoritativo.</dc:description>
  <cp:lastModifiedBy/>
  <cp:revision>1</cp:revision>
  <dcterms:created xsi:type="dcterms:W3CDTF">2013-12-23T23:15:00Z</dcterms:created>
  <dcterms:modified xsi:type="dcterms:W3CDTF">2026-08-29T15:10:34Z</dcterms:modified>
  <cp:category/>
</cp:coreProperties>
</file>