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ptos Display" w:hAnsi="Aptos Display"/>
          <w:b/>
          <w:color w:val="17365D"/>
          <w:sz w:val="48"/>
        </w:rPr>
        <w:t>IA_RealTime_CenterCall</w:t>
      </w:r>
    </w:p>
    <w:p>
      <w:pPr>
        <w:spacing w:after="280"/>
        <w:jc w:val="center"/>
      </w:pPr>
      <w:r>
        <w:rPr>
          <w:rFonts w:ascii="Aptos Display" w:hAnsi="Aptos Display"/>
          <w:b/>
          <w:sz w:val="34"/>
        </w:rPr>
        <w:t>Guía Viva de Seguridad — Gemini Fast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728"/>
            <w:vAlign w:val="center"/>
            <w:shd w:fill="17365D"/>
          </w:tcPr>
          <w:p>
            <w:pPr>
              <w:spacing w:after="0"/>
            </w:pPr>
            <w:r/>
            <w:r>
              <w:rPr>
                <w:rFonts w:ascii="Aptos" w:hAnsi="Aptos"/>
                <w:b/>
                <w:color w:val="FFFFFF"/>
                <w:sz w:val="18"/>
              </w:rPr>
              <w:t>Estado</w:t>
            </w:r>
          </w:p>
        </w:tc>
        <w:tc>
          <w:tcPr>
            <w:tcW w:type="dxa" w:w="2160"/>
            <w:vAlign w:val="center"/>
            <w:shd w:fill="17365D"/>
          </w:tcPr>
          <w:p>
            <w:pPr>
              <w:spacing w:after="0"/>
            </w:pPr>
            <w:r/>
            <w:r>
              <w:rPr>
                <w:rFonts w:ascii="Aptos" w:hAnsi="Aptos"/>
                <w:b/>
                <w:color w:val="FFFFFF"/>
                <w:sz w:val="18"/>
              </w:rPr>
              <w:t>Snapshot</w:t>
            </w:r>
          </w:p>
        </w:tc>
        <w:tc>
          <w:tcPr>
            <w:tcW w:type="dxa" w:w="6192"/>
            <w:vAlign w:val="center"/>
            <w:shd w:fill="17365D"/>
          </w:tcPr>
          <w:p>
            <w:pPr>
              <w:spacing w:after="0"/>
            </w:pPr>
            <w:r/>
            <w:r>
              <w:rPr>
                <w:rFonts w:ascii="Aptos" w:hAnsi="Aptos"/>
                <w:b/>
                <w:color w:val="FFFFFF"/>
                <w:sz w:val="18"/>
              </w:rPr>
              <w:t>Arquitectura</w:t>
            </w:r>
          </w:p>
        </w:tc>
      </w:tr>
      <w:tr>
        <w:trPr>
          <w:cantSplit/>
        </w:trPr>
        <w:tc>
          <w:tcPr>
            <w:tcW w:type="dxa" w:w="1728"/>
            <w:vAlign w:val="center"/>
          </w:tcPr>
          <w:p>
            <w:r>
              <w:rPr>
                <w:rFonts w:ascii="Aptos" w:hAnsi="Aptos"/>
                <w:sz w:val="18"/>
              </w:rPr>
              <w:t>Vigente</w:t>
            </w:r>
          </w:p>
        </w:tc>
        <w:tc>
          <w:tcPr>
            <w:tcW w:type="dxa" w:w="2160"/>
            <w:vAlign w:val="center"/>
          </w:tcPr>
          <w:p>
            <w:r>
              <w:t>13 septiembre 2026</w:t>
              <w:br/>
              <w:t>Stable 8ca13cb415bc</w:t>
            </w:r>
          </w:p>
        </w:tc>
        <w:tc>
          <w:tcPr>
            <w:tcW w:type="dxa" w:w="6192"/>
            <w:vAlign w:val="center"/>
          </w:tcPr>
          <w:p>
            <w:pPr>
              <w:spacing w:after="0"/>
            </w:pPr>
            <w:r/>
            <w:r>
              <w:rPr>
                <w:rFonts w:ascii="Aptos" w:hAnsi="Aptos"/>
                <w:b w:val="0"/>
                <w:sz w:val="18"/>
              </w:rPr>
              <w:t>Fast Worker → Fast Media Edge → Gemini Live</w:t>
            </w:r>
          </w:p>
        </w:tc>
      </w:tr>
    </w:tbl>
    <w:p>
      <w:pPr>
        <w:spacing w:before="80" w:after="160"/>
      </w:pPr>
      <w:r>
        <w:rPr>
          <w:b/>
        </w:rPr>
        <w:t>Esta guía concentra controles verificados, decisiones y backlog de seguridad. No sustituye la comprobación del código, GitHub ni los sistemas desplegados.</w:t>
      </w:r>
    </w:p>
    <w:p>
      <w:pPr>
        <w:pStyle w:val="Heading1"/>
      </w:pPr>
      <w:r>
        <w:t>1. Arquitectura de seguridad</w:t>
      </w:r>
    </w:p>
    <w:p>
      <w:r>
        <w:t>El único producto realtime ejecutable es Gemini Fast. El Worker controla señalización, tenant, admission, seguridad, tools y auditoría. El Media Edge transporta audio directamente entre Telnyx y Gemini Live.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944"/>
            <w:vAlign w:val="center"/>
            <w:shd w:fill="17365D"/>
          </w:tcPr>
          <w:p>
            <w:pPr>
              <w:spacing w:after="0"/>
            </w:pPr>
            <w:r/>
            <w:r>
              <w:rPr>
                <w:rFonts w:ascii="Aptos" w:hAnsi="Aptos"/>
                <w:b/>
                <w:color w:val="FFFFFF"/>
                <w:sz w:val="18"/>
              </w:rPr>
              <w:t>Capa</w:t>
            </w:r>
          </w:p>
        </w:tc>
        <w:tc>
          <w:tcPr>
            <w:tcW w:type="dxa" w:w="1944"/>
            <w:vAlign w:val="center"/>
            <w:shd w:fill="17365D"/>
          </w:tcPr>
          <w:p>
            <w:pPr>
              <w:spacing w:after="0"/>
            </w:pPr>
            <w:r/>
            <w:r>
              <w:rPr>
                <w:rFonts w:ascii="Aptos" w:hAnsi="Aptos"/>
                <w:b/>
                <w:color w:val="FFFFFF"/>
                <w:sz w:val="18"/>
              </w:rPr>
              <w:t>Autoridad</w:t>
            </w:r>
          </w:p>
        </w:tc>
        <w:tc>
          <w:tcPr>
            <w:tcW w:type="dxa" w:w="6192"/>
            <w:vAlign w:val="center"/>
            <w:shd w:fill="17365D"/>
          </w:tcPr>
          <w:p>
            <w:pPr>
              <w:spacing w:after="0"/>
            </w:pPr>
            <w:r/>
            <w:r>
              <w:rPr>
                <w:rFonts w:ascii="Aptos" w:hAnsi="Aptos"/>
                <w:b/>
                <w:color w:val="FFFFFF"/>
                <w:sz w:val="18"/>
              </w:rPr>
              <w:t>Responsabilidades de seguridad</w:t>
            </w:r>
          </w:p>
        </w:tc>
      </w:tr>
      <w:tr>
        <w:trPr>
          <w:cantSplit/>
        </w:trPr>
        <w:tc>
          <w:tcPr>
            <w:tcW w:type="dxa" w:w="1944"/>
            <w:vAlign w:val="center"/>
          </w:tcPr>
          <w:p>
            <w:pPr>
              <w:spacing w:after="0"/>
            </w:pPr>
            <w:r/>
            <w:r>
              <w:rPr>
                <w:rFonts w:ascii="Aptos" w:hAnsi="Aptos"/>
                <w:b w:val="0"/>
                <w:sz w:val="18"/>
              </w:rPr>
              <w:t>Telnyx admission</w:t>
            </w:r>
          </w:p>
        </w:tc>
        <w:tc>
          <w:tcPr>
            <w:tcW w:type="dxa" w:w="1944"/>
            <w:vAlign w:val="center"/>
          </w:tcPr>
          <w:p>
            <w:pPr>
              <w:spacing w:after="0"/>
            </w:pPr>
            <w:r/>
            <w:r>
              <w:rPr>
                <w:rFonts w:ascii="Aptos" w:hAnsi="Aptos"/>
                <w:b w:val="0"/>
                <w:sz w:val="18"/>
              </w:rPr>
              <w:t>Evento firmado</w:t>
            </w:r>
          </w:p>
        </w:tc>
        <w:tc>
          <w:tcPr>
            <w:tcW w:type="dxa" w:w="6192"/>
            <w:vAlign w:val="center"/>
          </w:tcPr>
          <w:p>
            <w:pPr>
              <w:spacing w:after="0"/>
            </w:pPr>
            <w:r/>
            <w:r>
              <w:rPr>
                <w:rFonts w:ascii="Aptos" w:hAnsi="Aptos"/>
                <w:b w:val="0"/>
                <w:sz w:val="18"/>
              </w:rPr>
              <w:t>Firma, timestamp, caller/called number y call_control_id</w:t>
            </w:r>
          </w:p>
        </w:tc>
      </w:tr>
      <w:tr>
        <w:trPr>
          <w:cantSplit/>
        </w:trPr>
        <w:tc>
          <w:tcPr>
            <w:tcW w:type="dxa" w:w="1944"/>
            <w:vAlign w:val="center"/>
            <w:shd w:fill="EEF1F4"/>
          </w:tcPr>
          <w:p>
            <w:pPr>
              <w:spacing w:after="0"/>
            </w:pPr>
            <w:r/>
            <w:r>
              <w:rPr>
                <w:rFonts w:ascii="Aptos" w:hAnsi="Aptos"/>
                <w:b w:val="0"/>
                <w:sz w:val="18"/>
              </w:rPr>
              <w:t>Fast Worker</w:t>
            </w:r>
          </w:p>
        </w:tc>
        <w:tc>
          <w:tcPr>
            <w:tcW w:type="dxa" w:w="1944"/>
            <w:vAlign w:val="center"/>
            <w:shd w:fill="EEF1F4"/>
          </w:tcPr>
          <w:p>
            <w:pPr>
              <w:spacing w:after="0"/>
            </w:pPr>
            <w:r/>
            <w:r>
              <w:rPr>
                <w:rFonts w:ascii="Aptos" w:hAnsi="Aptos"/>
                <w:b w:val="0"/>
                <w:sz w:val="18"/>
              </w:rPr>
              <w:t>Kernel de control</w:t>
            </w:r>
          </w:p>
        </w:tc>
        <w:tc>
          <w:tcPr>
            <w:tcW w:type="dxa" w:w="6192"/>
            <w:vAlign w:val="center"/>
            <w:shd w:fill="EEF1F4"/>
          </w:tcPr>
          <w:p>
            <w:pPr>
              <w:spacing w:after="0"/>
            </w:pPr>
            <w:r/>
            <w:r>
              <w:rPr>
                <w:rFonts w:ascii="Aptos" w:hAnsi="Aptos"/>
                <w:b w:val="0"/>
                <w:sz w:val="18"/>
              </w:rPr>
              <w:t>Tenant, caller-security, credenciales, capabilities, tools y handoff</w:t>
            </w:r>
          </w:p>
        </w:tc>
      </w:tr>
      <w:tr>
        <w:trPr>
          <w:cantSplit/>
        </w:trPr>
        <w:tc>
          <w:tcPr>
            <w:tcW w:type="dxa" w:w="1944"/>
            <w:vAlign w:val="center"/>
          </w:tcPr>
          <w:p>
            <w:pPr>
              <w:spacing w:after="0"/>
            </w:pPr>
            <w:r/>
            <w:r>
              <w:rPr>
                <w:rFonts w:ascii="Aptos" w:hAnsi="Aptos"/>
                <w:b w:val="0"/>
                <w:sz w:val="18"/>
              </w:rPr>
              <w:t>Fast Media Edge</w:t>
            </w:r>
          </w:p>
        </w:tc>
        <w:tc>
          <w:tcPr>
            <w:tcW w:type="dxa" w:w="1944"/>
            <w:vAlign w:val="center"/>
          </w:tcPr>
          <w:p>
            <w:pPr>
              <w:spacing w:after="0"/>
            </w:pPr>
            <w:r/>
            <w:r>
              <w:rPr>
                <w:rFonts w:ascii="Aptos" w:hAnsi="Aptos"/>
                <w:b w:val="0"/>
                <w:sz w:val="18"/>
              </w:rPr>
              <w:t>Runtime call-scoped</w:t>
            </w:r>
          </w:p>
        </w:tc>
        <w:tc>
          <w:tcPr>
            <w:tcW w:type="dxa" w:w="6192"/>
            <w:vAlign w:val="center"/>
          </w:tcPr>
          <w:p>
            <w:pPr>
              <w:spacing w:after="0"/>
            </w:pPr>
            <w:r/>
            <w:r>
              <w:rPr>
                <w:rFonts w:ascii="Aptos" w:hAnsi="Aptos"/>
                <w:b w:val="0"/>
                <w:sz w:val="18"/>
              </w:rPr>
              <w:t>Upgrade HMAC, bootstrap, policy local, recibos y lifecycle</w:t>
            </w:r>
          </w:p>
        </w:tc>
      </w:tr>
      <w:tr>
        <w:trPr>
          <w:cantSplit/>
        </w:trPr>
        <w:tc>
          <w:tcPr>
            <w:tcW w:type="dxa" w:w="1944"/>
            <w:vAlign w:val="center"/>
            <w:shd w:fill="EEF1F4"/>
          </w:tcPr>
          <w:p>
            <w:pPr>
              <w:spacing w:after="0"/>
            </w:pPr>
            <w:r/>
            <w:r>
              <w:rPr>
                <w:rFonts w:ascii="Aptos" w:hAnsi="Aptos"/>
                <w:b w:val="0"/>
                <w:sz w:val="18"/>
              </w:rPr>
              <w:t>Gemini Live</w:t>
            </w:r>
          </w:p>
        </w:tc>
        <w:tc>
          <w:tcPr>
            <w:tcW w:type="dxa" w:w="1944"/>
            <w:vAlign w:val="center"/>
            <w:shd w:fill="EEF1F4"/>
          </w:tcPr>
          <w:p>
            <w:pPr>
              <w:spacing w:after="0"/>
            </w:pPr>
            <w:r/>
            <w:r>
              <w:rPr>
                <w:rFonts w:ascii="Aptos" w:hAnsi="Aptos"/>
                <w:b w:val="0"/>
                <w:sz w:val="18"/>
              </w:rPr>
              <w:t>Interpretación</w:t>
            </w:r>
          </w:p>
        </w:tc>
        <w:tc>
          <w:tcPr>
            <w:tcW w:type="dxa" w:w="6192"/>
            <w:vAlign w:val="center"/>
            <w:shd w:fill="EEF1F4"/>
          </w:tcPr>
          <w:p>
            <w:pPr>
              <w:spacing w:after="0"/>
            </w:pPr>
            <w:r/>
            <w:r>
              <w:rPr>
                <w:rFonts w:ascii="Aptos" w:hAnsi="Aptos"/>
                <w:b w:val="0"/>
                <w:sz w:val="18"/>
              </w:rPr>
              <w:t>Comprende lenguaje y propone intención/tool; nunca autoriza efectos</w:t>
            </w:r>
          </w:p>
        </w:tc>
      </w:tr>
      <w:tr>
        <w:trPr>
          <w:cantSplit/>
        </w:trPr>
        <w:tc>
          <w:tcPr>
            <w:tcW w:type="dxa" w:w="1944"/>
            <w:vAlign w:val="center"/>
          </w:tcPr>
          <w:p>
            <w:pPr>
              <w:spacing w:after="0"/>
            </w:pPr>
            <w:r/>
            <w:r>
              <w:rPr>
                <w:rFonts w:ascii="Aptos" w:hAnsi="Aptos"/>
                <w:b w:val="0"/>
                <w:sz w:val="18"/>
              </w:rPr>
              <w:t>Supabase/backend</w:t>
            </w:r>
          </w:p>
        </w:tc>
        <w:tc>
          <w:tcPr>
            <w:tcW w:type="dxa" w:w="1944"/>
            <w:vAlign w:val="center"/>
          </w:tcPr>
          <w:p>
            <w:pPr>
              <w:spacing w:after="0"/>
            </w:pPr>
            <w:r/>
            <w:r>
              <w:rPr>
                <w:rFonts w:ascii="Aptos" w:hAnsi="Aptos"/>
                <w:b w:val="0"/>
                <w:sz w:val="18"/>
              </w:rPr>
              <w:t>Fuente de verdad</w:t>
            </w:r>
          </w:p>
        </w:tc>
        <w:tc>
          <w:tcPr>
            <w:tcW w:type="dxa" w:w="6192"/>
            <w:vAlign w:val="center"/>
          </w:tcPr>
          <w:p>
            <w:pPr>
              <w:spacing w:after="0"/>
            </w:pPr>
            <w:r/>
            <w:r>
              <w:rPr>
                <w:rFonts w:ascii="Aptos" w:hAnsi="Aptos"/>
                <w:b w:val="0"/>
                <w:sz w:val="18"/>
              </w:rPr>
              <w:t>Persistencia, RPCs, constraints, idempotencia y auditoría</w:t>
            </w:r>
          </w:p>
        </w:tc>
      </w:tr>
    </w:tbl>
    <w:p>
      <w:pPr>
        <w:pStyle w:val="Heading1"/>
      </w:pPr>
      <w:r>
        <w:t>2. Principios no negociables</w:t>
      </w:r>
    </w:p>
    <w:p>
      <w:pPr>
        <w:pStyle w:val="ListBullet"/>
      </w:pPr>
      <w:r>
        <w:t>Cloudflare no transporta audio continuo.</w:t>
      </w:r>
    </w:p>
    <w:p>
      <w:pPr>
        <w:pStyle w:val="ListBullet"/>
      </w:pPr>
      <w:r>
        <w:t>No se añade inferencia, RPC, persistencia, espera o transformación por chunk sin ADR, presupuesto y benchmark.</w:t>
      </w:r>
    </w:p>
    <w:p>
      <w:pPr>
        <w:pStyle w:val="ListBullet"/>
      </w:pPr>
      <w:r>
        <w:t>El modelo propone; el kernel autoriza; el dominio valida; el backend ejecuta.</w:t>
      </w:r>
    </w:p>
    <w:p>
      <w:pPr>
        <w:pStyle w:val="ListBullet"/>
      </w:pPr>
      <w:r>
        <w:t>Toda tool exige schema cerrado, authority, effect, capability, evidence, handler y contexto tenant/call.</w:t>
      </w:r>
    </w:p>
    <w:p>
      <w:pPr>
        <w:pStyle w:val="ListBullet"/>
      </w:pPr>
      <w:r>
        <w:t>Una decisión ALLOW sólo habilita el efecto mediante un recibo opaco no fabricable.</w:t>
      </w:r>
    </w:p>
    <w:p>
      <w:pPr>
        <w:pStyle w:val="ListBullet"/>
      </w:pPr>
      <w:r>
        <w:t>No se persisten prompts, secretos, audio ni transcript bruto en diagnóstico o caller-security.</w:t>
      </w:r>
    </w:p>
    <w:p>
      <w:pPr>
        <w:pStyle w:val="ListBullet"/>
      </w:pPr>
      <w:r>
        <w:t>Los fallos de seguridad y configuración fallan cerrados; no existe fallback silencioso.</w:t>
      </w:r>
    </w:p>
    <w:p>
      <w:pPr>
        <w:pStyle w:val="ListBullet"/>
      </w:pPr>
      <w:r>
        <w:t>No se escala horizontalmente mientras credential, bootstrap y sesión sean in-memory.</w:t>
      </w:r>
    </w:p>
    <w:p>
      <w:pPr>
        <w:pStyle w:val="Heading1"/>
      </w:pPr>
      <w:r>
        <w:t>3. Controles implementados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232"/>
            <w:vAlign w:val="center"/>
            <w:shd w:fill="17365D"/>
          </w:tcPr>
          <w:p>
            <w:pPr>
              <w:spacing w:after="0"/>
            </w:pPr>
            <w:r/>
            <w:r>
              <w:rPr>
                <w:rFonts w:ascii="Aptos" w:hAnsi="Aptos"/>
                <w:b/>
                <w:color w:val="FFFFFF"/>
                <w:sz w:val="18"/>
              </w:rPr>
              <w:t>Control</w:t>
            </w:r>
          </w:p>
        </w:tc>
        <w:tc>
          <w:tcPr>
            <w:tcW w:type="dxa" w:w="5616"/>
            <w:vAlign w:val="center"/>
            <w:shd w:fill="17365D"/>
          </w:tcPr>
          <w:p>
            <w:pPr>
              <w:spacing w:after="0"/>
            </w:pPr>
            <w:r/>
            <w:r>
              <w:rPr>
                <w:rFonts w:ascii="Aptos" w:hAnsi="Aptos"/>
                <w:b/>
                <w:color w:val="FFFFFF"/>
                <w:sz w:val="18"/>
              </w:rPr>
              <w:t>Implementación</w:t>
            </w:r>
          </w:p>
        </w:tc>
        <w:tc>
          <w:tcPr>
            <w:tcW w:type="dxa" w:w="2232"/>
            <w:vAlign w:val="center"/>
            <w:shd w:fill="17365D"/>
          </w:tcPr>
          <w:p>
            <w:pPr>
              <w:spacing w:after="0"/>
            </w:pPr>
            <w:r/>
            <w:r>
              <w:rPr>
                <w:rFonts w:ascii="Aptos" w:hAnsi="Aptos"/>
                <w:b/>
                <w:color w:val="FFFFFF"/>
                <w:sz w:val="18"/>
              </w:rPr>
              <w:t>Estado</w:t>
            </w:r>
          </w:p>
        </w:tc>
      </w:tr>
      <w:tr>
        <w:trPr>
          <w:cantSplit/>
        </w:trPr>
        <w:tc>
          <w:tcPr>
            <w:tcW w:type="dxa" w:w="2232"/>
            <w:vAlign w:val="center"/>
          </w:tcPr>
          <w:p>
            <w:pPr>
              <w:spacing w:after="0"/>
            </w:pPr>
            <w:r/>
            <w:r>
              <w:rPr>
                <w:rFonts w:ascii="Aptos" w:hAnsi="Aptos"/>
                <w:b w:val="0"/>
                <w:sz w:val="18"/>
              </w:rPr>
              <w:t>Firma e identidad Telnyx</w:t>
            </w:r>
          </w:p>
        </w:tc>
        <w:tc>
          <w:tcPr>
            <w:tcW w:type="dxa" w:w="5616"/>
            <w:vAlign w:val="center"/>
          </w:tcPr>
          <w:p>
            <w:pPr>
              <w:spacing w:after="0"/>
            </w:pPr>
            <w:r/>
            <w:r>
              <w:rPr>
                <w:rFonts w:ascii="Aptos" w:hAnsi="Aptos"/>
                <w:b w:val="0"/>
                <w:sz w:val="18"/>
              </w:rPr>
              <w:t>Fast Worker valida webhook antes de admission</w:t>
            </w:r>
          </w:p>
        </w:tc>
        <w:tc>
          <w:tcPr>
            <w:tcW w:type="dxa" w:w="2232"/>
            <w:vAlign w:val="center"/>
          </w:tcPr>
          <w:p>
            <w:pPr>
              <w:spacing w:after="0"/>
            </w:pPr>
            <w:r/>
            <w:r>
              <w:rPr>
                <w:rFonts w:ascii="Aptos" w:hAnsi="Aptos"/>
                <w:b w:val="0"/>
                <w:sz w:val="18"/>
              </w:rPr>
              <w:t>Implementado</w:t>
            </w:r>
          </w:p>
        </w:tc>
      </w:tr>
      <w:tr>
        <w:trPr>
          <w:cantSplit/>
        </w:trPr>
        <w:tc>
          <w:tcPr>
            <w:tcW w:type="dxa" w:w="2232"/>
            <w:vAlign w:val="center"/>
            <w:shd w:fill="EEF1F4"/>
          </w:tcPr>
          <w:p>
            <w:pPr>
              <w:spacing w:after="0"/>
            </w:pPr>
            <w:r/>
            <w:r>
              <w:rPr>
                <w:rFonts w:ascii="Aptos" w:hAnsi="Aptos"/>
                <w:b w:val="0"/>
                <w:sz w:val="18"/>
              </w:rPr>
              <w:t>Caller-security</w:t>
            </w:r>
          </w:p>
        </w:tc>
        <w:tc>
          <w:tcPr>
            <w:tcW w:type="dxa" w:w="5616"/>
            <w:vAlign w:val="center"/>
            <w:shd w:fill="EEF1F4"/>
          </w:tcPr>
          <w:p>
            <w:pPr>
              <w:spacing w:after="0"/>
            </w:pPr>
            <w:r/>
            <w:r>
              <w:rPr>
                <w:rFonts w:ascii="Aptos" w:hAnsi="Aptos"/>
                <w:b w:val="0"/>
                <w:sz w:val="18"/>
              </w:rPr>
              <w:t>RPC tenant-scoped, HMAC, rate limits, strikes y blocks</w:t>
            </w:r>
          </w:p>
        </w:tc>
        <w:tc>
          <w:tcPr>
            <w:tcW w:type="dxa" w:w="2232"/>
            <w:vAlign w:val="center"/>
            <w:shd w:fill="EEF1F4"/>
          </w:tcPr>
          <w:p>
            <w:pPr>
              <w:spacing w:after="0"/>
            </w:pPr>
            <w:r/>
            <w:r>
              <w:rPr>
                <w:rFonts w:ascii="Aptos" w:hAnsi="Aptos"/>
                <w:b w:val="0"/>
                <w:sz w:val="18"/>
              </w:rPr>
              <w:t>Desplegado</w:t>
            </w:r>
          </w:p>
        </w:tc>
      </w:tr>
      <w:tr>
        <w:trPr>
          <w:cantSplit/>
        </w:trPr>
        <w:tc>
          <w:tcPr>
            <w:tcW w:type="dxa" w:w="2232"/>
            <w:vAlign w:val="center"/>
          </w:tcPr>
          <w:p>
            <w:pPr>
              <w:spacing w:after="0"/>
            </w:pPr>
            <w:r/>
            <w:r>
              <w:rPr>
                <w:rFonts w:ascii="Aptos" w:hAnsi="Aptos"/>
                <w:b w:val="0"/>
                <w:sz w:val="18"/>
              </w:rPr>
              <w:t>Bootstrap tenant-bound</w:t>
            </w:r>
          </w:p>
        </w:tc>
        <w:tc>
          <w:tcPr>
            <w:tcW w:type="dxa" w:w="5616"/>
            <w:vAlign w:val="center"/>
          </w:tcPr>
          <w:p>
            <w:pPr>
              <w:spacing w:after="0"/>
            </w:pPr>
            <w:r/>
            <w:r>
              <w:rPr>
                <w:rFonts w:ascii="Aptos" w:hAnsi="Aptos"/>
                <w:b w:val="0"/>
                <w:sz w:val="18"/>
              </w:rPr>
              <w:t>Credencial + tenant + llamada + capabilities</w:t>
            </w:r>
          </w:p>
        </w:tc>
        <w:tc>
          <w:tcPr>
            <w:tcW w:type="dxa" w:w="2232"/>
            <w:vAlign w:val="center"/>
          </w:tcPr>
          <w:p>
            <w:pPr>
              <w:spacing w:after="0"/>
            </w:pPr>
            <w:r/>
            <w:r>
              <w:rPr>
                <w:rFonts w:ascii="Aptos" w:hAnsi="Aptos"/>
                <w:b w:val="0"/>
                <w:sz w:val="18"/>
              </w:rPr>
              <w:t>Desplegado</w:t>
            </w:r>
          </w:p>
        </w:tc>
      </w:tr>
      <w:tr>
        <w:trPr>
          <w:cantSplit/>
        </w:trPr>
        <w:tc>
          <w:tcPr>
            <w:tcW w:type="dxa" w:w="2232"/>
            <w:vAlign w:val="center"/>
            <w:shd w:fill="EEF1F4"/>
          </w:tcPr>
          <w:p>
            <w:pPr>
              <w:spacing w:after="0"/>
            </w:pPr>
            <w:r/>
            <w:r>
              <w:rPr>
                <w:rFonts w:ascii="Aptos" w:hAnsi="Aptos"/>
                <w:b w:val="0"/>
                <w:sz w:val="18"/>
              </w:rPr>
              <w:t>Tool authorization</w:t>
            </w:r>
          </w:p>
        </w:tc>
        <w:tc>
          <w:tcPr>
            <w:tcW w:type="dxa" w:w="5616"/>
            <w:vAlign w:val="center"/>
            <w:shd w:fill="EEF1F4"/>
          </w:tcPr>
          <w:p>
            <w:pPr>
              <w:spacing w:after="0"/>
            </w:pPr>
            <w:r/>
            <w:r>
              <w:rPr>
                <w:rFonts w:ascii="Aptos" w:hAnsi="Aptos"/>
                <w:b w:val="0"/>
                <w:sz w:val="18"/>
              </w:rPr>
              <w:t>Policy local y recibo opaco por function call</w:t>
            </w:r>
          </w:p>
        </w:tc>
        <w:tc>
          <w:tcPr>
            <w:tcW w:type="dxa" w:w="2232"/>
            <w:vAlign w:val="center"/>
            <w:shd w:fill="EEF1F4"/>
          </w:tcPr>
          <w:p>
            <w:pPr>
              <w:spacing w:after="0"/>
            </w:pPr>
            <w:r/>
            <w:r>
              <w:rPr>
                <w:rFonts w:ascii="Aptos" w:hAnsi="Aptos"/>
                <w:b w:val="0"/>
                <w:sz w:val="18"/>
              </w:rPr>
              <w:t>Desplegado</w:t>
            </w:r>
          </w:p>
        </w:tc>
      </w:tr>
      <w:tr>
        <w:trPr>
          <w:cantSplit/>
        </w:trPr>
        <w:tc>
          <w:tcPr>
            <w:tcW w:type="dxa" w:w="2232"/>
            <w:vAlign w:val="center"/>
          </w:tcPr>
          <w:p>
            <w:pPr>
              <w:spacing w:after="0"/>
            </w:pPr>
            <w:r/>
            <w:r>
              <w:rPr>
                <w:rFonts w:ascii="Aptos" w:hAnsi="Aptos"/>
                <w:b w:val="0"/>
                <w:sz w:val="18"/>
              </w:rPr>
              <w:t>Human handoff</w:t>
            </w:r>
          </w:p>
        </w:tc>
        <w:tc>
          <w:tcPr>
            <w:tcW w:type="dxa" w:w="5616"/>
            <w:vAlign w:val="center"/>
          </w:tcPr>
          <w:p>
            <w:pPr>
              <w:spacing w:after="0"/>
            </w:pPr>
            <w:r/>
            <w:r>
              <w:rPr>
                <w:rFonts w:ascii="Aptos" w:hAnsi="Aptos"/>
                <w:b w:val="0"/>
                <w:sz w:val="18"/>
              </w:rPr>
              <w:t>Consentimiento, authorize/start, Telnyx transfer y auditoría</w:t>
            </w:r>
          </w:p>
        </w:tc>
        <w:tc>
          <w:tcPr>
            <w:tcW w:type="dxa" w:w="2232"/>
            <w:vAlign w:val="center"/>
          </w:tcPr>
          <w:p>
            <w:pPr>
              <w:spacing w:after="0"/>
            </w:pPr>
            <w:r/>
            <w:r>
              <w:rPr>
                <w:rFonts w:ascii="Aptos" w:hAnsi="Aptos"/>
                <w:b w:val="0"/>
                <w:sz w:val="18"/>
              </w:rPr>
              <w:t>E2E verificado</w:t>
            </w:r>
          </w:p>
        </w:tc>
      </w:tr>
      <w:tr>
        <w:trPr>
          <w:cantSplit/>
        </w:trPr>
        <w:tc>
          <w:tcPr>
            <w:tcW w:type="dxa" w:w="2232"/>
            <w:vAlign w:val="center"/>
            <w:shd w:fill="EEF1F4"/>
          </w:tcPr>
          <w:p>
            <w:pPr>
              <w:spacing w:after="0"/>
            </w:pPr>
            <w:r/>
            <w:r>
              <w:rPr>
                <w:rFonts w:ascii="Aptos" w:hAnsi="Aptos"/>
                <w:b w:val="0"/>
                <w:sz w:val="18"/>
              </w:rPr>
              <w:t>Semantic security</w:t>
            </w:r>
          </w:p>
        </w:tc>
        <w:tc>
          <w:tcPr>
            <w:tcW w:type="dxa" w:w="5616"/>
            <w:vAlign w:val="center"/>
            <w:shd w:fill="EEF1F4"/>
          </w:tcPr>
          <w:p>
            <w:pPr>
              <w:spacing w:after="0"/>
            </w:pPr>
            <w:r/>
            <w:r>
              <w:rPr>
                <w:rFonts w:ascii="Aptos" w:hAnsi="Aptos"/>
                <w:b w:val="0"/>
                <w:sz w:val="18"/>
              </w:rPr>
              <w:t>Categorías cerradas y señal sideband de reputación</w:t>
            </w:r>
          </w:p>
        </w:tc>
        <w:tc>
          <w:tcPr>
            <w:tcW w:type="dxa" w:w="2232"/>
            <w:vAlign w:val="center"/>
            <w:shd w:fill="EEF1F4"/>
          </w:tcPr>
          <w:p>
            <w:pPr>
              <w:spacing w:after="0"/>
            </w:pPr>
            <w:r/>
            <w:r>
              <w:rPr>
                <w:rFonts w:ascii="Aptos" w:hAnsi="Aptos"/>
                <w:b w:val="0"/>
                <w:sz w:val="18"/>
              </w:rPr>
              <w:t>E2E verificado</w:t>
            </w:r>
          </w:p>
        </w:tc>
      </w:tr>
      <w:tr>
        <w:trPr>
          <w:cantSplit/>
        </w:trPr>
        <w:tc>
          <w:tcPr>
            <w:tcW w:type="dxa" w:w="2232"/>
            <w:vAlign w:val="center"/>
          </w:tcPr>
          <w:p>
            <w:pPr>
              <w:spacing w:after="0"/>
            </w:pPr>
            <w:r/>
            <w:r>
              <w:rPr>
                <w:rFonts w:ascii="Aptos" w:hAnsi="Aptos"/>
                <w:b w:val="0"/>
                <w:sz w:val="18"/>
              </w:rPr>
              <w:t>Diagnóstico seguro</w:t>
            </w:r>
          </w:p>
        </w:tc>
        <w:tc>
          <w:tcPr>
            <w:tcW w:type="dxa" w:w="5616"/>
            <w:vAlign w:val="center"/>
          </w:tcPr>
          <w:p>
            <w:pPr>
              <w:spacing w:after="0"/>
            </w:pPr>
            <w:r/>
            <w:r>
              <w:rPr>
                <w:rFonts w:ascii="Aptos" w:hAnsi="Aptos"/>
                <w:b w:val="0"/>
                <w:sz w:val="18"/>
              </w:rPr>
              <w:t>Schema cerrado y allowlist de detalles escalares</w:t>
            </w:r>
          </w:p>
        </w:tc>
        <w:tc>
          <w:tcPr>
            <w:tcW w:type="dxa" w:w="2232"/>
            <w:vAlign w:val="center"/>
          </w:tcPr>
          <w:p>
            <w:pPr>
              <w:spacing w:after="0"/>
            </w:pPr>
            <w:r/>
            <w:r>
              <w:rPr>
                <w:rFonts w:ascii="Aptos" w:hAnsi="Aptos"/>
                <w:b w:val="0"/>
                <w:sz w:val="18"/>
              </w:rPr>
              <w:t>Sonda PASS</w:t>
            </w:r>
          </w:p>
        </w:tc>
      </w:tr>
      <w:tr>
        <w:trPr>
          <w:cantSplit/>
        </w:trPr>
        <w:tc>
          <w:tcPr>
            <w:tcW w:type="dxa" w:w="2232"/>
            <w:vAlign w:val="center"/>
            <w:shd w:fill="EEF1F4"/>
          </w:tcPr>
          <w:p>
            <w:pPr>
              <w:spacing w:after="0"/>
            </w:pPr>
            <w:r/>
            <w:r>
              <w:rPr>
                <w:rFonts w:ascii="Aptos" w:hAnsi="Aptos"/>
                <w:b w:val="0"/>
                <w:sz w:val="18"/>
              </w:rPr>
              <w:t>Risk lifecycle</w:t>
            </w:r>
          </w:p>
        </w:tc>
        <w:tc>
          <w:tcPr>
            <w:tcW w:type="dxa" w:w="5616"/>
            <w:vAlign w:val="center"/>
            <w:shd w:fill="EEF1F4"/>
          </w:tcPr>
          <w:p>
            <w:pPr>
              <w:spacing w:after="0"/>
            </w:pPr>
            <w:r/>
            <w:r>
              <w:rPr>
                <w:rFonts w:ascii="Aptos" w:hAnsi="Aptos"/>
                <w:b w:val="0"/>
                <w:sz w:val="18"/>
              </w:rPr>
              <w:t>Decay en RPC y reset Postgres-admin-only</w:t>
            </w:r>
          </w:p>
        </w:tc>
        <w:tc>
          <w:tcPr>
            <w:tcW w:type="dxa" w:w="2232"/>
            <w:vAlign w:val="center"/>
            <w:shd w:fill="EEF1F4"/>
          </w:tcPr>
          <w:p>
            <w:pPr>
              <w:spacing w:after="0"/>
            </w:pPr>
            <w:r/>
            <w:r>
              <w:rPr>
                <w:rFonts w:ascii="Aptos" w:hAnsi="Aptos"/>
                <w:b w:val="0"/>
                <w:sz w:val="18"/>
              </w:rPr>
              <w:t>Migración aplicada</w:t>
            </w:r>
          </w:p>
        </w:tc>
      </w:tr>
      <w:tr>
        <w:tc>
          <w:tcPr>
            <w:tcW w:type="dxa" w:w="3312"/>
          </w:tcPr>
          <w:p>
            <w:r>
              <w:t>Cierre semántico high-confidence</w:t>
            </w:r>
          </w:p>
        </w:tc>
        <w:tc>
          <w:tcPr>
            <w:tcW w:type="dxa" w:w="3312"/>
          </w:tcPr>
          <w:p>
            <w:r>
              <w:rPr>
                <w:rFonts w:ascii="Aptos" w:hAnsi="Aptos"/>
                <w:sz w:val="18"/>
              </w:rPr>
              <w:t>3 observaciones autorizadas y distintas; despedida, marca Telnyx exacta y hangup exclusivo Worker/Telnyx</w:t>
            </w:r>
          </w:p>
        </w:tc>
        <w:tc>
          <w:tcPr>
            <w:tcW w:type="dxa" w:w="3312"/>
            <w:vAlign w:val="center"/>
          </w:tcPr>
          <w:p>
            <w:r>
              <w:t>Desplegado y E2E real verificado</w:t>
            </w:r>
          </w:p>
        </w:tc>
      </w:tr>
      <w:tr>
        <w:tc>
          <w:tcPr>
            <w:tcW w:type="dxa" w:w="3312"/>
          </w:tcPr>
          <w:p>
            <w:r>
              <w:rPr>
                <w:rFonts w:ascii="Aptos" w:hAnsi="Aptos"/>
                <w:sz w:val="18"/>
              </w:rPr>
              <w:t>Regresión consolidada de seguridad</w:t>
            </w:r>
          </w:p>
        </w:tc>
        <w:tc>
          <w:tcPr>
            <w:tcW w:type="dxa" w:w="3312"/>
          </w:tcPr>
          <w:p>
            <w:r>
              <w:rPr>
                <w:rFonts w:ascii="Aptos" w:hAnsi="Aptos"/>
                <w:sz w:val="18"/>
              </w:rPr>
              <w:t>Runner común, suites Media Edge y Control Plane, y gate CI final</w:t>
            </w:r>
          </w:p>
        </w:tc>
        <w:tc>
          <w:tcPr>
            <w:tcW w:type="dxa" w:w="3312"/>
            <w:vAlign w:val="center"/>
          </w:tcPr>
          <w:p>
            <w:r>
              <w:t>PR #101 fusionada; gate CI verde</w:t>
            </w:r>
          </w:p>
        </w:tc>
      </w:tr>
      <w:tr>
        <w:tc>
          <w:tcPr>
            <w:tcW w:type="dxa" w:w="3312"/>
            <w:vAlign w:val="center"/>
          </w:tcPr>
          <w:p>
            <w:r>
              <w:t>Retención y borrado</w:t>
            </w:r>
          </w:p>
        </w:tc>
        <w:tc>
          <w:tcPr>
            <w:tcW w:type="dxa" w:w="3312"/>
            <w:vAlign w:val="center"/>
          </w:tcPr>
          <w:p>
            <w:r>
              <w:t>Purga privada por lotes, cron diario y auditoría agregada</w:t>
            </w:r>
          </w:p>
        </w:tc>
        <w:tc>
          <w:tcPr>
            <w:tcW w:type="dxa" w:w="3312"/>
            <w:vAlign w:val="center"/>
          </w:tcPr>
          <w:p>
            <w:r>
              <w:t>Desplegado; corrección 20260913091400 aplicada; primera ejecución pendiente</w:t>
            </w:r>
          </w:p>
        </w:tc>
      </w:tr>
      <w:tr>
        <w:tc>
          <w:tcPr>
            <w:tcW w:type="dxa" w:w="3312"/>
          </w:tcPr>
          <w:p>
            <w:r>
              <w:t>Límite horizontal de funciones PostgreSQL</w:t>
            </w:r>
          </w:p>
        </w:tc>
        <w:tc>
          <w:tcPr>
            <w:tcW w:type="dxa" w:w="3312"/>
          </w:tcPr>
          <w:p>
            <w:r>
              <w:t>Privilegios seguros por defecto, cinco perfiles y manifiesto incremental</w:t>
            </w:r>
          </w:p>
        </w:tc>
        <w:tc>
          <w:tcPr>
            <w:tcW w:type="dxa" w:w="3312"/>
          </w:tcPr>
          <w:p>
            <w:r>
              <w:t>SEC-P1-05 validado localmente; pendiente de despliegue</w:t>
            </w:r>
          </w:p>
        </w:tc>
      </w:tr>
    </w:tbl>
    <w:p>
      <w:pPr>
        <w:pStyle w:val="Heading1"/>
      </w:pPr>
      <w:r>
        <w:t>4. Contrato de tools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shd w:fill="17365D"/>
          </w:tcPr>
          <w:p>
            <w:pPr>
              <w:spacing w:after="0"/>
            </w:pPr>
            <w:r/>
            <w:r>
              <w:rPr>
                <w:rFonts w:ascii="Aptos" w:hAnsi="Aptos"/>
                <w:b/>
                <w:color w:val="FFFFFF"/>
                <w:sz w:val="18"/>
              </w:rPr>
              <w:t>Campo</w:t>
            </w:r>
          </w:p>
        </w:tc>
        <w:tc>
          <w:tcPr>
            <w:tcW w:type="dxa" w:w="7848"/>
            <w:vAlign w:val="center"/>
            <w:shd w:fill="17365D"/>
          </w:tcPr>
          <w:p>
            <w:pPr>
              <w:spacing w:after="0"/>
            </w:pPr>
            <w:r/>
            <w:r>
              <w:rPr>
                <w:rFonts w:ascii="Aptos" w:hAnsi="Aptos"/>
                <w:b/>
                <w:color w:val="FFFFFF"/>
                <w:sz w:val="18"/>
              </w:rPr>
              <w:t>Propósito</w:t>
            </w:r>
          </w:p>
        </w:tc>
      </w:tr>
      <w:tr>
        <w:trPr>
          <w:cantSplit/>
        </w:trPr>
        <w:tc>
          <w:tcPr>
            <w:tcW w:type="dxa" w:w="2232"/>
            <w:vAlign w:val="center"/>
          </w:tcPr>
          <w:p>
            <w:pPr>
              <w:spacing w:after="0"/>
            </w:pPr>
            <w:r/>
            <w:r>
              <w:rPr>
                <w:rFonts w:ascii="Aptos" w:hAnsi="Aptos"/>
                <w:b w:val="0"/>
                <w:sz w:val="18"/>
              </w:rPr>
              <w:t>name + schema</w:t>
            </w:r>
          </w:p>
        </w:tc>
        <w:tc>
          <w:tcPr>
            <w:tcW w:type="dxa" w:w="7848"/>
            <w:vAlign w:val="center"/>
          </w:tcPr>
          <w:p>
            <w:pPr>
              <w:spacing w:after="0"/>
            </w:pPr>
            <w:r/>
            <w:r>
              <w:rPr>
                <w:rFonts w:ascii="Aptos" w:hAnsi="Aptos"/>
                <w:b w:val="0"/>
                <w:sz w:val="18"/>
              </w:rPr>
              <w:t>Nombre y argumentos cerrados; desconocidos fallan</w:t>
            </w:r>
          </w:p>
        </w:tc>
      </w:tr>
      <w:tr>
        <w:trPr>
          <w:cantSplit/>
        </w:trPr>
        <w:tc>
          <w:tcPr>
            <w:tcW w:type="dxa" w:w="2232"/>
            <w:vAlign w:val="center"/>
            <w:shd w:fill="EEF1F4"/>
          </w:tcPr>
          <w:p>
            <w:pPr>
              <w:spacing w:after="0"/>
            </w:pPr>
            <w:r/>
            <w:r>
              <w:rPr>
                <w:rFonts w:ascii="Aptos" w:hAnsi="Aptos"/>
                <w:b w:val="0"/>
                <w:sz w:val="18"/>
              </w:rPr>
              <w:t>authority</w:t>
            </w:r>
          </w:p>
        </w:tc>
        <w:tc>
          <w:tcPr>
            <w:tcW w:type="dxa" w:w="7848"/>
            <w:vAlign w:val="center"/>
            <w:shd w:fill="EEF1F4"/>
          </w:tcPr>
          <w:p>
            <w:pPr>
              <w:spacing w:after="0"/>
            </w:pPr>
            <w:r/>
            <w:r>
              <w:rPr>
                <w:rFonts w:ascii="Aptos" w:hAnsi="Aptos"/>
                <w:b w:val="0"/>
                <w:sz w:val="18"/>
              </w:rPr>
              <w:t>Fuente aceptable: sistema, necesidad semántica, petición o confirmación</w:t>
            </w:r>
          </w:p>
        </w:tc>
      </w:tr>
      <w:tr>
        <w:trPr>
          <w:cantSplit/>
        </w:trPr>
        <w:tc>
          <w:tcPr>
            <w:tcW w:type="dxa" w:w="2232"/>
            <w:vAlign w:val="center"/>
          </w:tcPr>
          <w:p>
            <w:pPr>
              <w:spacing w:after="0"/>
            </w:pPr>
            <w:r/>
            <w:r>
              <w:rPr>
                <w:rFonts w:ascii="Aptos" w:hAnsi="Aptos"/>
                <w:b w:val="0"/>
                <w:sz w:val="18"/>
              </w:rPr>
              <w:t>effect</w:t>
            </w:r>
          </w:p>
        </w:tc>
        <w:tc>
          <w:tcPr>
            <w:tcW w:type="dxa" w:w="7848"/>
            <w:vAlign w:val="center"/>
          </w:tcPr>
          <w:p>
            <w:pPr>
              <w:spacing w:after="0"/>
            </w:pPr>
            <w:r/>
            <w:r>
              <w:rPr>
                <w:rFonts w:ascii="Aptos" w:hAnsi="Aptos"/>
                <w:b w:val="0"/>
                <w:sz w:val="18"/>
              </w:rPr>
              <w:t>READ_CONTEXT, READ_BUSINESS_DATA, MUTATE, DESTRUCTIVE, EXTERNAL o TERMINAL</w:t>
            </w:r>
          </w:p>
        </w:tc>
      </w:tr>
      <w:tr>
        <w:trPr>
          <w:cantSplit/>
        </w:trPr>
        <w:tc>
          <w:tcPr>
            <w:tcW w:type="dxa" w:w="2232"/>
            <w:vAlign w:val="center"/>
            <w:shd w:fill="EEF1F4"/>
          </w:tcPr>
          <w:p>
            <w:pPr>
              <w:spacing w:after="0"/>
            </w:pPr>
            <w:r/>
            <w:r>
              <w:rPr>
                <w:rFonts w:ascii="Aptos" w:hAnsi="Aptos"/>
                <w:b w:val="0"/>
                <w:sz w:val="18"/>
              </w:rPr>
              <w:t>capability</w:t>
            </w:r>
          </w:p>
        </w:tc>
        <w:tc>
          <w:tcPr>
            <w:tcW w:type="dxa" w:w="7848"/>
            <w:vAlign w:val="center"/>
            <w:shd w:fill="EEF1F4"/>
          </w:tcPr>
          <w:p>
            <w:pPr>
              <w:spacing w:after="0"/>
            </w:pPr>
            <w:r/>
            <w:r>
              <w:rPr>
                <w:rFonts w:ascii="Aptos" w:hAnsi="Aptos"/>
                <w:b w:val="0"/>
                <w:sz w:val="18"/>
              </w:rPr>
              <w:t>Concesión explícita del tenant; debe coincidir con policy local</w:t>
            </w:r>
          </w:p>
        </w:tc>
      </w:tr>
      <w:tr>
        <w:trPr>
          <w:cantSplit/>
        </w:trPr>
        <w:tc>
          <w:tcPr>
            <w:tcW w:type="dxa" w:w="2232"/>
            <w:vAlign w:val="center"/>
          </w:tcPr>
          <w:p>
            <w:pPr>
              <w:spacing w:after="0"/>
            </w:pPr>
            <w:r/>
            <w:r>
              <w:rPr>
                <w:rFonts w:ascii="Aptos" w:hAnsi="Aptos"/>
                <w:b w:val="0"/>
                <w:sz w:val="18"/>
              </w:rPr>
              <w:t>evidence</w:t>
            </w:r>
          </w:p>
        </w:tc>
        <w:tc>
          <w:tcPr>
            <w:tcW w:type="dxa" w:w="7848"/>
            <w:vAlign w:val="center"/>
          </w:tcPr>
          <w:p>
            <w:pPr>
              <w:spacing w:after="0"/>
            </w:pPr>
            <w:r/>
            <w:r>
              <w:rPr>
                <w:rFonts w:ascii="Aptos" w:hAnsi="Aptos"/>
                <w:b w:val="0"/>
                <w:sz w:val="18"/>
              </w:rPr>
              <w:t>Evidencia del turno exigida según riesgo</w:t>
            </w:r>
          </w:p>
        </w:tc>
      </w:tr>
      <w:tr>
        <w:trPr>
          <w:cantSplit/>
        </w:trPr>
        <w:tc>
          <w:tcPr>
            <w:tcW w:type="dxa" w:w="2232"/>
            <w:vAlign w:val="center"/>
            <w:shd w:fill="EEF1F4"/>
          </w:tcPr>
          <w:p>
            <w:pPr>
              <w:spacing w:after="0"/>
            </w:pPr>
            <w:r/>
            <w:r>
              <w:rPr>
                <w:rFonts w:ascii="Aptos" w:hAnsi="Aptos"/>
                <w:b w:val="0"/>
                <w:sz w:val="18"/>
              </w:rPr>
              <w:t>receipt</w:t>
            </w:r>
          </w:p>
        </w:tc>
        <w:tc>
          <w:tcPr>
            <w:tcW w:type="dxa" w:w="7848"/>
            <w:vAlign w:val="center"/>
            <w:shd w:fill="EEF1F4"/>
          </w:tcPr>
          <w:p>
            <w:pPr>
              <w:spacing w:after="0"/>
            </w:pPr>
            <w:r/>
            <w:r>
              <w:rPr>
                <w:rFonts w:ascii="Aptos" w:hAnsi="Aptos"/>
                <w:b w:val="0"/>
                <w:sz w:val="18"/>
              </w:rPr>
              <w:t>Comprobante opaco ligado a function call, tenant y llamada</w:t>
            </w:r>
          </w:p>
        </w:tc>
      </w:tr>
      <w:tr>
        <w:trPr>
          <w:cantSplit/>
        </w:trPr>
        <w:tc>
          <w:tcPr>
            <w:tcW w:type="dxa" w:w="2232"/>
            <w:vAlign w:val="center"/>
          </w:tcPr>
          <w:p>
            <w:pPr>
              <w:spacing w:after="0"/>
            </w:pPr>
            <w:r/>
            <w:r>
              <w:rPr>
                <w:rFonts w:ascii="Aptos" w:hAnsi="Aptos"/>
                <w:b w:val="0"/>
                <w:sz w:val="18"/>
              </w:rPr>
              <w:t>idempotency</w:t>
            </w:r>
          </w:p>
        </w:tc>
        <w:tc>
          <w:tcPr>
            <w:tcW w:type="dxa" w:w="7848"/>
            <w:vAlign w:val="center"/>
          </w:tcPr>
          <w:p>
            <w:pPr>
              <w:spacing w:after="0"/>
            </w:pPr>
            <w:r/>
            <w:r>
              <w:rPr>
                <w:rFonts w:ascii="Aptos" w:hAnsi="Aptos"/>
                <w:b w:val="0"/>
                <w:sz w:val="18"/>
              </w:rPr>
              <w:t>Evita duplicación por retry o redelivery</w:t>
            </w:r>
          </w:p>
        </w:tc>
      </w:tr>
    </w:tbl>
    <w:p>
      <w:r>
        <w:t>Sólo una lectura estrictamente read-only puede omitir transcript cuando la necesidad semántica sea suficiente. Acciones mutantes, destructivas, externas o terminales requieren autoridad/evidencia y no pueden degradarse por timing.</w:t>
      </w:r>
    </w:p>
    <w:p>
      <w:pPr>
        <w:pStyle w:val="Heading1"/>
      </w:pPr>
      <w:r>
        <w:t>5. Caller-security y reputación</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3312"/>
            <w:vAlign w:val="center"/>
            <w:shd w:fill="17365D"/>
          </w:tcPr>
          <w:p>
            <w:pPr>
              <w:spacing w:after="0"/>
            </w:pPr>
            <w:r/>
            <w:r>
              <w:rPr>
                <w:rFonts w:ascii="Aptos" w:hAnsi="Aptos"/>
                <w:b/>
                <w:color w:val="FFFFFF"/>
                <w:sz w:val="18"/>
              </w:rPr>
              <w:t>Control</w:t>
            </w:r>
          </w:p>
        </w:tc>
        <w:tc>
          <w:tcPr>
            <w:tcW w:type="dxa" w:w="6768"/>
            <w:vAlign w:val="center"/>
            <w:shd w:fill="17365D"/>
          </w:tcPr>
          <w:p>
            <w:pPr>
              <w:spacing w:after="0"/>
            </w:pPr>
            <w:r/>
            <w:r>
              <w:rPr>
                <w:rFonts w:ascii="Aptos" w:hAnsi="Aptos"/>
                <w:b/>
                <w:color w:val="FFFFFF"/>
                <w:sz w:val="18"/>
              </w:rPr>
              <w:t>Valor</w:t>
            </w:r>
          </w:p>
        </w:tc>
      </w:tr>
      <w:tr>
        <w:trPr>
          <w:cantSplit/>
        </w:trPr>
        <w:tc>
          <w:tcPr>
            <w:tcW w:type="dxa" w:w="3312"/>
            <w:vAlign w:val="center"/>
          </w:tcPr>
          <w:p>
            <w:pPr>
              <w:spacing w:after="0"/>
            </w:pPr>
            <w:r/>
            <w:r>
              <w:rPr>
                <w:rFonts w:ascii="Aptos" w:hAnsi="Aptos"/>
                <w:b w:val="0"/>
                <w:sz w:val="18"/>
              </w:rPr>
              <w:t>Límite 1 minuto</w:t>
            </w:r>
          </w:p>
        </w:tc>
        <w:tc>
          <w:tcPr>
            <w:tcW w:type="dxa" w:w="6768"/>
            <w:vAlign w:val="center"/>
          </w:tcPr>
          <w:p>
            <w:pPr>
              <w:spacing w:after="0"/>
            </w:pPr>
            <w:r/>
            <w:r>
              <w:rPr>
                <w:rFonts w:ascii="Aptos" w:hAnsi="Aptos"/>
                <w:b w:val="0"/>
                <w:sz w:val="18"/>
              </w:rPr>
              <w:t>5 llamadas</w:t>
            </w:r>
          </w:p>
        </w:tc>
      </w:tr>
      <w:tr>
        <w:trPr>
          <w:cantSplit/>
        </w:trPr>
        <w:tc>
          <w:tcPr>
            <w:tcW w:type="dxa" w:w="3312"/>
            <w:vAlign w:val="center"/>
            <w:shd w:fill="EEF1F4"/>
          </w:tcPr>
          <w:p>
            <w:pPr>
              <w:spacing w:after="0"/>
            </w:pPr>
            <w:r/>
            <w:r>
              <w:rPr>
                <w:rFonts w:ascii="Aptos" w:hAnsi="Aptos"/>
                <w:b w:val="0"/>
                <w:sz w:val="18"/>
              </w:rPr>
              <w:t>Límite 5 minutos</w:t>
            </w:r>
          </w:p>
        </w:tc>
        <w:tc>
          <w:tcPr>
            <w:tcW w:type="dxa" w:w="6768"/>
            <w:vAlign w:val="center"/>
            <w:shd w:fill="EEF1F4"/>
          </w:tcPr>
          <w:p>
            <w:pPr>
              <w:spacing w:after="0"/>
            </w:pPr>
            <w:r/>
            <w:r>
              <w:rPr>
                <w:rFonts w:ascii="Aptos" w:hAnsi="Aptos"/>
                <w:b w:val="0"/>
                <w:sz w:val="18"/>
              </w:rPr>
              <w:t>8 llamadas</w:t>
            </w:r>
          </w:p>
        </w:tc>
      </w:tr>
      <w:tr>
        <w:trPr>
          <w:cantSplit/>
        </w:trPr>
        <w:tc>
          <w:tcPr>
            <w:tcW w:type="dxa" w:w="3312"/>
            <w:vAlign w:val="center"/>
          </w:tcPr>
          <w:p>
            <w:pPr>
              <w:spacing w:after="0"/>
            </w:pPr>
            <w:r/>
            <w:r>
              <w:rPr>
                <w:rFonts w:ascii="Aptos" w:hAnsi="Aptos"/>
                <w:b w:val="0"/>
                <w:sz w:val="18"/>
              </w:rPr>
              <w:t>Límite 1 hora</w:t>
            </w:r>
          </w:p>
        </w:tc>
        <w:tc>
          <w:tcPr>
            <w:tcW w:type="dxa" w:w="6768"/>
            <w:vAlign w:val="center"/>
          </w:tcPr>
          <w:p>
            <w:pPr>
              <w:spacing w:after="0"/>
            </w:pPr>
            <w:r/>
            <w:r>
              <w:rPr>
                <w:rFonts w:ascii="Aptos" w:hAnsi="Aptos"/>
                <w:b w:val="0"/>
                <w:sz w:val="18"/>
              </w:rPr>
              <w:t>20 llamadas</w:t>
            </w:r>
          </w:p>
        </w:tc>
      </w:tr>
      <w:tr>
        <w:trPr>
          <w:cantSplit/>
        </w:trPr>
        <w:tc>
          <w:tcPr>
            <w:tcW w:type="dxa" w:w="3312"/>
            <w:vAlign w:val="center"/>
            <w:shd w:fill="EEF1F4"/>
          </w:tcPr>
          <w:p>
            <w:pPr>
              <w:spacing w:after="0"/>
            </w:pPr>
            <w:r/>
            <w:r>
              <w:rPr>
                <w:rFonts w:ascii="Aptos" w:hAnsi="Aptos"/>
                <w:b w:val="0"/>
                <w:sz w:val="18"/>
              </w:rPr>
              <w:t>Bloqueos progresivos</w:t>
            </w:r>
          </w:p>
        </w:tc>
        <w:tc>
          <w:tcPr>
            <w:tcW w:type="dxa" w:w="6768"/>
            <w:vAlign w:val="center"/>
            <w:shd w:fill="EEF1F4"/>
          </w:tcPr>
          <w:p>
            <w:pPr>
              <w:spacing w:after="0"/>
            </w:pPr>
            <w:r/>
            <w:r>
              <w:rPr>
                <w:rFonts w:ascii="Aptos" w:hAnsi="Aptos"/>
                <w:b w:val="0"/>
                <w:sz w:val="18"/>
              </w:rPr>
              <w:t>1 hora → 24 horas → 7 días</w:t>
            </w:r>
          </w:p>
        </w:tc>
      </w:tr>
      <w:tr>
        <w:trPr>
          <w:cantSplit/>
        </w:trPr>
        <w:tc>
          <w:tcPr>
            <w:tcW w:type="dxa" w:w="3312"/>
            <w:vAlign w:val="center"/>
          </w:tcPr>
          <w:p>
            <w:pPr>
              <w:spacing w:after="0"/>
            </w:pPr>
            <w:r/>
            <w:r>
              <w:rPr>
                <w:rFonts w:ascii="Aptos" w:hAnsi="Aptos"/>
                <w:b w:val="0"/>
                <w:sz w:val="18"/>
              </w:rPr>
              <w:t>Bloqueo permanente</w:t>
            </w:r>
          </w:p>
        </w:tc>
        <w:tc>
          <w:tcPr>
            <w:tcW w:type="dxa" w:w="6768"/>
            <w:vAlign w:val="center"/>
          </w:tcPr>
          <w:p>
            <w:pPr>
              <w:spacing w:after="0"/>
            </w:pPr>
            <w:r/>
            <w:r>
              <w:rPr>
                <w:rFonts w:ascii="Aptos" w:hAnsi="Aptos"/>
                <w:b w:val="0"/>
                <w:sz w:val="18"/>
              </w:rPr>
              <w:t>strikes ≥ 8 AND blocks ≥ 3 AND risk_score ≥ 25</w:t>
            </w:r>
          </w:p>
        </w:tc>
      </w:tr>
      <w:tr>
        <w:trPr>
          <w:cantSplit/>
        </w:trPr>
        <w:tc>
          <w:tcPr>
            <w:tcW w:type="dxa" w:w="3312"/>
            <w:vAlign w:val="center"/>
            <w:shd w:fill="EEF1F4"/>
          </w:tcPr>
          <w:p>
            <w:pPr>
              <w:spacing w:after="0"/>
            </w:pPr>
            <w:r/>
            <w:r>
              <w:rPr>
                <w:rFonts w:ascii="Aptos" w:hAnsi="Aptos"/>
                <w:b w:val="0"/>
                <w:sz w:val="18"/>
              </w:rPr>
              <w:t>Decay</w:t>
            </w:r>
          </w:p>
        </w:tc>
        <w:tc>
          <w:tcPr>
            <w:tcW w:type="dxa" w:w="6768"/>
            <w:vAlign w:val="center"/>
            <w:shd w:fill="EEF1F4"/>
          </w:tcPr>
          <w:p>
            <w:pPr>
              <w:spacing w:after="0"/>
            </w:pPr>
            <w:r/>
            <w:r>
              <w:rPr>
                <w:rFonts w:ascii="Aptos" w:hAnsi="Aptos"/>
                <w:b w:val="0"/>
                <w:sz w:val="18"/>
              </w:rPr>
              <w:t>−1 risk_score por cada 24 h completas sin evidencia nueva</w:t>
            </w:r>
          </w:p>
        </w:tc>
      </w:tr>
    </w:tbl>
    <w:p>
      <w:r>
        <w:t>El decay no reduce strikes, rate_limit_blocks, blocked_until ni permanent_block. El reset requiere administrador Postgres, motivo cerrado, event key idempotente y actor identificado mediante SHA-256.</w:t>
      </w:r>
    </w:p>
    <w:p>
      <w:pPr>
        <w:pStyle w:val="Heading1"/>
      </w:pPr>
      <w:r>
        <w:t>6. Privacidad y evidencia</w:t>
      </w:r>
    </w:p>
    <w:p>
      <w:pPr>
        <w:pStyle w:val="ListBullet"/>
      </w:pPr>
      <w:r>
        <w:t>Usar hashes, longitudes, categorías y códigos técnicos en lugar de contenido conversacional.</w:t>
      </w:r>
    </w:p>
    <w:p>
      <w:pPr>
        <w:pStyle w:val="ListBullet"/>
      </w:pPr>
      <w:r>
        <w:t>La allowlist de diagnóstico descarta transcript, prompt, token, teléfono, payloads y objetos anidados.</w:t>
      </w:r>
    </w:p>
    <w:p>
      <w:pPr>
        <w:pStyle w:val="ListBullet"/>
      </w:pPr>
      <w:r>
        <w:t>human_handoff_events conserva sólo los datos operativos imprescindibles y con acceso restringido.</w:t>
      </w:r>
    </w:p>
    <w:p>
      <w:pPr>
        <w:pStyle w:val="ListBullet"/>
      </w:pPr>
      <w:r>
        <w:t>Distinguir evento de control, efecto externo, respuesta del destino y evidencia acústica del caller.</w:t>
      </w:r>
    </w:p>
    <w:p>
      <w:pPr>
        <w:pStyle w:val="Heading1"/>
      </w:pPr>
      <w:r>
        <w:t>7. Modelo de amenazas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3384"/>
            <w:vAlign w:val="center"/>
            <w:shd w:fill="17365D"/>
          </w:tcPr>
          <w:p>
            <w:pPr>
              <w:spacing w:after="0"/>
            </w:pPr>
            <w:r/>
            <w:r>
              <w:rPr>
                <w:rFonts w:ascii="Aptos" w:hAnsi="Aptos"/>
                <w:b/>
                <w:color w:val="FFFFFF"/>
                <w:sz w:val="18"/>
              </w:rPr>
              <w:t>Amenaza</w:t>
            </w:r>
          </w:p>
        </w:tc>
        <w:tc>
          <w:tcPr>
            <w:tcW w:type="dxa" w:w="6696"/>
            <w:vAlign w:val="center"/>
            <w:shd w:fill="17365D"/>
          </w:tcPr>
          <w:p>
            <w:pPr>
              <w:spacing w:after="0"/>
            </w:pPr>
            <w:r/>
            <w:r>
              <w:rPr>
                <w:rFonts w:ascii="Aptos" w:hAnsi="Aptos"/>
                <w:b/>
                <w:color w:val="FFFFFF"/>
                <w:sz w:val="18"/>
              </w:rPr>
              <w:t>Control principal</w:t>
            </w:r>
          </w:p>
        </w:tc>
      </w:tr>
      <w:tr>
        <w:trPr>
          <w:cantSplit/>
        </w:trPr>
        <w:tc>
          <w:tcPr>
            <w:tcW w:type="dxa" w:w="3384"/>
            <w:vAlign w:val="center"/>
          </w:tcPr>
          <w:p>
            <w:pPr>
              <w:spacing w:after="0"/>
            </w:pPr>
            <w:r/>
            <w:r>
              <w:rPr>
                <w:rFonts w:ascii="Aptos" w:hAnsi="Aptos"/>
                <w:b w:val="0"/>
                <w:sz w:val="18"/>
              </w:rPr>
              <w:t>Webhook falso/replay</w:t>
            </w:r>
          </w:p>
        </w:tc>
        <w:tc>
          <w:tcPr>
            <w:tcW w:type="dxa" w:w="6696"/>
            <w:vAlign w:val="center"/>
          </w:tcPr>
          <w:p>
            <w:pPr>
              <w:spacing w:after="0"/>
            </w:pPr>
            <w:r/>
            <w:r>
              <w:rPr>
                <w:rFonts w:ascii="Aptos" w:hAnsi="Aptos"/>
                <w:b w:val="0"/>
                <w:sz w:val="18"/>
              </w:rPr>
              <w:t>Firma Telnyx, timestamp e idempotencia</w:t>
            </w:r>
          </w:p>
        </w:tc>
      </w:tr>
      <w:tr>
        <w:trPr>
          <w:cantSplit/>
        </w:trPr>
        <w:tc>
          <w:tcPr>
            <w:tcW w:type="dxa" w:w="3384"/>
            <w:vAlign w:val="center"/>
            <w:shd w:fill="EEF1F4"/>
          </w:tcPr>
          <w:p>
            <w:pPr>
              <w:spacing w:after="0"/>
            </w:pPr>
            <w:r/>
            <w:r>
              <w:rPr>
                <w:rFonts w:ascii="Aptos" w:hAnsi="Aptos"/>
                <w:b w:val="0"/>
                <w:sz w:val="18"/>
              </w:rPr>
              <w:t>Caller abusivo</w:t>
            </w:r>
          </w:p>
        </w:tc>
        <w:tc>
          <w:tcPr>
            <w:tcW w:type="dxa" w:w="6696"/>
            <w:vAlign w:val="center"/>
            <w:shd w:fill="EEF1F4"/>
          </w:tcPr>
          <w:p>
            <w:pPr>
              <w:spacing w:after="0"/>
            </w:pPr>
            <w:r/>
            <w:r>
              <w:rPr>
                <w:rFonts w:ascii="Aptos" w:hAnsi="Aptos"/>
                <w:b w:val="0"/>
                <w:sz w:val="18"/>
              </w:rPr>
              <w:t>Admission fail-closed y reputación persistente</w:t>
            </w:r>
          </w:p>
        </w:tc>
      </w:tr>
      <w:tr>
        <w:trPr>
          <w:cantSplit/>
        </w:trPr>
        <w:tc>
          <w:tcPr>
            <w:tcW w:type="dxa" w:w="3384"/>
            <w:vAlign w:val="center"/>
          </w:tcPr>
          <w:p>
            <w:pPr>
              <w:spacing w:after="0"/>
            </w:pPr>
            <w:r/>
            <w:r>
              <w:rPr>
                <w:rFonts w:ascii="Aptos" w:hAnsi="Aptos"/>
                <w:b w:val="0"/>
                <w:sz w:val="18"/>
              </w:rPr>
              <w:t>Prompt injection/exfiltration</w:t>
            </w:r>
          </w:p>
        </w:tc>
        <w:tc>
          <w:tcPr>
            <w:tcW w:type="dxa" w:w="6696"/>
            <w:vAlign w:val="center"/>
          </w:tcPr>
          <w:p>
            <w:r>
              <w:t>Semantic boundary + señal mínima; cierre sólo con alta confianza acumulada</w:t>
            </w:r>
          </w:p>
        </w:tc>
      </w:tr>
      <w:tr>
        <w:trPr>
          <w:cantSplit/>
        </w:trPr>
        <w:tc>
          <w:tcPr>
            <w:tcW w:type="dxa" w:w="3384"/>
            <w:vAlign w:val="center"/>
            <w:shd w:fill="EEF1F4"/>
          </w:tcPr>
          <w:p>
            <w:pPr>
              <w:spacing w:after="0"/>
            </w:pPr>
            <w:r/>
            <w:r>
              <w:rPr>
                <w:rFonts w:ascii="Aptos" w:hAnsi="Aptos"/>
                <w:b w:val="0"/>
                <w:sz w:val="18"/>
              </w:rPr>
              <w:t>Tool manipulation</w:t>
            </w:r>
          </w:p>
        </w:tc>
        <w:tc>
          <w:tcPr>
            <w:tcW w:type="dxa" w:w="6696"/>
            <w:vAlign w:val="center"/>
            <w:shd w:fill="EEF1F4"/>
          </w:tcPr>
          <w:p>
            <w:pPr>
              <w:spacing w:after="0"/>
            </w:pPr>
            <w:r/>
            <w:r>
              <w:rPr>
                <w:rFonts w:ascii="Aptos" w:hAnsi="Aptos"/>
                <w:b w:val="0"/>
                <w:sz w:val="18"/>
              </w:rPr>
              <w:t>Policy local, capability y recibo opaco</w:t>
            </w:r>
          </w:p>
        </w:tc>
      </w:tr>
      <w:tr>
        <w:trPr>
          <w:cantSplit/>
        </w:trPr>
        <w:tc>
          <w:tcPr>
            <w:tcW w:type="dxa" w:w="3384"/>
            <w:vAlign w:val="center"/>
          </w:tcPr>
          <w:p>
            <w:pPr>
              <w:spacing w:after="0"/>
            </w:pPr>
            <w:r/>
            <w:r>
              <w:rPr>
                <w:rFonts w:ascii="Aptos" w:hAnsi="Aptos"/>
                <w:b w:val="0"/>
                <w:sz w:val="18"/>
              </w:rPr>
              <w:t>Efecto sin consentimiento</w:t>
            </w:r>
          </w:p>
        </w:tc>
        <w:tc>
          <w:tcPr>
            <w:tcW w:type="dxa" w:w="6696"/>
            <w:vAlign w:val="center"/>
          </w:tcPr>
          <w:p>
            <w:pPr>
              <w:spacing w:after="0"/>
            </w:pPr>
            <w:r/>
            <w:r>
              <w:rPr>
                <w:rFonts w:ascii="Aptos" w:hAnsi="Aptos"/>
                <w:b w:val="0"/>
                <w:sz w:val="18"/>
              </w:rPr>
              <w:t>Authority/evidence por efecto</w:t>
            </w:r>
          </w:p>
        </w:tc>
      </w:tr>
      <w:tr>
        <w:trPr>
          <w:cantSplit/>
        </w:trPr>
        <w:tc>
          <w:tcPr>
            <w:tcW w:type="dxa" w:w="3384"/>
            <w:vAlign w:val="center"/>
            <w:shd w:fill="EEF1F4"/>
          </w:tcPr>
          <w:p>
            <w:pPr>
              <w:spacing w:after="0"/>
            </w:pPr>
            <w:r/>
            <w:r>
              <w:rPr>
                <w:rFonts w:ascii="Aptos" w:hAnsi="Aptos"/>
                <w:b w:val="0"/>
                <w:sz w:val="18"/>
              </w:rPr>
              <w:t>Cross-tenant</w:t>
            </w:r>
          </w:p>
        </w:tc>
        <w:tc>
          <w:tcPr>
            <w:tcW w:type="dxa" w:w="6696"/>
            <w:vAlign w:val="center"/>
            <w:shd w:fill="EEF1F4"/>
          </w:tcPr>
          <w:p>
            <w:pPr>
              <w:spacing w:after="0"/>
            </w:pPr>
            <w:r/>
            <w:r>
              <w:rPr>
                <w:rFonts w:ascii="Aptos" w:hAnsi="Aptos"/>
                <w:b w:val="0"/>
                <w:sz w:val="18"/>
              </w:rPr>
              <w:t>Bootstrap tenant-bound y routing confiable</w:t>
            </w:r>
          </w:p>
        </w:tc>
      </w:tr>
      <w:tr>
        <w:trPr>
          <w:cantSplit/>
        </w:trPr>
        <w:tc>
          <w:tcPr>
            <w:tcW w:type="dxa" w:w="3384"/>
            <w:vAlign w:val="center"/>
          </w:tcPr>
          <w:p>
            <w:pPr>
              <w:spacing w:after="0"/>
            </w:pPr>
            <w:r/>
            <w:r>
              <w:rPr>
                <w:rFonts w:ascii="Aptos" w:hAnsi="Aptos"/>
                <w:b w:val="0"/>
                <w:sz w:val="18"/>
              </w:rPr>
              <w:t>Duplicación de efectos</w:t>
            </w:r>
          </w:p>
        </w:tc>
        <w:tc>
          <w:tcPr>
            <w:tcW w:type="dxa" w:w="6696"/>
            <w:vAlign w:val="center"/>
          </w:tcPr>
          <w:p>
            <w:pPr>
              <w:spacing w:after="0"/>
            </w:pPr>
            <w:r/>
            <w:r>
              <w:rPr>
                <w:rFonts w:ascii="Aptos" w:hAnsi="Aptos"/>
                <w:b w:val="0"/>
                <w:sz w:val="18"/>
              </w:rPr>
              <w:t>Idempotency keys y constraints</w:t>
            </w:r>
          </w:p>
        </w:tc>
      </w:tr>
      <w:tr>
        <w:trPr>
          <w:cantSplit/>
        </w:trPr>
        <w:tc>
          <w:tcPr>
            <w:tcW w:type="dxa" w:w="3384"/>
            <w:vAlign w:val="center"/>
            <w:shd w:fill="EEF1F4"/>
          </w:tcPr>
          <w:p>
            <w:pPr>
              <w:spacing w:after="0"/>
            </w:pPr>
            <w:r/>
            <w:r>
              <w:rPr>
                <w:rFonts w:ascii="Aptos" w:hAnsi="Aptos"/>
                <w:b w:val="0"/>
                <w:sz w:val="18"/>
              </w:rPr>
              <w:t>Fuga de datos</w:t>
            </w:r>
          </w:p>
        </w:tc>
        <w:tc>
          <w:tcPr>
            <w:tcW w:type="dxa" w:w="6696"/>
            <w:vAlign w:val="center"/>
            <w:shd w:fill="EEF1F4"/>
          </w:tcPr>
          <w:p>
            <w:pPr>
              <w:spacing w:after="0"/>
            </w:pPr>
            <w:r/>
            <w:r>
              <w:rPr>
                <w:rFonts w:ascii="Aptos" w:hAnsi="Aptos"/>
                <w:b w:val="0"/>
                <w:sz w:val="18"/>
              </w:rPr>
              <w:t>Schema cerrado, allowlist y minimización</w:t>
            </w:r>
          </w:p>
        </w:tc>
      </w:tr>
      <w:tr>
        <w:trPr>
          <w:cantSplit/>
        </w:trPr>
        <w:tc>
          <w:tcPr>
            <w:tcW w:type="dxa" w:w="3384"/>
            <w:vAlign w:val="center"/>
          </w:tcPr>
          <w:p>
            <w:pPr>
              <w:spacing w:after="0"/>
            </w:pPr>
            <w:r/>
            <w:r>
              <w:rPr>
                <w:rFonts w:ascii="Aptos" w:hAnsi="Aptos"/>
                <w:b w:val="0"/>
                <w:sz w:val="18"/>
              </w:rPr>
              <w:t>Race de despliegue</w:t>
            </w:r>
          </w:p>
        </w:tc>
        <w:tc>
          <w:tcPr>
            <w:tcW w:type="dxa" w:w="6696"/>
            <w:vAlign w:val="center"/>
          </w:tcPr>
          <w:p>
            <w:pPr>
              <w:spacing w:after="0"/>
            </w:pPr>
            <w:r/>
            <w:r>
              <w:rPr>
                <w:rFonts w:ascii="Aptos" w:hAnsi="Aptos"/>
                <w:b w:val="0"/>
                <w:sz w:val="18"/>
              </w:rPr>
              <w:t>Un único workflow integral</w:t>
            </w:r>
          </w:p>
        </w:tc>
      </w:tr>
      <w:tr>
        <w:trPr>
          <w:cantSplit/>
        </w:trPr>
        <w:tc>
          <w:tcPr>
            <w:tcW w:type="dxa" w:w="3384"/>
            <w:vAlign w:val="center"/>
            <w:shd w:fill="EEF1F4"/>
          </w:tcPr>
          <w:p>
            <w:pPr>
              <w:spacing w:after="0"/>
            </w:pPr>
            <w:r/>
            <w:r>
              <w:rPr>
                <w:rFonts w:ascii="Aptos" w:hAnsi="Aptos"/>
                <w:b w:val="0"/>
                <w:sz w:val="18"/>
              </w:rPr>
              <w:t>Escalado inconsistente</w:t>
            </w:r>
          </w:p>
        </w:tc>
        <w:tc>
          <w:tcPr>
            <w:tcW w:type="dxa" w:w="6696"/>
            <w:vAlign w:val="center"/>
            <w:shd w:fill="EEF1F4"/>
          </w:tcPr>
          <w:p>
            <w:pPr>
              <w:spacing w:after="0"/>
            </w:pPr>
            <w:r/>
            <w:r>
              <w:rPr>
                <w:rFonts w:ascii="Aptos" w:hAnsi="Aptos"/>
                <w:b w:val="0"/>
                <w:sz w:val="18"/>
              </w:rPr>
              <w:t>max-instances=1 hasta estado compartido atómico</w:t>
            </w:r>
          </w:p>
        </w:tc>
      </w:tr>
    </w:tbl>
    <w:p>
      <w:pPr>
        <w:pStyle w:val="Heading1"/>
      </w:pPr>
      <w:r>
        <w:t>8. Backlog vigente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224"/>
            <w:vAlign w:val="center"/>
            <w:shd w:fill="17365D"/>
          </w:tcPr>
          <w:p>
            <w:pPr>
              <w:spacing w:after="0"/>
            </w:pPr>
            <w:r/>
            <w:r>
              <w:rPr>
                <w:rFonts w:ascii="Aptos" w:hAnsi="Aptos"/>
                <w:b/>
                <w:color w:val="FFFFFF"/>
                <w:sz w:val="18"/>
              </w:rPr>
              <w:t>ID</w:t>
            </w:r>
          </w:p>
        </w:tc>
        <w:tc>
          <w:tcPr>
            <w:tcW w:type="dxa" w:w="1512"/>
            <w:vAlign w:val="center"/>
            <w:shd w:fill="17365D"/>
          </w:tcPr>
          <w:p>
            <w:pPr>
              <w:spacing w:after="0"/>
            </w:pPr>
            <w:r/>
            <w:r>
              <w:rPr>
                <w:rFonts w:ascii="Aptos" w:hAnsi="Aptos"/>
                <w:b/>
                <w:color w:val="FFFFFF"/>
                <w:sz w:val="18"/>
              </w:rPr>
              <w:t>Prioridad</w:t>
            </w:r>
          </w:p>
        </w:tc>
        <w:tc>
          <w:tcPr>
            <w:tcW w:type="dxa" w:w="3240"/>
            <w:vAlign w:val="center"/>
            <w:shd w:fill="17365D"/>
          </w:tcPr>
          <w:p>
            <w:pPr>
              <w:spacing w:after="0"/>
            </w:pPr>
            <w:r/>
            <w:r>
              <w:rPr>
                <w:rFonts w:ascii="Aptos" w:hAnsi="Aptos"/>
                <w:b/>
                <w:color w:val="FFFFFF"/>
                <w:sz w:val="18"/>
              </w:rPr>
              <w:t>Trabajo</w:t>
            </w:r>
          </w:p>
        </w:tc>
        <w:tc>
          <w:tcPr>
            <w:tcW w:type="dxa" w:w="4104"/>
            <w:vAlign w:val="center"/>
            <w:shd w:fill="17365D"/>
          </w:tcPr>
          <w:p>
            <w:pPr>
              <w:spacing w:after="0"/>
            </w:pPr>
            <w:r/>
            <w:r>
              <w:rPr>
                <w:rFonts w:ascii="Aptos" w:hAnsi="Aptos"/>
                <w:b/>
                <w:color w:val="FFFFFF"/>
                <w:sz w:val="18"/>
              </w:rPr>
              <w:t>Criterio de cierre</w:t>
            </w:r>
          </w:p>
        </w:tc>
      </w:tr>
      <w:tr>
        <w:trPr>
          <w:cantSplit/>
        </w:trPr>
        <w:tc>
          <w:tcPr>
            <w:tcW w:type="dxa" w:w="1224"/>
            <w:vAlign w:val="center"/>
          </w:tcPr>
          <w:p>
            <w:pPr>
              <w:spacing w:after="0"/>
            </w:pPr>
            <w:r/>
            <w:r>
              <w:rPr>
                <w:rFonts w:ascii="Aptos" w:hAnsi="Aptos"/>
                <w:b w:val="0"/>
                <w:sz w:val="18"/>
              </w:rPr>
              <w:t>SEC-P1-04</w:t>
            </w:r>
          </w:p>
        </w:tc>
        <w:tc>
          <w:tcPr>
            <w:tcW w:type="dxa" w:w="1512"/>
            <w:vAlign w:val="center"/>
          </w:tcPr>
          <w:p>
            <w:pPr>
              <w:spacing w:after="0"/>
            </w:pPr>
            <w:r/>
            <w:r>
              <w:rPr>
                <w:rFonts w:ascii="Aptos" w:hAnsi="Aptos"/>
                <w:b w:val="0"/>
                <w:sz w:val="18"/>
              </w:rPr>
              <w:t>P1</w:t>
            </w:r>
          </w:p>
        </w:tc>
        <w:tc>
          <w:tcPr>
            <w:tcW w:type="dxa" w:w="3240"/>
            <w:vAlign w:val="center"/>
          </w:tcPr>
          <w:p>
            <w:pPr>
              <w:spacing w:after="0"/>
            </w:pPr>
            <w:r>
              <w:t>Verificar primera ejecución programada de retención</w:t>
            </w:r>
          </w:p>
        </w:tc>
        <w:tc>
          <w:tcPr>
            <w:tcW w:type="dxa" w:w="4104"/>
            <w:vAlign w:val="center"/>
          </w:tcPr>
          <w:p>
            <w:pPr>
              <w:spacing w:after="0"/>
            </w:pPr>
            <w:r>
              <w:t>Cron succeeded; límite respetado; auditoría agregada y advisors revisados</w:t>
            </w:r>
          </w:p>
        </w:tc>
      </w:tr>
      <w:tr>
        <w:trPr>
          <w:cantSplit/>
        </w:trPr>
        <w:tc>
          <w:tcPr>
            <w:tcW w:type="dxa" w:w="1224"/>
            <w:vAlign w:val="center"/>
            <w:shd w:fill="EEF1F4"/>
          </w:tcPr>
          <w:p>
            <w:pPr>
              <w:spacing w:after="0"/>
            </w:pPr>
            <w:r/>
            <w:r>
              <w:rPr>
                <w:rFonts w:ascii="Aptos" w:hAnsi="Aptos"/>
                <w:b w:val="0"/>
                <w:sz w:val="18"/>
              </w:rPr>
              <w:t>SCALE-P0-01</w:t>
            </w:r>
          </w:p>
        </w:tc>
        <w:tc>
          <w:tcPr>
            <w:tcW w:type="dxa" w:w="1512"/>
            <w:vAlign w:val="center"/>
            <w:shd w:fill="EEF1F4"/>
          </w:tcPr>
          <w:p>
            <w:pPr>
              <w:spacing w:after="0"/>
            </w:pPr>
            <w:r/>
            <w:r>
              <w:rPr>
                <w:rFonts w:ascii="Aptos" w:hAnsi="Aptos"/>
                <w:b w:val="0"/>
                <w:sz w:val="18"/>
              </w:rPr>
              <w:t>P0 antes de escalar</w:t>
            </w:r>
          </w:p>
        </w:tc>
        <w:tc>
          <w:tcPr>
            <w:tcW w:type="dxa" w:w="3240"/>
            <w:vAlign w:val="center"/>
            <w:shd w:fill="EEF1F4"/>
          </w:tcPr>
          <w:p>
            <w:pPr>
              <w:spacing w:after="0"/>
            </w:pPr>
            <w:r/>
            <w:r>
              <w:rPr>
                <w:rFonts w:ascii="Aptos" w:hAnsi="Aptos"/>
                <w:b w:val="0"/>
                <w:sz w:val="18"/>
              </w:rPr>
              <w:t>Estado compartido y atómico</w:t>
            </w:r>
          </w:p>
        </w:tc>
        <w:tc>
          <w:tcPr>
            <w:tcW w:type="dxa" w:w="4104"/>
            <w:vAlign w:val="center"/>
            <w:shd w:fill="EEF1F4"/>
          </w:tcPr>
          <w:p>
            <w:pPr>
              <w:spacing w:after="0"/>
            </w:pPr>
            <w:r/>
            <w:r>
              <w:rPr>
                <w:rFonts w:ascii="Aptos" w:hAnsi="Aptos"/>
                <w:b w:val="0"/>
                <w:sz w:val="18"/>
              </w:rPr>
              <w:t>Pruebas de concurrencia multiinstancia</w:t>
            </w:r>
          </w:p>
        </w:tc>
      </w:tr>
      <w:tr>
        <w:trPr>
          <w:cantSplit/>
        </w:trPr>
        <w:tc>
          <w:tcPr>
            <w:tcW w:type="dxa" w:w="1224"/>
            <w:vAlign w:val="center"/>
          </w:tcPr>
          <w:p>
            <w:pPr>
              <w:spacing w:after="0"/>
            </w:pPr>
            <w:r/>
            <w:r>
              <w:rPr>
                <w:rFonts w:ascii="Aptos" w:hAnsi="Aptos"/>
                <w:b w:val="0"/>
                <w:sz w:val="18"/>
              </w:rPr>
              <w:t>VERT-P0-01</w:t>
            </w:r>
          </w:p>
        </w:tc>
        <w:tc>
          <w:tcPr>
            <w:tcW w:type="dxa" w:w="1512"/>
            <w:vAlign w:val="center"/>
          </w:tcPr>
          <w:p>
            <w:pPr>
              <w:spacing w:after="0"/>
            </w:pPr>
            <w:r/>
            <w:r>
              <w:rPr>
                <w:rFonts w:ascii="Aptos" w:hAnsi="Aptos"/>
                <w:b w:val="0"/>
                <w:sz w:val="18"/>
              </w:rPr>
              <w:t>P0 producto</w:t>
            </w:r>
          </w:p>
        </w:tc>
        <w:tc>
          <w:tcPr>
            <w:tcW w:type="dxa" w:w="3240"/>
            <w:vAlign w:val="center"/>
          </w:tcPr>
          <w:p>
            <w:pPr>
              <w:spacing w:after="0"/>
            </w:pPr>
            <w:r/>
            <w:r>
              <w:rPr>
                <w:rFonts w:ascii="Aptos" w:hAnsi="Aptos"/>
                <w:b w:val="0"/>
                <w:sz w:val="18"/>
              </w:rPr>
              <w:t>Tools verticales Gemini-native</w:t>
            </w:r>
          </w:p>
        </w:tc>
        <w:tc>
          <w:tcPr>
            <w:tcW w:type="dxa" w:w="4104"/>
            <w:vAlign w:val="center"/>
          </w:tcPr>
          <w:p>
            <w:pPr>
              <w:spacing w:after="0"/>
            </w:pPr>
            <w:r/>
            <w:r>
              <w:rPr>
                <w:rFonts w:ascii="Aptos" w:hAnsi="Aptos"/>
                <w:b w:val="0"/>
                <w:sz w:val="18"/>
              </w:rPr>
              <w:t>Contratos, invariantes y E2E por vertical</w:t>
            </w:r>
          </w:p>
        </w:tc>
      </w:tr>
      <w:tr>
        <w:tc>
          <w:tcPr>
            <w:tcW w:type="dxa" w:w="2484"/>
          </w:tcPr>
          <w:p>
            <w:r>
              <w:t>SEC-P1-05</w:t>
            </w:r>
          </w:p>
        </w:tc>
        <w:tc>
          <w:tcPr>
            <w:tcW w:type="dxa" w:w="2484"/>
          </w:tcPr>
          <w:p>
            <w:r>
              <w:t>P1</w:t>
            </w:r>
          </w:p>
        </w:tc>
        <w:tc>
          <w:tcPr>
            <w:tcW w:type="dxa" w:w="2484"/>
          </w:tcPr>
          <w:p>
            <w:r>
              <w:t>Activar contrato horizontal para toda función PostgreSQL nueva</w:t>
            </w:r>
          </w:p>
        </w:tc>
        <w:tc>
          <w:tcPr>
            <w:tcW w:type="dxa" w:w="2484"/>
          </w:tcPr>
          <w:p>
            <w:r>
              <w:t>Gate incremental 3/3; sin cambios en funciones heredadas ni hot path</w:t>
            </w:r>
          </w:p>
        </w:tc>
      </w:tr>
    </w:tbl>
    <w:p>
      <w:pPr>
        <w:pStyle w:val="Heading1"/>
      </w:pPr>
      <w:r>
        <w:t>9. Gates para cambios de seguridad</w:t>
      </w:r>
    </w:p>
    <w:p>
      <w:pPr>
        <w:pStyle w:val="ListNumber"/>
      </w:pPr>
      <w:r>
        <w:t>Definir amenaza, autoridad, efecto, datos sensibles y comportamiento fail-closed.</w:t>
      </w:r>
    </w:p>
    <w:p>
      <w:pPr>
        <w:pStyle w:val="ListNumber"/>
      </w:pPr>
      <w:r>
        <w:t>Añadir pruebas positivas y negativas: ausencia, fabricación, mismatch, cross-tenant y replay.</w:t>
      </w:r>
    </w:p>
    <w:p>
      <w:pPr>
        <w:pStyle w:val="ListNumber"/>
      </w:pPr>
      <w:r>
        <w:t>Demostrar que no se añade trabajo por chunk ni latencia evitable.</w:t>
      </w:r>
    </w:p>
    <w:p>
      <w:pPr>
        <w:pStyle w:val="ListNumber"/>
      </w:pPr>
      <w:r>
        <w:t>Ejecutar typecheck, tests, dry-run y contrato documental.</w:t>
      </w:r>
    </w:p>
    <w:p>
      <w:pPr>
        <w:pStyle w:val="ListNumber"/>
      </w:pPr>
      <w:r>
        <w:t>Separar implementado, CI verde, desplegado y validado E2E.</w:t>
      </w:r>
    </w:p>
    <w:p>
      <w:pPr>
        <w:pStyle w:val="ListNumber"/>
      </w:pPr>
      <w:r>
        <w:t>Actualizar esta guía con evidencia verificable, no con memoria de sesión.</w:t>
      </w:r>
    </w:p>
    <w:p>
      <w:pPr>
        <w:pStyle w:val="Heading1"/>
      </w:pPr>
      <w:r>
        <w:t>10. Continuidad entre sesiones</w:t>
      </w:r>
    </w:p>
    <w:p>
      <w:r>
        <w:t>Al retomar: verificar HEAD de rebuild/v39-stable-baseline, leer PROJECT_STATUS, confirmar Worker/revisión/tag efectivos y continuar desde el backlog. No realizar llamadas adversariales, deploy, IAM o cambios de secretos sin autorización.</w:t>
      </w:r>
    </w:p>
    <w:p>
      <w:pPr>
        <w:pStyle w:val="Heading1"/>
      </w:pPr>
      <w:r>
        <w:t>11. Registro de decisiones vigente</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7632"/>
            <w:vAlign w:val="center"/>
            <w:shd w:fill="17365D"/>
          </w:tcPr>
          <w:p>
            <w:pPr>
              <w:spacing w:after="0"/>
            </w:pPr>
            <w:r/>
            <w:r>
              <w:rPr>
                <w:rFonts w:ascii="Aptos" w:hAnsi="Aptos"/>
                <w:b/>
                <w:color w:val="FFFFFF"/>
                <w:sz w:val="18"/>
              </w:rPr>
              <w:t>Decisión</w:t>
            </w:r>
          </w:p>
        </w:tc>
        <w:tc>
          <w:tcPr>
            <w:tcW w:type="dxa" w:w="2448"/>
            <w:vAlign w:val="center"/>
            <w:shd w:fill="17365D"/>
          </w:tcPr>
          <w:p>
            <w:pPr>
              <w:spacing w:after="0"/>
            </w:pPr>
            <w:r/>
            <w:r>
              <w:rPr>
                <w:rFonts w:ascii="Aptos" w:hAnsi="Aptos"/>
                <w:b/>
                <w:color w:val="FFFFFF"/>
                <w:sz w:val="18"/>
              </w:rPr>
              <w:t>Estado</w:t>
            </w:r>
          </w:p>
        </w:tc>
      </w:tr>
      <w:tr>
        <w:trPr>
          <w:cantSplit/>
        </w:trPr>
        <w:tc>
          <w:tcPr>
            <w:tcW w:type="dxa" w:w="7632"/>
            <w:vAlign w:val="center"/>
          </w:tcPr>
          <w:p>
            <w:pPr>
              <w:spacing w:after="0"/>
            </w:pPr>
            <w:r/>
            <w:r>
              <w:rPr>
                <w:rFonts w:ascii="Aptos" w:hAnsi="Aptos"/>
                <w:b w:val="0"/>
                <w:sz w:val="18"/>
              </w:rPr>
              <w:t>Seguridad fuera del forwarding continuo</w:t>
            </w:r>
          </w:p>
        </w:tc>
        <w:tc>
          <w:tcPr>
            <w:tcW w:type="dxa" w:w="2448"/>
            <w:vAlign w:val="center"/>
          </w:tcPr>
          <w:p>
            <w:pPr>
              <w:spacing w:after="0"/>
            </w:pPr>
            <w:r/>
            <w:r>
              <w:rPr>
                <w:rFonts w:ascii="Aptos" w:hAnsi="Aptos"/>
                <w:b w:val="0"/>
                <w:sz w:val="18"/>
              </w:rPr>
              <w:t>Aceptada</w:t>
            </w:r>
          </w:p>
        </w:tc>
      </w:tr>
      <w:tr>
        <w:trPr>
          <w:cantSplit/>
        </w:trPr>
        <w:tc>
          <w:tcPr>
            <w:tcW w:type="dxa" w:w="7632"/>
            <w:vAlign w:val="center"/>
            <w:shd w:fill="EEF1F4"/>
          </w:tcPr>
          <w:p>
            <w:pPr>
              <w:spacing w:after="0"/>
            </w:pPr>
            <w:r/>
            <w:r>
              <w:rPr>
                <w:rFonts w:ascii="Aptos" w:hAnsi="Aptos"/>
                <w:b w:val="0"/>
                <w:sz w:val="18"/>
              </w:rPr>
              <w:t>Tool proposal no equivale a autorización</w:t>
            </w:r>
          </w:p>
        </w:tc>
        <w:tc>
          <w:tcPr>
            <w:tcW w:type="dxa" w:w="2448"/>
            <w:vAlign w:val="center"/>
            <w:shd w:fill="EEF1F4"/>
          </w:tcPr>
          <w:p>
            <w:pPr>
              <w:spacing w:after="0"/>
            </w:pPr>
            <w:r/>
            <w:r>
              <w:rPr>
                <w:rFonts w:ascii="Aptos" w:hAnsi="Aptos"/>
                <w:b w:val="0"/>
                <w:sz w:val="18"/>
              </w:rPr>
              <w:t>Implementada</w:t>
            </w:r>
          </w:p>
        </w:tc>
      </w:tr>
      <w:tr>
        <w:trPr>
          <w:cantSplit/>
        </w:trPr>
        <w:tc>
          <w:tcPr>
            <w:tcW w:type="dxa" w:w="7632"/>
            <w:vAlign w:val="center"/>
          </w:tcPr>
          <w:p>
            <w:pPr>
              <w:spacing w:after="0"/>
            </w:pPr>
            <w:r/>
            <w:r>
              <w:rPr>
                <w:rFonts w:ascii="Aptos" w:hAnsi="Aptos"/>
                <w:b w:val="0"/>
                <w:sz w:val="18"/>
              </w:rPr>
              <w:t>Policy local y capability obligatorias</w:t>
            </w:r>
          </w:p>
        </w:tc>
        <w:tc>
          <w:tcPr>
            <w:tcW w:type="dxa" w:w="2448"/>
            <w:vAlign w:val="center"/>
          </w:tcPr>
          <w:p>
            <w:pPr>
              <w:spacing w:after="0"/>
            </w:pPr>
            <w:r/>
            <w:r>
              <w:rPr>
                <w:rFonts w:ascii="Aptos" w:hAnsi="Aptos"/>
                <w:b w:val="0"/>
                <w:sz w:val="18"/>
              </w:rPr>
              <w:t>Implementada</w:t>
            </w:r>
          </w:p>
        </w:tc>
      </w:tr>
      <w:tr>
        <w:trPr>
          <w:cantSplit/>
        </w:trPr>
        <w:tc>
          <w:tcPr>
            <w:tcW w:type="dxa" w:w="7632"/>
            <w:vAlign w:val="center"/>
            <w:shd w:fill="EEF1F4"/>
          </w:tcPr>
          <w:p>
            <w:pPr>
              <w:spacing w:after="0"/>
            </w:pPr>
            <w:r/>
            <w:r>
              <w:rPr>
                <w:rFonts w:ascii="Aptos" w:hAnsi="Aptos"/>
                <w:b w:val="0"/>
                <w:sz w:val="18"/>
              </w:rPr>
              <w:t>Recibo opaco obligatorio en sinks effectful</w:t>
            </w:r>
          </w:p>
        </w:tc>
        <w:tc>
          <w:tcPr>
            <w:tcW w:type="dxa" w:w="2448"/>
            <w:vAlign w:val="center"/>
            <w:shd w:fill="EEF1F4"/>
          </w:tcPr>
          <w:p>
            <w:pPr>
              <w:spacing w:after="0"/>
            </w:pPr>
            <w:r/>
            <w:r>
              <w:rPr>
                <w:rFonts w:ascii="Aptos" w:hAnsi="Aptos"/>
                <w:b w:val="0"/>
                <w:sz w:val="18"/>
              </w:rPr>
              <w:t>Implementada</w:t>
            </w:r>
          </w:p>
        </w:tc>
      </w:tr>
      <w:tr>
        <w:trPr>
          <w:cantSplit/>
        </w:trPr>
        <w:tc>
          <w:tcPr>
            <w:tcW w:type="dxa" w:w="7632"/>
            <w:vAlign w:val="center"/>
          </w:tcPr>
          <w:p>
            <w:pPr>
              <w:spacing w:after="0"/>
            </w:pPr>
            <w:r/>
            <w:r>
              <w:rPr>
                <w:rFonts w:ascii="Aptos" w:hAnsi="Aptos"/>
                <w:b w:val="0"/>
                <w:sz w:val="18"/>
              </w:rPr>
              <w:t>Forense mínimo sin transcript bruto</w:t>
            </w:r>
          </w:p>
        </w:tc>
        <w:tc>
          <w:tcPr>
            <w:tcW w:type="dxa" w:w="2448"/>
            <w:vAlign w:val="center"/>
          </w:tcPr>
          <w:p>
            <w:pPr>
              <w:spacing w:after="0"/>
            </w:pPr>
            <w:r/>
            <w:r>
              <w:rPr>
                <w:rFonts w:ascii="Aptos" w:hAnsi="Aptos"/>
                <w:b w:val="0"/>
                <w:sz w:val="18"/>
              </w:rPr>
              <w:t>Implementada</w:t>
            </w:r>
          </w:p>
        </w:tc>
      </w:tr>
      <w:tr>
        <w:trPr>
          <w:cantSplit/>
        </w:trPr>
        <w:tc>
          <w:tcPr>
            <w:tcW w:type="dxa" w:w="7632"/>
            <w:vAlign w:val="center"/>
            <w:shd w:fill="EEF1F4"/>
          </w:tcPr>
          <w:p>
            <w:pPr>
              <w:spacing w:after="0"/>
            </w:pPr>
            <w:r/>
            <w:r>
              <w:rPr>
                <w:rFonts w:ascii="Aptos" w:hAnsi="Aptos"/>
                <w:b w:val="0"/>
                <w:sz w:val="18"/>
              </w:rPr>
              <w:t>Un único producto y workflow Fast</w:t>
            </w:r>
          </w:p>
        </w:tc>
        <w:tc>
          <w:tcPr>
            <w:tcW w:type="dxa" w:w="2448"/>
            <w:vAlign w:val="center"/>
            <w:shd w:fill="EEF1F4"/>
          </w:tcPr>
          <w:p>
            <w:pPr>
              <w:spacing w:after="0"/>
            </w:pPr>
            <w:r/>
            <w:r>
              <w:rPr>
                <w:rFonts w:ascii="Aptos" w:hAnsi="Aptos"/>
                <w:b w:val="0"/>
                <w:sz w:val="18"/>
              </w:rPr>
              <w:t>Aceptada</w:t>
            </w:r>
          </w:p>
        </w:tc>
      </w:tr>
      <w:tr>
        <w:trPr>
          <w:cantSplit/>
        </w:trPr>
        <w:tc>
          <w:tcPr>
            <w:tcW w:type="dxa" w:w="7632"/>
            <w:vAlign w:val="center"/>
          </w:tcPr>
          <w:p>
            <w:pPr>
              <w:spacing w:after="0"/>
            </w:pPr>
            <w:r/>
            <w:r>
              <w:rPr>
                <w:rFonts w:ascii="Aptos" w:hAnsi="Aptos"/>
                <w:b w:val="0"/>
                <w:sz w:val="18"/>
              </w:rPr>
              <w:t>Estado compartido antes de horizontal scale</w:t>
            </w:r>
          </w:p>
        </w:tc>
        <w:tc>
          <w:tcPr>
            <w:tcW w:type="dxa" w:w="2448"/>
            <w:vAlign w:val="center"/>
          </w:tcPr>
          <w:p>
            <w:pPr>
              <w:spacing w:after="0"/>
            </w:pPr>
            <w:r/>
            <w:r>
              <w:rPr>
                <w:rFonts w:ascii="Aptos" w:hAnsi="Aptos"/>
                <w:b w:val="0"/>
                <w:sz w:val="18"/>
              </w:rPr>
              <w:t>Pendiente</w:t>
            </w:r>
          </w:p>
        </w:tc>
      </w:tr>
      <w:tr>
        <w:tc>
          <w:tcPr>
            <w:tcW w:type="dxa" w:w="4968"/>
          </w:tcPr>
          <w:p>
            <w:r>
              <w:t>Una observación no termina la llamada; 3 toolCallId distintos habilitan cierre</w:t>
            </w:r>
          </w:p>
        </w:tc>
        <w:tc>
          <w:tcPr>
            <w:tcW w:type="dxa" w:w="4968"/>
            <w:vAlign w:val="center"/>
          </w:tcPr>
          <w:p>
            <w:r>
              <w:t>Desplegado y E2E real verificado</w:t>
            </w:r>
          </w:p>
        </w:tc>
      </w:tr>
      <w:tr>
        <w:tc>
          <w:tcPr>
            <w:tcW w:type="dxa" w:w="4968"/>
          </w:tcPr>
          <w:p>
            <w:r>
              <w:rPr>
                <w:rFonts w:ascii="Aptos" w:hAnsi="Aptos"/>
                <w:sz w:val="18"/>
              </w:rPr>
              <w:t>Gate único de regresión de seguridad</w:t>
            </w:r>
          </w:p>
        </w:tc>
        <w:tc>
          <w:tcPr>
            <w:tcW w:type="dxa" w:w="4968"/>
            <w:vAlign w:val="center"/>
          </w:tcPr>
          <w:p>
            <w:r>
              <w:t>PR #101 fusionada; CI verde</w:t>
            </w:r>
          </w:p>
        </w:tc>
      </w:tr>
      <w:tr>
        <w:tc>
          <w:tcPr>
            <w:tcW w:type="dxa" w:w="4968"/>
            <w:vAlign w:val="center"/>
          </w:tcPr>
          <w:p>
            <w:r>
              <w:t>Retención acotada fuera del hot path</w:t>
            </w:r>
          </w:p>
        </w:tc>
        <w:tc>
          <w:tcPr>
            <w:tcW w:type="dxa" w:w="4968"/>
            <w:vAlign w:val="center"/>
          </w:tcPr>
          <w:p>
            <w:r>
              <w:t>Desplegada; corrección de seguridad aplicada y primera ejecución pendiente</w:t>
            </w:r>
          </w:p>
        </w:tc>
      </w:tr>
      <w:tr>
        <w:tc>
          <w:tcPr>
            <w:tcW w:type="dxa" w:w="4968"/>
          </w:tcPr>
          <w:p>
            <w:r>
              <w:t>Funciones PostgreSQL nuevas con perfil, search_path vacío y ejecución mínima</w:t>
            </w:r>
          </w:p>
        </w:tc>
        <w:tc>
          <w:tcPr>
            <w:tcW w:type="dxa" w:w="4968"/>
          </w:tcPr>
          <w:p>
            <w:r>
              <w:t>Implementada localmente; pendiente de despliegue</w:t>
            </w:r>
          </w:p>
        </w:tc>
      </w:tr>
    </w:tbl>
    <w:p>
      <w:pPr>
        <w:pStyle w:val="Heading1"/>
      </w:pPr>
      <w:r>
        <w:t>12. Estado de implementación actual</w:t>
      </w:r>
    </w:p>
    <w:p>
      <w:pPr>
        <w:pStyle w:val="ListBullet"/>
      </w:pPr>
      <w:r>
        <w:t>Base estable remota auditada: rebuild/v39-stable-baseline @ dc45e5d0e5f27371d8081ef4c70e7d32a7e56b50 (2026-09-27). El runtime efectivo sigue identificado por el tag fast-d0e48b716d25; repositorio y despliegue no se confunden.</w:t>
      </w:r>
    </w:p>
    <w:p>
      <w:pPr>
        <w:pStyle w:val="ListBullet"/>
      </w:pPr>
      <w:r>
        <w:t>Corrección de despedida: PR #100 desplegada; la revisión gemini-media-edge-00227-qub recibe el 100 % del tráfico y el hangup espera la marca Telnyx exacta antes del cierre.</w:t>
      </w:r>
    </w:p>
    <w:p>
      <w:pPr>
        <w:pStyle w:val="ListBullet"/>
      </w:pPr>
      <w:r>
        <w:t>Impacto hot path: ninguno en SEC-P1-03 o SEC-P1-04. El gate sólo ejecuta pruebas y la retención se ejecuta por cron dentro de Supabase.</w:t>
      </w:r>
    </w:p>
    <w:p>
      <w:pPr>
        <w:pStyle w:val="ListBullet"/>
      </w:pPr>
      <w:r>
        <w:t>SEC-P1-03: runner común y workflow Gemini Security Regression Gate publicados mediante PR #101; gate ampliado a 157/157 pruebas específicas PASS.</w:t>
      </w:r>
    </w:p>
    <w:p>
      <w:pPr>
        <w:pStyle w:val="ListBullet"/>
      </w:pPr>
      <w:r>
        <w:t>SEC-P1-04: migraciones 20260913082816 y 20260913091400 desplegadas en Supabase; la corrección preserva contadores de escalado, limita el statement programado y mantiene permisos privados. La ejecución efectiva del cron no pudo verificarse el 2026-09-27 porque la identidad del conector no tenía permiso sobre cron/private; no se declara cerrada sin evidencia administrativa.</w:t>
      </w:r>
    </w:p>
    <w:p>
      <w:pPr>
        <w:pStyle w:val="ListBullet"/>
      </w:pPr>
      <w:r>
        <w:t>Autoridad temporal horizontal: capability Fast existente; Core neutral extraído en apps/gemini-control-plane/src/kernel/temporal-authority.ts y validado localmente con 24/24 pruebas focalizadas y typecheck PASS. La extracción aún no está publicada ni desplegada.</w:t>
      </w:r>
    </w:p>
    <w:p>
      <w:pPr>
        <w:pStyle w:val="Heading1"/>
        <w:pageBreakBefore/>
      </w:pPr>
      <w:r>
        <w:t>13 Retención y borrado de datos de seguridad</w:t>
      </w:r>
    </w:p>
    <w:p>
      <w:r>
        <w:t>SEC-P1-04 limita la evidencia durable sin debilitar decisiones activas. La autoridad de mantenimiento vive en PostgreSQL y no participa en admission, tools, turnos ni audio.</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3240"/>
            <w:vAlign w:val="center"/>
          </w:tcPr>
          <w:p>
            <w:r>
              <w:t>Datos</w:t>
            </w:r>
          </w:p>
        </w:tc>
        <w:tc>
          <w:tcPr>
            <w:tcW w:type="dxa" w:w="6120"/>
            <w:vAlign w:val="center"/>
          </w:tcPr>
          <w:p>
            <w:r>
              <w:t>Conservación y condición</w:t>
            </w:r>
          </w:p>
        </w:tc>
      </w:tr>
      <w:tr>
        <w:tc>
          <w:tcPr>
            <w:tcW w:type="dxa" w:w="3240"/>
            <w:vAlign w:val="center"/>
          </w:tcPr>
          <w:p>
            <w:r>
              <w:t>Diagnóstico técnico</w:t>
            </w:r>
          </w:p>
        </w:tc>
        <w:tc>
          <w:tcPr>
            <w:tcW w:type="dxa" w:w="6120"/>
            <w:vAlign w:val="center"/>
          </w:tcPr>
          <w:p>
            <w:r>
              <w:t>7 días desde created_at</w:t>
            </w:r>
          </w:p>
        </w:tc>
      </w:tr>
      <w:tr>
        <w:tc>
          <w:tcPr>
            <w:tcW w:type="dxa" w:w="3240"/>
            <w:vAlign w:val="center"/>
          </w:tcPr>
          <w:p>
            <w:r>
              <w:t>Intentos de llamada</w:t>
            </w:r>
          </w:p>
        </w:tc>
        <w:tc>
          <w:tcPr>
            <w:tcW w:type="dxa" w:w="6120"/>
            <w:vAlign w:val="center"/>
          </w:tcPr>
          <w:p>
            <w:r>
              <w:t>7 días</w:t>
            </w:r>
          </w:p>
        </w:tc>
      </w:tr>
      <w:tr>
        <w:tc>
          <w:tcPr>
            <w:tcW w:type="dxa" w:w="3240"/>
            <w:vAlign w:val="center"/>
          </w:tcPr>
          <w:p>
            <w:r>
              <w:t>Señales ordinarias</w:t>
            </w:r>
          </w:p>
        </w:tc>
        <w:tc>
          <w:tcPr>
            <w:tcW w:type="dxa" w:w="6120"/>
            <w:vAlign w:val="center"/>
          </w:tcPr>
          <w:p>
            <w:r>
              <w:t>30 días</w:t>
            </w:r>
          </w:p>
        </w:tc>
      </w:tr>
      <w:tr>
        <w:tc>
          <w:tcPr>
            <w:tcW w:type="dxa" w:w="3240"/>
            <w:vAlign w:val="center"/>
          </w:tcPr>
          <w:p>
            <w:r>
              <w:t>Señales HIGH o CRITICAL</w:t>
            </w:r>
          </w:p>
        </w:tc>
        <w:tc>
          <w:tcPr>
            <w:tcW w:type="dxa" w:w="6120"/>
            <w:vAlign w:val="center"/>
          </w:tcPr>
          <w:p>
            <w:r>
              <w:t>90 días</w:t>
            </w:r>
          </w:p>
        </w:tc>
      </w:tr>
      <w:tr>
        <w:tc>
          <w:tcPr>
            <w:tcW w:type="dxa" w:w="3240"/>
            <w:vAlign w:val="center"/>
          </w:tcPr>
          <w:p>
            <w:r>
              <w:t>Reset administrativo</w:t>
            </w:r>
          </w:p>
        </w:tc>
        <w:tc>
          <w:tcPr>
            <w:tcW w:type="dxa" w:w="6120"/>
            <w:vAlign w:val="center"/>
          </w:tcPr>
          <w:p>
            <w:r>
              <w:t>365 días</w:t>
            </w:r>
          </w:p>
        </w:tc>
      </w:tr>
      <w:tr>
        <w:tc>
          <w:tcPr>
            <w:tcW w:type="dxa" w:w="3240"/>
            <w:vAlign w:val="center"/>
          </w:tcPr>
          <w:p>
            <w:r>
              <w:t>Estado de caller</w:t>
            </w:r>
          </w:p>
        </w:tc>
        <w:tc>
          <w:tcPr>
            <w:tcW w:type="dxa" w:w="6120"/>
            <w:vAlign w:val="center"/>
          </w:tcPr>
          <w:p>
            <w:r>
              <w:t>90 días de inactividad, sólo con riesgo cero y sin bloqueo</w:t>
            </w:r>
          </w:p>
        </w:tc>
      </w:tr>
      <w:tr>
        <w:tc>
          <w:tcPr>
            <w:tcW w:type="dxa" w:w="3240"/>
            <w:vAlign w:val="center"/>
          </w:tcPr>
          <w:p>
            <w:r>
              <w:t>Handoff finalizado</w:t>
            </w:r>
          </w:p>
        </w:tc>
        <w:tc>
          <w:tcPr>
            <w:tcW w:type="dxa" w:w="6120"/>
            <w:vAlign w:val="center"/>
          </w:tcPr>
          <w:p>
            <w:r>
              <w:t>30 días; un callback pendiente nunca se borra automáticamente</w:t>
            </w:r>
          </w:p>
        </w:tc>
      </w:tr>
      <w:tr>
        <w:tc>
          <w:tcPr>
            <w:tcW w:type="dxa" w:w="3240"/>
            <w:vAlign w:val="center"/>
          </w:tcPr>
          <w:p>
            <w:r>
              <w:t>Auditoría de purga</w:t>
            </w:r>
          </w:p>
        </w:tc>
        <w:tc>
          <w:tcPr>
            <w:tcW w:type="dxa" w:w="6120"/>
            <w:vAlign w:val="center"/>
          </w:tcPr>
          <w:p>
            <w:r>
              <w:t>365 días; sólo timestamps y contadores</w:t>
            </w:r>
          </w:p>
        </w:tc>
      </w:tr>
    </w:tbl>
    <w:p>
      <w:r>
        <w:t>El cron purge-gemini-security-retention-v1 se ejecuta diariamente a las 03:17 UTC. Usa lotes máximos de 1.000 filas, elimina como máximo 10.000 filas por ejecución, evita ejecuciones concurrentes y establece un timeout de 30 segundos antes de invocar la función.</w:t>
      </w:r>
    </w:p>
    <w:p>
      <w:pPr>
        <w:pStyle w:val="ListBullet"/>
      </w:pPr>
      <w:r>
        <w:t>Los bloqueos permanentes y los estados con security_strikes o rate_limit_blocks requieren revisión y nunca se eliminan automáticamente.</w:t>
      </w:r>
    </w:p>
    <w:p>
      <w:pPr>
        <w:pStyle w:val="ListBullet"/>
      </w:pPr>
      <w:r>
        <w:t>Los callbacks pendientes se cuentan para revisión a los 30 días y como vencidos a los 90 días.</w:t>
      </w:r>
    </w:p>
    <w:p>
      <w:pPr>
        <w:pStyle w:val="ListBullet"/>
      </w:pPr>
      <w:r>
        <w:t>El cron registra cantidades y tiempos; no registra teléfonos, caller keys, tenant, call IDs ni payloads.</w:t>
      </w:r>
    </w:p>
    <w:p>
      <w:pPr>
        <w:pStyle w:val="ListBullet"/>
      </w:pPr>
      <w:r>
        <w:t>La migración se aplica por el canal administrativo de Supabase y no forma parte del despliegue de Worker o Media Edge.</w:t>
      </w:r>
    </w:p>
    <w:p>
      <w:pPr>
        <w:pStyle w:val="Heading1"/>
      </w:pPr>
      <w:r>
        <w:t>14 Límite horizontal de funciones PostgreSQL</w:t>
      </w:r>
    </w:p>
    <w:p>
      <w:r>
        <w:t>SEC-P1-05 define un contrato común para cualquier función PostgreSQL nueva, sin depender del tenant ni de la vertical que la utilice.</w:t>
      </w:r>
    </w:p>
    <w:p>
      <w:r>
        <w:t>La migración de activación retira globalmente a PUBLIC, anon y authenticated el permiso de ejecución que PostgreSQL concede por defecto a funciones futuras creadas por postgres. El manifiesto administra el esquema public y no modifica ninguna función heredada.</w:t>
      </w:r>
    </w:p>
    <w:p>
      <w:r>
        <w:t>El manifiesto común define cinco perfiles y una lista cerrada de nombres heredados. El gate administra toda función pública nueva, incluso si su migración se fecha incorrectamente antes de la activación. Exige esquema explícito, search_path vacío, capacidad propietaria, revocación previa y permisos exactos. El contrato pasó 3 de 3 casos, no repite las suites de los ejecutables y no añade trabajo al hot path. Las migraciones 20260913193440 y 20260913193454 están aplicadas y sus ACL fueron verificadas.</w:t>
      </w:r>
    </w:p>
    <w:p>
      <w:pPr>
        <w:pStyle w:val="Heading1"/>
      </w:pPr>
      <w:r>
        <w:t>15. Autoridad temporal horizontal</w:t>
      </w:r>
    </w:p>
    <w:p>
      <w:r>
        <w:t>El reloj actual, el calendario y la zona horaria IANA del tenant tienen un único owner en el kernel transversal. El modelo interpreta el lenguaje natural, pero no inventa el ‘ahora’. El adapter Gemini Fast conserva la tool get_authoritative_datetime y la capability time.authoritative; no se crea una tool distinta por provider, tenant o vertical.</w:t>
      </w:r>
    </w:p>
    <w:p>
      <w:pPr>
        <w:pStyle w:val="ListBullet"/>
      </w:pPr>
      <w:r>
        <w:t>El Core temporal es neutral: no conoce businessType, clínica, restaurante, reservas ni citas.</w:t>
      </w:r>
    </w:p>
    <w:p>
      <w:pPr>
        <w:pStyle w:val="ListBullet"/>
      </w:pPr>
      <w:r>
        <w:t>Los horarios comerciales, horizontes de cita/reserva, capacidad y disponibilidad siguen siendo políticas verticales.</w:t>
      </w:r>
    </w:p>
    <w:p>
      <w:pPr>
        <w:pStyle w:val="ListBullet"/>
      </w:pPr>
      <w:r>
        <w:t>Una zona inválida, tenant inconsistente o autoridad no disponible falla cerrada; Media Edge no usa su reloj como fallback.</w:t>
      </w:r>
    </w:p>
    <w:p>
      <w:pPr>
        <w:pStyle w:val="ListBullet"/>
      </w:pPr>
      <w:r>
        <w:t>El snapshot inicial viaja en bootstrap y el refresh sólo ocurre on-demand por control autenticado; no añade persistencia, inferencia ni trabajo por chunk.</w:t>
      </w:r>
    </w:p>
    <w:p>
      <w:pPr>
        <w:pStyle w:val="ListBullet"/>
      </w:pPr>
      <w:r>
        <w:t>La compatibilidad actual admite business.timezone, business.time_zone o timezone y usa Europe/Madrid cuando el tenant no declara zona.</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IA_RealTime_CenterCall · Guía Viva de Seguridad · Gemini Fast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IA_RealTime_CenterCall — Guía Viva de Seguridad — Gemini Fast</dc:title>
  <dc:subject>Controles, decisiones y backlog de seguridad del runtime Gemini Fast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