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  <w:jc w:val="center"/>
      </w:pPr>
      <w:r>
        <w:rPr>
          <w:rFonts w:ascii="Aptos Display" w:hAnsi="Aptos Display"/>
          <w:b/>
          <w:color w:val="17365D"/>
          <w:sz w:val="48"/>
        </w:rPr>
        <w:t>IA_RealTime_CenterCall</w:t>
      </w:r>
    </w:p>
    <w:p>
      <w:pPr>
        <w:spacing w:after="280"/>
        <w:jc w:val="center"/>
      </w:pPr>
      <w:r>
        <w:rPr>
          <w:rFonts w:ascii="Aptos Display" w:hAnsi="Aptos Display"/>
          <w:b/>
          <w:sz w:val="34"/>
        </w:rPr>
        <w:t>Guía Viva de Seguridad — Gemini Fast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7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16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Snapshot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Arquitectura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ptos" w:hAnsi="Aptos"/>
                <w:sz w:val="18"/>
              </w:rPr>
              <w:t>Vigente</w:t>
            </w:r>
          </w:p>
        </w:tc>
        <w:tc>
          <w:tcPr>
            <w:tcW w:type="dxa" w:w="2160"/>
            <w:vAlign w:val="center"/>
          </w:tcPr>
          <w:p>
            <w:r>
              <w:t>13 septiembre 2026</w:t>
              <w:br/>
              <w:t>Stable d0e48b716d25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→ Fast Media Edge → Gemini Live</w:t>
            </w:r>
          </w:p>
        </w:tc>
      </w:tr>
    </w:tbl>
    <w:p>
      <w:pPr>
        <w:spacing w:before="80" w:after="160"/>
      </w:pPr>
      <w:r>
        <w:rPr>
          <w:b/>
        </w:rPr>
        <w:t>Esta guía concentra controles verificados, decisiones y backlog de seguridad. No sustituye la comprobación del código, GitHub ni los sistemas desplegados.</w:t>
      </w:r>
    </w:p>
    <w:p>
      <w:pPr>
        <w:pStyle w:val="Heading1"/>
      </w:pPr>
      <w:r>
        <w:t>1. Arquitectura de seguridad</w:t>
      </w:r>
    </w:p>
    <w:p>
      <w:r>
        <w:t>El único producto realtime ejecutable es Gemini Fast. El Worker controla señalización, tenant, admission, seguridad, tools y auditoría. El Media Edge transporta audio directamente entre Telnyx y Gemini Live.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Autoridad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Responsabilidades de seguridad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Telnyx admission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Evento firmado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Firma, timestamp, caller/called number y call_control_id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Kernel de control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Tenant, caller-security, credenciales, capabilities, tools y handoff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Media Edge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Runtime call-scoped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Upgrade HMAC, bootstrap, policy local, recibos y lifecycle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Gemini Live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Interpretación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Comprende lenguaje y propone intención/tool; nunca autoriza efectos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Supabase/backend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de verdad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Persistencia, RPCs, constraints, idempotencia y auditoría</w:t>
            </w:r>
          </w:p>
        </w:tc>
      </w:tr>
    </w:tbl>
    <w:p>
      <w:pPr>
        <w:pStyle w:val="Heading1"/>
      </w:pPr>
      <w:r>
        <w:t>2. Principios no negociables</w:t>
      </w:r>
    </w:p>
    <w:p>
      <w:pPr>
        <w:pStyle w:val="ListBullet"/>
      </w:pPr>
      <w:r>
        <w:t>Cloudflare no transporta audio continuo.</w:t>
      </w:r>
    </w:p>
    <w:p>
      <w:pPr>
        <w:pStyle w:val="ListBullet"/>
      </w:pPr>
      <w:r>
        <w:t>No se añade inferencia, RPC, persistencia, espera o transformación por chunk sin ADR, presupuesto y benchmark.</w:t>
      </w:r>
    </w:p>
    <w:p>
      <w:pPr>
        <w:pStyle w:val="ListBullet"/>
      </w:pPr>
      <w:r>
        <w:t>El modelo propone; el kernel autoriza; el dominio valida; el backend ejecuta.</w:t>
      </w:r>
    </w:p>
    <w:p>
      <w:pPr>
        <w:pStyle w:val="ListBullet"/>
      </w:pPr>
      <w:r>
        <w:t>Toda tool exige schema cerrado, authority, effect, capability, evidence, handler y contexto tenant/call.</w:t>
      </w:r>
    </w:p>
    <w:p>
      <w:pPr>
        <w:pStyle w:val="ListBullet"/>
      </w:pPr>
      <w:r>
        <w:t>Una decisión ALLOW sólo habilita el efecto mediante un recibo opaco no fabricable.</w:t>
      </w:r>
    </w:p>
    <w:p>
      <w:pPr>
        <w:pStyle w:val="ListBullet"/>
      </w:pPr>
      <w:r>
        <w:t>No se persisten prompts, secretos, audio ni transcript bruto en diagnóstico o caller-security.</w:t>
      </w:r>
    </w:p>
    <w:p>
      <w:pPr>
        <w:pStyle w:val="ListBullet"/>
      </w:pPr>
      <w:r>
        <w:t>Los fallos de seguridad y configuración fallan cerrados; no existe fallback silencioso.</w:t>
      </w:r>
    </w:p>
    <w:p>
      <w:pPr>
        <w:pStyle w:val="ListBullet"/>
      </w:pPr>
      <w:r>
        <w:t>No se escala horizontalmente mientras credential, bootstrap y sesión sean in-memory.</w:t>
      </w:r>
    </w:p>
    <w:p>
      <w:pPr>
        <w:pStyle w:val="Heading1"/>
      </w:pPr>
      <w:r>
        <w:t>3. Controles implementados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561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e identidad Telnyx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valida webhook antes de admission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Caller-security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RPC tenant-scoped, HMAC, rate limits, strikes y blocks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Credencial + tenant + llamada + capabilities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authorization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recibo opaco por function call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Human handoff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Consentimiento, authorize/start, Telnyx transfer y auditoría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Semantic 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Categorías cerradas y señal sideband de reputación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Diagnóstico seguro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 y allowlist de detalles escalares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Sonda PASS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Risk lifecycle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 en RPC y reset Postgres-admin-only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Migración aplicada</w:t>
            </w:r>
          </w:p>
        </w:tc>
      </w:tr>
      <w:tr>
        <w:tc>
          <w:tcPr>
            <w:tcW w:type="dxa" w:w="3312"/>
          </w:tcPr>
          <w:p>
            <w:r>
              <w:t>Cierre semántico high-confidence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3 observaciones autorizadas y distintas; despedida, marca Telnyx exacta y hangup exclusivo Worker/Telnyx</w:t>
            </w:r>
          </w:p>
        </w:tc>
        <w:tc>
          <w:tcPr>
            <w:tcW w:type="dxa" w:w="3312"/>
            <w:vAlign w:val="center"/>
          </w:tcPr>
          <w:p>
            <w:r>
              <w:t>Desplegado y E2E real verificado</w:t>
            </w:r>
          </w:p>
        </w:tc>
      </w:tr>
      <w:tr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Regresión consolidada de seguridad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Runner común, suites Media Edge y Control Plane, y gate CI final</w:t>
            </w:r>
          </w:p>
        </w:tc>
        <w:tc>
          <w:tcPr>
            <w:tcW w:type="dxa" w:w="3312"/>
            <w:vAlign w:val="center"/>
          </w:tcPr>
          <w:p>
            <w:r>
              <w:t>PR #101 fusionada; gate CI verde</w:t>
            </w:r>
          </w:p>
        </w:tc>
      </w:tr>
      <w:tr>
        <w:tc>
          <w:tcPr>
            <w:tcW w:type="dxa" w:w="3312"/>
            <w:vAlign w:val="center"/>
          </w:tcPr>
          <w:p>
            <w:r>
              <w:t>Retención y borrado</w:t>
            </w:r>
          </w:p>
        </w:tc>
        <w:tc>
          <w:tcPr>
            <w:tcW w:type="dxa" w:w="3312"/>
            <w:vAlign w:val="center"/>
          </w:tcPr>
          <w:p>
            <w:r>
              <w:t>Purga privada por lotes, cron diario y auditoría agregada</w:t>
            </w:r>
          </w:p>
        </w:tc>
        <w:tc>
          <w:tcPr>
            <w:tcW w:type="dxa" w:w="3312"/>
            <w:vAlign w:val="center"/>
          </w:tcPr>
          <w:p>
            <w:r>
              <w:t>Implementado localmente; migración pendiente</w:t>
            </w:r>
          </w:p>
        </w:tc>
      </w:tr>
    </w:tbl>
    <w:p>
      <w:pPr>
        <w:pStyle w:val="Heading1"/>
      </w:pPr>
      <w:r>
        <w:t>4. Contrato de tools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8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Propósito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name + schema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Nombre y argumentos cerrados; desconocidos fallan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aceptable: sistema, necesidad semántica, petición o confirmación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effect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READ_CONTEXT, READ_BUSINESS_DATA, MUTATE, DESTRUCTIVE, EXTERNAL o TERMINAL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capability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Concesión explícita del tenant; debe coincidir con policy local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evidence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Evidencia del turno exigida según riesgo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receipt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Comprobante opaco ligado a function call, tenant y llamada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Evita duplicación por retry o redelivery</w:t>
            </w:r>
          </w:p>
        </w:tc>
      </w:tr>
    </w:tbl>
    <w:p>
      <w:r>
        <w:t>Sólo una lectura estrictamente read-only puede omitir transcript cuando la necesidad semántica sea suficiente. Acciones mutantes, destructivas, externas o terminales requieren autoridad/evidencia y no pueden degradarse por timing.</w:t>
      </w:r>
    </w:p>
    <w:p>
      <w:pPr>
        <w:pStyle w:val="Heading1"/>
      </w:pPr>
      <w:r>
        <w:t>5. Caller-security y reputación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676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minuto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5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5 minutos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8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hora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20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Bloqueos progresivos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 hora → 24 horas → 7 días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 permanente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strikes ≥ 8 AND blocks ≥ 3 AND risk_score ≥ 25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−1 risk_score por cada 24 h completas sin evidencia nueva</w:t>
            </w:r>
          </w:p>
        </w:tc>
      </w:tr>
    </w:tbl>
    <w:p>
      <w:r>
        <w:t>El decay no reduce strikes, rate_limit_blocks, blocked_until ni permanent_block. El reset requiere administrador Postgres, motivo cerrado, event key idempotente y actor identificado mediante SHA-256.</w:t>
      </w:r>
    </w:p>
    <w:p>
      <w:pPr>
        <w:pStyle w:val="Heading1"/>
      </w:pPr>
      <w:r>
        <w:t>6. Privacidad y evidencia</w:t>
      </w:r>
    </w:p>
    <w:p>
      <w:pPr>
        <w:pStyle w:val="ListBullet"/>
      </w:pPr>
      <w:r>
        <w:t>Usar hashes, longitudes, categorías y códigos técnicos en lugar de contenido conversacional.</w:t>
      </w:r>
    </w:p>
    <w:p>
      <w:pPr>
        <w:pStyle w:val="ListBullet"/>
      </w:pPr>
      <w:r>
        <w:t>La allowlist de diagnóstico descarta transcript, prompt, token, teléfono, payloads y objetos anidados.</w:t>
      </w:r>
    </w:p>
    <w:p>
      <w:pPr>
        <w:pStyle w:val="ListBullet"/>
      </w:pPr>
      <w:r>
        <w:t>human_handoff_events conserva sólo los datos operativos imprescindibles y con acceso restringido.</w:t>
      </w:r>
    </w:p>
    <w:p>
      <w:pPr>
        <w:pStyle w:val="ListBullet"/>
      </w:pPr>
      <w:r>
        <w:t>Distinguir evento de control, efecto externo, respuesta del destino y evidencia acústica del caller.</w:t>
      </w:r>
    </w:p>
    <w:p>
      <w:pPr>
        <w:pStyle w:val="Heading1"/>
      </w:pPr>
      <w:r>
        <w:t>7. Modelo de amenazas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8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Amenaza</w:t>
            </w:r>
          </w:p>
        </w:tc>
        <w:tc>
          <w:tcPr>
            <w:tcW w:type="dxa" w:w="669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 principal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Webhook falso/replay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Telnyx, timestamp e idempotencia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 abusivo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Admission fail-closed y reputación persistente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Prompt injection/exfiltration</w:t>
            </w:r>
          </w:p>
        </w:tc>
        <w:tc>
          <w:tcPr>
            <w:tcW w:type="dxa" w:w="6696"/>
            <w:vAlign w:val="center"/>
          </w:tcPr>
          <w:p>
            <w:r>
              <w:t>Semantic boundary + señal mínima; cierre sólo con alta confianza acumulada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manipulation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local, capability y recibo opaco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Efecto sin consentimiento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Authority/evidence por efecto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Cross-tenant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 y routing confiable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Duplicación de efectos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 keys y constraints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Fuga de datos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cerrado, allowlist y minimización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Race de despliegue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workflow integral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Escalado inconsistente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max-instances=1 hasta estado compartido atómico</w:t>
            </w:r>
          </w:p>
        </w:tc>
      </w:tr>
    </w:tbl>
    <w:p>
      <w:pPr>
        <w:pStyle w:val="Heading1"/>
      </w:pPr>
      <w:r>
        <w:t>8. Backlog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22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24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Trabajo</w:t>
            </w:r>
          </w:p>
        </w:tc>
        <w:tc>
          <w:tcPr>
            <w:tcW w:type="dxa" w:w="410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Criterio de cierre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SEC-P1-04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t>Publicar, aplicar y verificar retención y borrado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>
              <w:t>PR y CI verdes; migración, cron, primera ejecución y advisors verificados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SCALE-P0-01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antes de escalar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y atómico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Pruebas de concurrencia multiinstancia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VERT-P0-01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producto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Tools verticales Gemini-native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Contratos, invariantes y E2E por vertical</w:t>
            </w:r>
          </w:p>
        </w:tc>
      </w:tr>
    </w:tbl>
    <w:p>
      <w:pPr>
        <w:pStyle w:val="Heading1"/>
      </w:pPr>
      <w:r>
        <w:t>9. Gates para cambios de seguridad</w:t>
      </w:r>
    </w:p>
    <w:p>
      <w:pPr>
        <w:pStyle w:val="ListNumber"/>
      </w:pPr>
      <w:r>
        <w:t>Definir amenaza, autoridad, efecto, datos sensibles y comportamiento fail-closed.</w:t>
      </w:r>
    </w:p>
    <w:p>
      <w:pPr>
        <w:pStyle w:val="ListNumber"/>
      </w:pPr>
      <w:r>
        <w:t>Añadir pruebas positivas y negativas: ausencia, fabricación, mismatch, cross-tenant y replay.</w:t>
      </w:r>
    </w:p>
    <w:p>
      <w:pPr>
        <w:pStyle w:val="ListNumber"/>
      </w:pPr>
      <w:r>
        <w:t>Demostrar que no se añade trabajo por chunk ni latencia evitable.</w:t>
      </w:r>
    </w:p>
    <w:p>
      <w:pPr>
        <w:pStyle w:val="ListNumber"/>
      </w:pPr>
      <w:r>
        <w:t>Ejecutar typecheck, tests, dry-run y contrato documental.</w:t>
      </w:r>
    </w:p>
    <w:p>
      <w:pPr>
        <w:pStyle w:val="ListNumber"/>
      </w:pPr>
      <w:r>
        <w:t>Separar implementado, CI verde, desplegado y validado E2E.</w:t>
      </w:r>
    </w:p>
    <w:p>
      <w:pPr>
        <w:pStyle w:val="ListNumber"/>
      </w:pPr>
      <w:r>
        <w:t>Actualizar esta guía con evidencia verificable, no con memoria de sesión.</w:t>
      </w:r>
    </w:p>
    <w:p>
      <w:pPr>
        <w:pStyle w:val="Heading1"/>
      </w:pPr>
      <w:r>
        <w:t>10. Continuidad entre sesiones</w:t>
      </w:r>
    </w:p>
    <w:p>
      <w:r>
        <w:t>Al retomar: verificar HEAD de rebuild/v39-stable-baseline, leer PROJECT_STATUS, confirmar Worker/revisión/tag efectivos y continuar desde el backlog. No realizar llamadas adversariales, deploy, IAM o cambios de secretos sin autorización.</w:t>
      </w:r>
    </w:p>
    <w:p>
      <w:pPr>
        <w:pStyle w:val="Heading1"/>
      </w:pPr>
      <w:r>
        <w:t>11. Registro de decisiones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76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24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Seguridad fuera del forwarding continuo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proposal no equivale a autorización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capability obligatorias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Recibo opaco obligatorio en sinks effectful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Forense mínimo sin transcript bruto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producto y workflow Fast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antes de horizontal scale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4968"/>
          </w:tcPr>
          <w:p>
            <w:r>
              <w:t>Una observación no termina la llamada; 3 toolCallId distintos habilitan cierre</w:t>
            </w:r>
          </w:p>
        </w:tc>
        <w:tc>
          <w:tcPr>
            <w:tcW w:type="dxa" w:w="4968"/>
            <w:vAlign w:val="center"/>
          </w:tcPr>
          <w:p>
            <w:r>
              <w:t>Desplegado y E2E real verificado</w:t>
            </w:r>
          </w:p>
        </w:tc>
      </w:tr>
      <w:tr>
        <w:tc>
          <w:tcPr>
            <w:tcW w:type="dxa" w:w="4968"/>
          </w:tcPr>
          <w:p>
            <w:r>
              <w:rPr>
                <w:rFonts w:ascii="Aptos" w:hAnsi="Aptos"/>
                <w:sz w:val="18"/>
              </w:rPr>
              <w:t>Gate único de regresión de seguridad</w:t>
            </w:r>
          </w:p>
        </w:tc>
        <w:tc>
          <w:tcPr>
            <w:tcW w:type="dxa" w:w="4968"/>
            <w:vAlign w:val="center"/>
          </w:tcPr>
          <w:p>
            <w:r>
              <w:t>PR #101 fusionada; CI verde</w:t>
            </w:r>
          </w:p>
        </w:tc>
      </w:tr>
      <w:tr>
        <w:tc>
          <w:tcPr>
            <w:tcW w:type="dxa" w:w="4968"/>
            <w:vAlign w:val="center"/>
          </w:tcPr>
          <w:p>
            <w:r>
              <w:t>Retención acotada fuera del hot path</w:t>
            </w:r>
          </w:p>
        </w:tc>
        <w:tc>
          <w:tcPr>
            <w:tcW w:type="dxa" w:w="4968"/>
            <w:vAlign w:val="center"/>
          </w:tcPr>
          <w:p>
            <w:r>
              <w:t>Implementada localmente; migración productiva pendiente</w:t>
            </w:r>
          </w:p>
        </w:tc>
      </w:tr>
    </w:tbl>
    <w:p>
      <w:pPr>
        <w:pStyle w:val="Heading1"/>
      </w:pPr>
      <w:r>
        <w:t>12. Estado de implementación actual</w:t>
      </w:r>
    </w:p>
    <w:p>
      <w:pPr>
        <w:pStyle w:val="ListBullet"/>
      </w:pPr>
      <w:r>
        <w:t>Base estable verificada: rebuild/v39-stable-baseline @ d0e48b716d250c666e4873633809fe4699f98a28.</w:t>
      </w:r>
    </w:p>
    <w:p>
      <w:pPr>
        <w:pStyle w:val="ListBullet"/>
      </w:pPr>
      <w:r>
        <w:t>Corrección de despedida: PR #100 desplegada; la revisión gemini-media-edge-00227-qub recibe el 100 % del tráfico y el hangup espera la marca Telnyx exacta antes del cierre.</w:t>
      </w:r>
    </w:p>
    <w:p>
      <w:pPr>
        <w:pStyle w:val="ListBullet"/>
      </w:pPr>
      <w:r>
        <w:t>Impacto hot path: ninguno en SEC-P1-03 o SEC-P1-04. El gate sólo ejecuta pruebas y la retención se ejecuta por cron dentro de Supabase.</w:t>
      </w:r>
    </w:p>
    <w:p>
      <w:pPr>
        <w:pStyle w:val="ListBullet"/>
      </w:pPr>
      <w:r>
        <w:t>SEC-P1-03: runner común y workflow Gemini Security Regression Gate publicados mediante PR #101; gate ampliado a 157/157 pruebas específicas PASS.</w:t>
      </w:r>
    </w:p>
    <w:p>
      <w:pPr>
        <w:pStyle w:val="ListBullet"/>
      </w:pPr>
      <w:r>
        <w:t>SEC-P1-04: migración privada implementada y validada en PostgreSQL 17; contrato 5/5 y baterías completas 184/184 PASS. Commit, PR, CI y aplicación remota pendientes.</w:t>
      </w:r>
    </w:p>
    <w:p>
      <w:pPr>
        <w:pStyle w:val="Heading1"/>
        <w:pageBreakBefore/>
      </w:pPr>
      <w:r>
        <w:t>13 Retención y borrado de datos de seguridad</w:t>
      </w:r>
    </w:p>
    <w:p>
      <w:r>
        <w:t>SEC-P1-04 limita la evidencia durable sin debilitar decisiones activas. La autoridad de mantenimiento vive en PostgreSQL y no participa en admission, tools, turnos ni audio.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3240"/>
            <w:vAlign w:val="center"/>
          </w:tcPr>
          <w:p>
            <w:r>
              <w:t>Datos</w:t>
            </w:r>
          </w:p>
        </w:tc>
        <w:tc>
          <w:tcPr>
            <w:tcW w:type="dxa" w:w="6120"/>
            <w:vAlign w:val="center"/>
          </w:tcPr>
          <w:p>
            <w:r>
              <w:t>Conservación y condición</w:t>
            </w:r>
          </w:p>
        </w:tc>
      </w:tr>
      <w:tr>
        <w:tc>
          <w:tcPr>
            <w:tcW w:type="dxa" w:w="3240"/>
            <w:vAlign w:val="center"/>
          </w:tcPr>
          <w:p>
            <w:r>
              <w:t>Diagnóstico técnico</w:t>
            </w:r>
          </w:p>
        </w:tc>
        <w:tc>
          <w:tcPr>
            <w:tcW w:type="dxa" w:w="6120"/>
            <w:vAlign w:val="center"/>
          </w:tcPr>
          <w:p>
            <w:r>
              <w:t>7 días desde created_at</w:t>
            </w:r>
          </w:p>
        </w:tc>
      </w:tr>
      <w:tr>
        <w:tc>
          <w:tcPr>
            <w:tcW w:type="dxa" w:w="3240"/>
            <w:vAlign w:val="center"/>
          </w:tcPr>
          <w:p>
            <w:r>
              <w:t>Intentos de llamada</w:t>
            </w:r>
          </w:p>
        </w:tc>
        <w:tc>
          <w:tcPr>
            <w:tcW w:type="dxa" w:w="6120"/>
            <w:vAlign w:val="center"/>
          </w:tcPr>
          <w:p>
            <w:r>
              <w:t>7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Señales ordinarias</w:t>
            </w:r>
          </w:p>
        </w:tc>
        <w:tc>
          <w:tcPr>
            <w:tcW w:type="dxa" w:w="6120"/>
            <w:vAlign w:val="center"/>
          </w:tcPr>
          <w:p>
            <w:r>
              <w:t>30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Señales HIGH o CRITICAL</w:t>
            </w:r>
          </w:p>
        </w:tc>
        <w:tc>
          <w:tcPr>
            <w:tcW w:type="dxa" w:w="6120"/>
            <w:vAlign w:val="center"/>
          </w:tcPr>
          <w:p>
            <w:r>
              <w:t>90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Reset administrativo</w:t>
            </w:r>
          </w:p>
        </w:tc>
        <w:tc>
          <w:tcPr>
            <w:tcW w:type="dxa" w:w="6120"/>
            <w:vAlign w:val="center"/>
          </w:tcPr>
          <w:p>
            <w:r>
              <w:t>365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Estado de caller</w:t>
            </w:r>
          </w:p>
        </w:tc>
        <w:tc>
          <w:tcPr>
            <w:tcW w:type="dxa" w:w="6120"/>
            <w:vAlign w:val="center"/>
          </w:tcPr>
          <w:p>
            <w:r>
              <w:t>90 días de inactividad, sólo con riesgo cero y sin bloqueo</w:t>
            </w:r>
          </w:p>
        </w:tc>
      </w:tr>
      <w:tr>
        <w:tc>
          <w:tcPr>
            <w:tcW w:type="dxa" w:w="3240"/>
            <w:vAlign w:val="center"/>
          </w:tcPr>
          <w:p>
            <w:r>
              <w:t>Handoff finalizado</w:t>
            </w:r>
          </w:p>
        </w:tc>
        <w:tc>
          <w:tcPr>
            <w:tcW w:type="dxa" w:w="6120"/>
            <w:vAlign w:val="center"/>
          </w:tcPr>
          <w:p>
            <w:r>
              <w:t>30 días; un callback pendiente nunca se borra automáticamente</w:t>
            </w:r>
          </w:p>
        </w:tc>
      </w:tr>
      <w:tr>
        <w:tc>
          <w:tcPr>
            <w:tcW w:type="dxa" w:w="3240"/>
            <w:vAlign w:val="center"/>
          </w:tcPr>
          <w:p>
            <w:r>
              <w:t>Auditoría de purga</w:t>
            </w:r>
          </w:p>
        </w:tc>
        <w:tc>
          <w:tcPr>
            <w:tcW w:type="dxa" w:w="6120"/>
            <w:vAlign w:val="center"/>
          </w:tcPr>
          <w:p>
            <w:r>
              <w:t>365 días; sólo timestamps y contadores</w:t>
            </w:r>
          </w:p>
        </w:tc>
      </w:tr>
    </w:tbl>
    <w:p>
      <w:r>
        <w:t>El cron purge-gemini-security-retention-v1 se ejecuta diariamente a las 03:17 UTC. Usa lotes máximos de 1.000 filas, elimina como máximo 10.000 filas por ejecución y evita ejecuciones concurrentes.</w:t>
      </w:r>
    </w:p>
    <w:p>
      <w:pPr>
        <w:pStyle w:val="ListBullet"/>
      </w:pPr>
      <w:r>
        <w:t>Los bloqueos permanentes requieren revisión después de 365 días y nunca se eliminan automáticamente.</w:t>
      </w:r>
    </w:p>
    <w:p>
      <w:pPr>
        <w:pStyle w:val="ListBullet"/>
      </w:pPr>
      <w:r>
        <w:t>Los callbacks pendientes se cuentan para revisión a los 30 días y como vencidos a los 90 días.</w:t>
      </w:r>
    </w:p>
    <w:p>
      <w:pPr>
        <w:pStyle w:val="ListBullet"/>
      </w:pPr>
      <w:r>
        <w:t>El cron registra cantidades y tiempos; no registra teléfonos, caller keys, tenant, call IDs ni payloads.</w:t>
      </w:r>
    </w:p>
    <w:p>
      <w:pPr>
        <w:pStyle w:val="ListBullet"/>
      </w:pPr>
      <w:r>
        <w:t>La migración se aplica por el canal administrativo de Supabase y no forma parte del despliegue de Worker o Media Edge.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6"/>
      </w:rPr>
      <w:t>IA_RealTime_CenterCall · Guía Viva de Seguridad · Gemini Fast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 RealTime CenterCall Guía Viva de Seguridad Gemini Fast</dc:title>
  <dc:subject>Arquitectura, controles y validación de seguridad de Gemini Fast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