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5B9BD5"/>
          <w:sz w:val="30"/>
        </w:rPr>
        <w:t>IA_RealTime_CenterCall</w:t>
      </w:r>
    </w:p>
    <w:p>
      <w:pPr>
        <w:pStyle w:val="Title"/>
        <w:jc w:val="center"/>
      </w:pPr>
      <w:r>
        <w:t>Guía Viva de Seguridad</w:t>
      </w:r>
    </w:p>
    <w:p>
      <w:pPr>
        <w:jc w:val="center"/>
      </w:pPr>
      <w:r>
        <w:rPr>
          <w:i/>
          <w:color w:val="666666"/>
          <w:sz w:val="22"/>
        </w:rPr>
        <w:t>Documento operativo, de arquitectura y continuidad entre sesiones</w:t>
      </w:r>
    </w:p>
    <w:p/>
    <w:tbl>
      <w:tblPr>
        <w:tblStyle w:val="TableGrid"/>
        <w:tblW w:type="auto" w:w="0"/>
        <w:jc w:val="center"/>
        <w:tblLook w:firstColumn="1" w:firstRow="1" w:lastColumn="0" w:lastRow="0" w:noHBand="0" w:noVBand="1" w:val="04A0"/>
      </w:tblPr>
      <w:tblGrid>
        <w:gridCol w:w="5100"/>
        <w:gridCol w:w="5100"/>
      </w:tblGrid>
      <w:tr>
        <w:tc>
          <w:tcPr>
            <w:tcW w:type="dxa" w:w="5100"/>
            <w:vAlign w:val="center"/>
            <w:tcMar>
              <w:top w:w="80" w:type="dxa"/>
              <w:start w:w="100" w:type="dxa"/>
              <w:bottom w:w="80" w:type="dxa"/>
              <w:end w:w="100" w:type="dxa"/>
            </w:tcMar>
            <w:shd w:fill="1F4E78"/>
          </w:tcPr>
          <w:p>
            <w:pPr>
              <w:spacing w:after="0"/>
            </w:pPr>
            <w:r/>
            <w:r>
              <w:rPr>
                <w:rFonts w:ascii="Aptos" w:hAnsi="Aptos"/>
                <w:b/>
                <w:color w:val="FFFFFF"/>
                <w:sz w:val="17"/>
              </w:rPr>
              <w:t>Versión</w:t>
            </w:r>
          </w:p>
        </w:tc>
        <w:tc>
          <w:tcPr>
            <w:tcW w:type="dxa" w:w="5100"/>
            <w:vAlign w:val="center"/>
            <w:tcMar>
              <w:top w:w="80" w:type="dxa"/>
              <w:start w:w="100" w:type="dxa"/>
              <w:bottom w:w="80" w:type="dxa"/>
              <w:end w:w="100" w:type="dxa"/>
            </w:tcMar>
            <w:shd w:fill="F4F7FA"/>
          </w:tcPr>
          <w:p>
            <w:r>
              <w:t>0.4 - extracción Gemini-native desplegada en canary</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Fecha de corte</w:t>
            </w:r>
          </w:p>
        </w:tc>
        <w:tc>
          <w:tcPr>
            <w:tcW w:type="dxa" w:w="5100"/>
            <w:vAlign w:val="center"/>
            <w:tcMar>
              <w:top w:w="80" w:type="dxa"/>
              <w:start w:w="100" w:type="dxa"/>
              <w:bottom w:w="80" w:type="dxa"/>
              <w:end w:w="100" w:type="dxa"/>
            </w:tcMar>
          </w:tcPr>
          <w:p>
            <w:r>
              <w:t>29 de agosto de 2026</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Repositorio</w:t>
            </w:r>
          </w:p>
        </w:tc>
        <w:tc>
          <w:tcPr>
            <w:tcW w:type="dxa" w:w="5100"/>
            <w:vAlign w:val="center"/>
            <w:tcMar>
              <w:top w:w="80" w:type="dxa"/>
              <w:start w:w="100" w:type="dxa"/>
              <w:bottom w:w="80" w:type="dxa"/>
              <w:end w:w="100" w:type="dxa"/>
            </w:tcMar>
          </w:tcPr>
          <w:p>
            <w:pPr>
              <w:spacing w:after="0"/>
            </w:pPr>
            <w:r/>
            <w:r>
              <w:rPr>
                <w:rFonts w:ascii="Aptos" w:hAnsi="Aptos"/>
                <w:b w:val="0"/>
                <w:sz w:val="16"/>
              </w:rPr>
              <w:t>jdlc86/IA_RealTime_CenterCall</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Rama estable</w:t>
            </w:r>
          </w:p>
        </w:tc>
        <w:tc>
          <w:tcPr>
            <w:tcW w:type="dxa" w:w="5100"/>
            <w:vAlign w:val="center"/>
            <w:tcMar>
              <w:top w:w="80" w:type="dxa"/>
              <w:start w:w="100" w:type="dxa"/>
              <w:bottom w:w="80" w:type="dxa"/>
              <w:end w:w="100" w:type="dxa"/>
            </w:tcMar>
          </w:tcPr>
          <w:p>
            <w:pPr>
              <w:spacing w:after="0"/>
            </w:pPr>
            <w:r/>
            <w:r>
              <w:rPr>
                <w:rFonts w:ascii="Aptos" w:hAnsi="Aptos"/>
                <w:b w:val="0"/>
                <w:sz w:val="16"/>
              </w:rPr>
              <w:t>rebuild/v39-stable-baseline</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SHA verificado</w:t>
            </w:r>
          </w:p>
        </w:tc>
        <w:tc>
          <w:tcPr>
            <w:tcW w:type="dxa" w:w="5100"/>
            <w:vAlign w:val="center"/>
            <w:tcMar>
              <w:top w:w="80" w:type="dxa"/>
              <w:start w:w="100" w:type="dxa"/>
              <w:bottom w:w="80" w:type="dxa"/>
              <w:end w:w="100" w:type="dxa"/>
            </w:tcMar>
          </w:tcPr>
          <w:p>
            <w:r>
              <w:t>d7435fd81915c470f74bce81eb87d8ae7bda1c1f</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Canary</w:t>
            </w:r>
          </w:p>
        </w:tc>
        <w:tc>
          <w:tcPr>
            <w:tcW w:type="dxa" w:w="5100"/>
            <w:vAlign w:val="center"/>
            <w:tcMar>
              <w:top w:w="80" w:type="dxa"/>
              <w:start w:w="100" w:type="dxa"/>
              <w:bottom w:w="80" w:type="dxa"/>
              <w:end w:w="100" w:type="dxa"/>
            </w:tcMar>
          </w:tcPr>
          <w:p>
            <w:r>
              <w:t>Gemini Fast Canary Deploy run 33252047260 - SUCCESS; Gemini Media Edge Canary Deploy run 33252047272 - SUCCESS; Cloud Run gemini-media-edge-00202-coh; tráfico productivo sin cambios</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Naturaleza</w:t>
            </w:r>
          </w:p>
        </w:tc>
        <w:tc>
          <w:tcPr>
            <w:tcW w:type="dxa" w:w="5100"/>
            <w:vAlign w:val="center"/>
            <w:tcMar>
              <w:top w:w="80" w:type="dxa"/>
              <w:start w:w="100" w:type="dxa"/>
              <w:bottom w:w="80" w:type="dxa"/>
              <w:end w:w="100" w:type="dxa"/>
            </w:tcMar>
          </w:tcPr>
          <w:p>
            <w:pPr>
              <w:spacing w:after="0"/>
            </w:pPr>
            <w:r/>
            <w:r>
              <w:rPr>
                <w:rFonts w:ascii="Aptos" w:hAnsi="Aptos"/>
                <w:b w:val="0"/>
                <w:sz w:val="16"/>
              </w:rPr>
              <w:t>Documento vivo. Debe actualizarse al terminar cada bloque de trabajo de seguridad.</w:t>
            </w:r>
          </w:p>
        </w:tc>
      </w:tr>
    </w:tbl>
    <w:p>
      <w:pPr>
        <w:spacing w:before="320"/>
        <w:jc w:val="center"/>
      </w:pPr>
      <w:r>
        <w:rPr>
          <w:b/>
          <w:color w:val="C65911"/>
          <w:sz w:val="18"/>
        </w:rPr>
        <w:t>Regla de continuidad: este documento no sustituye la verificación del código. Al iniciar una nueva sesión se confirma primero el estado de GitHub y del despliegue, y luego se continúa desde el backlog y el registro de decisiones.</w:t>
      </w:r>
    </w:p>
    <w:p>
      <w:r>
        <w:br w:type="page"/>
      </w:r>
    </w:p>
    <w:p>
      <w:pPr>
        <w:pStyle w:val="Heading1"/>
        <w:keepNext/>
      </w:pPr>
      <w:r>
        <w:t>Índice de trabajo</w:t>
      </w:r>
    </w:p>
    <w:p>
      <w:pPr>
        <w:spacing w:after="40"/>
      </w:pPr>
      <w:r>
        <w:t>1. Propósito y forma de uso</w:t>
      </w:r>
    </w:p>
    <w:p>
      <w:pPr>
        <w:spacing w:after="40"/>
      </w:pPr>
      <w:r>
        <w:t>2. Estado autoritativo del proyecto</w:t>
      </w:r>
    </w:p>
    <w:p>
      <w:pPr>
        <w:spacing w:after="40"/>
      </w:pPr>
      <w:r>
        <w:t>3. Principios de seguridad no negociables</w:t>
      </w:r>
    </w:p>
    <w:p>
      <w:pPr>
        <w:spacing w:after="40"/>
      </w:pPr>
      <w:r>
        <w:t>4. Modelo de amenazas</w:t>
      </w:r>
    </w:p>
    <w:p>
      <w:pPr>
        <w:spacing w:after="40"/>
      </w:pPr>
      <w:r>
        <w:t>5. Controles ya implementados - OpenAI / Control Plane</w:t>
      </w:r>
    </w:p>
    <w:p>
      <w:pPr>
        <w:spacing w:after="40"/>
      </w:pPr>
      <w:r>
        <w:t>6. Controles actuales - Gemini Fast</w:t>
      </w:r>
    </w:p>
    <w:p>
      <w:pPr>
        <w:pStyle w:val="Heading2"/>
      </w:pPr>
      <w:r>
        <w:t>6.7 Seguridad semántica y reputación persistente - PR #93/#94</w:t>
      </w:r>
    </w:p>
    <w:p>
      <w:r>
        <w:t>SEC-P0-02 y SEC-P0-03 quedaron implementados, fusionados y verificados E2E. report_semantic_security_incident acepta únicamente categorías cerradas, pasa por FastToolAuthorizationKernel y entrega una señal mínima a CallerSecurityService.</w:t>
      </w:r>
    </w:p>
    <w:p>
      <w:pPr>
        <w:pStyle w:val="ListBullet"/>
      </w:pPr>
      <w:r>
        <w:t>PR #93 / merge 2ecc4cc643f1933ea7f353ab26aa231bda89e7e6: frontera semántica Gemini Fast para PROMPT_EXFILTRATION, PROMPT_INJECTION, ROLE_ESCALATION y TOOL_MANIPULATION.</w:t>
      </w:r>
    </w:p>
    <w:p>
      <w:pPr>
        <w:pStyle w:val="ListBullet"/>
      </w:pPr>
      <w:r>
        <w:t>PR #94 / merge 91b473a475a6fd7c235822c5c930cc0f5eba2002: sideband autenticado, identidad trusted, eventKey SHA-256 opaco, entrega durable directa o Queue e integración con record_caller_security_signal_v2.</w:t>
      </w:r>
    </w:p>
    <w:p>
      <w:pPr>
        <w:pStyle w:val="ListBullet"/>
      </w:pPr>
      <w:r>
        <w:t>Política conservadora Gemini: severity=MEDIUM, riskDelta=1, highConfidence=false; suma riesgo pero no strike, no termina la llamada y no bloquea por sí sola.</w:t>
      </w:r>
    </w:p>
    <w:p>
      <w:pPr>
        <w:pStyle w:val="ListBullet"/>
      </w:pPr>
      <w:r>
        <w:t>Privacidad: no transcript, audio, prompt, tool payload, callControlId ni toolCallId en caller_security_events; raw_transcript_stored=false.</w:t>
      </w:r>
    </w:p>
    <w:p>
      <w:pPr>
        <w:pStyle w:val="ListBullet"/>
      </w:pPr>
      <w:r>
        <w:t>Incidente operativo histórico: la persistencia falló inicialmente por drift del token entre Cloud Run/Fast Worker y Control Plane. Los commits 9eef2567... y 154fdcfd... corrigieron el baseline. El corte Gemini-native quedó desplegado en canary con el SHA d7435fd81915...: el Gemini Fast Worker posee endpoint, adaptador Supabase y Queue/DLQ, confirma Queue antes de responder, usa Supabase directo como fallback y elimina del CI Fast toda escritura o preflight contra el Worker histórico.</w:t>
      </w:r>
    </w:p>
    <w:p>
      <w:pPr>
        <w:pStyle w:val="ListBullet"/>
      </w:pPr>
      <w:r>
        <w:t>E2E A-G: cuatro eventos únicos persistidos en 40-135 ms, ningún TOOL_EXECUTION_FAILED; transferencia contestada y cierre HUMAN_HANDOFF_TERMINAL.</w:t>
      </w:r>
    </w:p>
    <w:p>
      <w:pPr>
        <w:pStyle w:val="ListBullet"/>
      </w:pPr>
      <w:r>
        <w:t>Continuidad de identidad: CALLER_SECURITY_HMAC_SECRET contiene exactamente los bytes de la clave histórica. CI comparó su SHA-256 con caller-security-hmac-sha256, una huella capturada independientemente antes de la migración. No se generó una clave nueva ni se reutilizó automáticamente la credencial Supabase, evitando dividir el historial de reputación. La persistencia sigue siendo sideband por evento discreto y no añade trabajo al audio por chunk.</w:t>
      </w:r>
    </w:p>
    <w:p>
      <w:pPr>
        <w:spacing w:after="40"/>
      </w:pPr>
      <w:r>
        <w:t>7. Qué reutilizar, adaptar o no copiar</w:t>
      </w:r>
    </w:p>
    <w:p>
      <w:pPr>
        <w:spacing w:after="40"/>
      </w:pPr>
      <w:r>
        <w:t>8. Arquitectura objetivo de seguridad</w:t>
      </w:r>
    </w:p>
    <w:p>
      <w:pPr>
        <w:pStyle w:val="Heading2"/>
      </w:pPr>
      <w:r>
        <w:t>8.2 Capacidades transversales, verticales y contrato de tools</w:t>
      </w:r>
    </w:p>
    <w:p>
      <w:r>
        <w:t>El producto distingue capacidades transversales del kernel y capacidades verticales del tenant. La separación es funcional y de autoridad: una vertical consume capacidades horizontales mediante contratos; no duplica ni puede debilitar sus controles.</w:t>
      </w:r>
    </w:p>
    <w:p>
      <w:pPr>
        <w:pStyle w:val="ListBullet"/>
      </w:pPr>
      <w:r>
        <w:t>TRANSVERSALES: admission e identidad Telnyx, caller security/reputación, flujo y lifecycle de voz, autorización de tools, human handoff, autoridad temporal, diagnóstico/redacción y comunicaciones externas.</w:t>
      </w:r>
    </w:p>
    <w:p>
      <w:pPr>
        <w:pStyle w:val="ListBullet"/>
      </w:pPr>
      <w:r>
        <w:t>WHATSAPP TRANSVERSAL: el KV de capacidades distingue message.whatsapp.transactional y message.whatsapp.realtime_support. Cada modalidad permanece deshabilitada salvo capacidad explícita del tenant y debe pasar por policy y handler autorizados.</w:t>
      </w:r>
    </w:p>
    <w:p>
      <w:pPr>
        <w:pStyle w:val="ListBullet"/>
      </w:pPr>
      <w:r>
        <w:t>VERTICALES: reservas, disponibilidad, horarios, mesas y demás reglas propias del negocio/tenant. Sus datos, schemas e invariantes viven en dominio/backend y no dentro del kernel horizontal.</w:t>
      </w:r>
    </w:p>
    <w:p>
      <w:pPr>
        <w:pStyle w:val="ListBullet"/>
      </w:pPr>
      <w:r>
        <w:t>CONTRATO DE TOOL: nombre y schema cerrados; authority; effect; capability; evidence; handler permitido; tenant/call context; idempotencia; y, cuando aplique, confirmación y business invariants.</w:t>
      </w:r>
    </w:p>
    <w:p>
      <w:pPr>
        <w:pStyle w:val="ListBullet"/>
      </w:pPr>
      <w:r>
        <w:t>INVARIANTE: Gemini interpreta y propone. FastToolAuthorizationKernel decide ALLOW/DENY. El domain kernel valida la vertical. Supabase/backend es la fuente de verdad y ejecuta el efecto.</w:t>
      </w:r>
    </w:p>
    <w:p>
      <w:pPr>
        <w:spacing w:after="40"/>
      </w:pPr>
      <w:r>
        <w:t>9. Auditoría, privacidad y evidencia forense</w:t>
      </w:r>
    </w:p>
    <w:p>
      <w:pPr>
        <w:spacing w:after="40"/>
      </w:pPr>
      <w:r>
        <w:t>10. Riesgos abiertos y backlog</w:t>
      </w:r>
    </w:p>
    <w:p>
      <w:pPr>
        <w:spacing w:after="40"/>
      </w:pPr>
      <w:r>
        <w:t>11. Criterios de aceptación para cambios de seguridad</w:t>
      </w:r>
    </w:p>
    <w:p>
      <w:pPr>
        <w:spacing w:after="40"/>
      </w:pPr>
      <w:r>
        <w:t>12. Protocolo para retomar el trabajo en otra sesión</w:t>
      </w:r>
    </w:p>
    <w:p>
      <w:pPr>
        <w:spacing w:after="40"/>
      </w:pPr>
      <w:r>
        <w:t>13. Registro de decisiones</w:t>
      </w:r>
    </w:p>
    <w:p>
      <w:pPr>
        <w:spacing w:after="40"/>
      </w:pPr>
      <w:r>
        <w:t>14. Registro de evidencia técnica</w:t>
      </w:r>
    </w:p>
    <w:p>
      <w:pPr>
        <w:spacing w:after="40"/>
      </w:pPr>
      <w:r>
        <w:t>15. Historial de cambios del documento</w:t>
      </w:r>
    </w:p>
    <w:tbl>
      <w:tblPr>
        <w:tblW w:type="auto" w:w="0"/>
        <w:jc w:val="center"/>
        <w:tblLook w:firstColumn="1" w:firstRow="1" w:lastColumn="0" w:lastRow="0" w:noHBand="0" w:noVBand="1" w:val="04A0"/>
      </w:tblPr>
      <w:tblGrid>
        <w:gridCol w:w="10200"/>
      </w:tblGrid>
      <w:tr>
        <w:trPr>
          <w:cantSplit/>
        </w:trPr>
        <w:tc>
          <w:tcPr>
            <w:tcW w:type="dxa" w:w="10200"/>
            <w:shd w:fill="FFF2CC"/>
            <w:tcMar>
              <w:top w:w="130" w:type="dxa"/>
              <w:start w:w="150" w:type="dxa"/>
              <w:bottom w:w="130" w:type="dxa"/>
              <w:end w:w="150" w:type="dxa"/>
            </w:tcMar>
            <w:tcBorders>
              <w:top w:val="single" w:sz="8" w:color="BF9000"/>
              <w:left w:val="single" w:sz="8" w:color="BF9000"/>
              <w:bottom w:val="single" w:sz="8" w:color="BF9000"/>
              <w:right w:val="single" w:sz="8" w:color="BF9000"/>
            </w:tcBorders>
          </w:tcPr>
          <w:p>
            <w:pPr>
              <w:spacing w:after="60"/>
            </w:pPr>
            <w:r>
              <w:rPr>
                <w:b/>
                <w:color w:val="BF9000"/>
                <w:sz w:val="20"/>
              </w:rPr>
              <w:t>Lectura rápida</w:t>
            </w:r>
          </w:p>
          <w:p>
            <w:pPr>
              <w:spacing w:after="0"/>
            </w:pPr>
            <w:r>
              <w:rPr>
                <w:sz w:val="18"/>
              </w:rPr>
              <w:t>Si una sesión nueva sólo dispone de unos minutos: leer primero las secciones 2, 3, 10, 12 y 13. Después verificar el SHA de la rama estable antes de modificar código.</w:t>
            </w:r>
          </w:p>
        </w:tc>
      </w:tr>
    </w:tbl>
    <w:p>
      <w:pPr>
        <w:spacing w:after="0"/>
      </w:pPr>
    </w:p>
    <w:p>
      <w:pPr>
        <w:pStyle w:val="Heading1"/>
        <w:keepNext/>
      </w:pPr>
      <w:r>
        <w:t>1. Propósito y forma de uso</w:t>
      </w:r>
    </w:p>
    <w:p>
      <w:r>
        <w:t>Esta guía concentra el estado de seguridad del proyecto, las decisiones de arquitectura, los controles existentes, las evidencias verificadas y el trabajo pendiente. Su objetivo principal es permitir continuidad técnica entre sesiones sin depender de la memoria del chat.</w:t>
      </w:r>
    </w:p>
    <w:p>
      <w:pPr>
        <w:pStyle w:val="Heading2"/>
        <w:keepNext/>
      </w:pPr>
      <w:r>
        <w:t>1.1 Qué debe registrar siempre</w:t>
      </w:r>
    </w:p>
    <w:p>
      <w:pPr>
        <w:pStyle w:val="ListBullet"/>
        <w:spacing w:after="40"/>
      </w:pPr>
      <w:r>
        <w:t>Estado verificable: repositorio, rama estable, SHA, CI/canary y, cuando corresponda, estado real de producción.</w:t>
      </w:r>
    </w:p>
    <w:p>
      <w:pPr>
        <w:pStyle w:val="ListBullet"/>
        <w:spacing w:after="40"/>
      </w:pPr>
      <w:r>
        <w:t>Decisiones de seguridad con motivo, alcance, alternativas descartadas y consecuencias.</w:t>
      </w:r>
    </w:p>
    <w:p>
      <w:pPr>
        <w:pStyle w:val="ListBullet"/>
        <w:spacing w:after="40"/>
      </w:pPr>
      <w:r>
        <w:t>Controles existentes y ubicación exacta en el código o en la infraestructura.</w:t>
      </w:r>
    </w:p>
    <w:p>
      <w:pPr>
        <w:pStyle w:val="ListBullet"/>
        <w:spacing w:after="40"/>
      </w:pPr>
      <w:r>
        <w:t>Riesgos abiertos, prioridad, criterio de cierre y evidencia que demostrará que están resueltos.</w:t>
      </w:r>
    </w:p>
    <w:p>
      <w:pPr>
        <w:pStyle w:val="ListBullet"/>
        <w:spacing w:after="40"/>
      </w:pPr>
      <w:r>
        <w:t>Cambios implementados, pruebas ejecutadas y cualquier incidente o comportamiento observado en llamadas reales.</w:t>
      </w:r>
    </w:p>
    <w:p>
      <w:pPr>
        <w:pStyle w:val="Heading2"/>
        <w:keepNext/>
      </w:pPr>
      <w:r>
        <w:t>1.2 Estados usados en la guía</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Estado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Significado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VERIFICADO EN CÓDIGO</w:t>
            </w:r>
          </w:p>
        </w:tc>
        <w:tc>
          <w:tcPr>
            <w:tcW w:type="dxa" w:w="5100"/>
            <w:vAlign w:val="center"/>
            <w:tcMar>
              <w:top w:w="80" w:type="dxa"/>
              <w:start w:w="100" w:type="dxa"/>
              <w:bottom w:w="80" w:type="dxa"/>
              <w:end w:w="100" w:type="dxa"/>
            </w:tcMar>
          </w:tcPr>
          <w:p>
            <w:pPr>
              <w:spacing w:after="0"/>
            </w:pPr>
            <w:r/>
            <w:r>
              <w:rPr>
                <w:rFonts w:ascii="Aptos" w:hAnsi="Aptos"/>
                <w:b w:val="0"/>
                <w:sz w:val="16"/>
              </w:rPr>
              <w:t>Revisado en la rama/SHA indicado.</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VERIFICADO EN CANARY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Workflow/deploy canary completado para el SHA indicado.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VERIFICADO EN PRODUCCIÓN</w:t>
            </w:r>
          </w:p>
        </w:tc>
        <w:tc>
          <w:tcPr>
            <w:tcW w:type="dxa" w:w="5100"/>
            <w:vAlign w:val="center"/>
            <w:tcMar>
              <w:top w:w="80" w:type="dxa"/>
              <w:start w:w="100" w:type="dxa"/>
              <w:bottom w:w="80" w:type="dxa"/>
              <w:end w:w="100" w:type="dxa"/>
            </w:tcMar>
          </w:tcPr>
          <w:p>
            <w:pPr>
              <w:spacing w:after="0"/>
            </w:pPr>
            <w:r/>
            <w:r>
              <w:rPr>
                <w:rFonts w:ascii="Aptos" w:hAnsi="Aptos"/>
                <w:b w:val="0"/>
                <w:sz w:val="16"/>
              </w:rPr>
              <w:t>Evidencia directa de comportamiento real en producción.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DISEÑADO</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Decisión aceptada, todavía sin implementación o evidencia completa.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PENDIENTE DE VERIFICAR</w:t>
            </w:r>
          </w:p>
        </w:tc>
        <w:tc>
          <w:tcPr>
            <w:tcW w:type="dxa" w:w="5100"/>
            <w:vAlign w:val="center"/>
            <w:tcMar>
              <w:top w:w="80" w:type="dxa"/>
              <w:start w:w="100" w:type="dxa"/>
              <w:bottom w:w="80" w:type="dxa"/>
              <w:end w:w="100" w:type="dxa"/>
            </w:tcMar>
          </w:tcPr>
          <w:p>
            <w:pPr>
              <w:spacing w:after="0"/>
            </w:pPr>
            <w:r/>
            <w:r>
              <w:rPr>
                <w:rFonts w:ascii="Aptos" w:hAnsi="Aptos"/>
                <w:b w:val="0"/>
                <w:sz w:val="16"/>
              </w:rPr>
              <w:t>Existe indicio o implementación histórica, pero debe comprobarse en el estado actual.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DEFENSA EN PROFUNDIDAD / LEGACY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Puede aportar señal adicional, pero no debe ser la autoridad principal.</w:t>
            </w:r>
          </w:p>
        </w:tc>
      </w:tr>
    </w:tbl>
    <w:p>
      <w:pPr>
        <w:spacing w:after="0"/>
      </w:pPr>
    </w:p>
    <w:p>
      <w:pPr>
        <w:pStyle w:val="Heading1"/>
        <w:keepNext/>
      </w:pPr>
      <w:r>
        <w:t>2. Estado autoritativo del proyecto</w:t>
      </w:r>
    </w:p>
    <w:p>
      <w:pPr>
        <w:pStyle w:val="Heading2"/>
        <w:keepNext/>
      </w:pPr>
      <w:r>
        <w:t>2.1 Snapshot verificado al crear esta versión</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Elemento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Valor / estado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Repositorio</w:t>
            </w:r>
          </w:p>
        </w:tc>
        <w:tc>
          <w:tcPr>
            <w:tcW w:type="dxa" w:w="5100"/>
            <w:vAlign w:val="center"/>
            <w:tcMar>
              <w:top w:w="80" w:type="dxa"/>
              <w:start w:w="100" w:type="dxa"/>
              <w:bottom w:w="80" w:type="dxa"/>
              <w:end w:w="100" w:type="dxa"/>
            </w:tcMar>
          </w:tcPr>
          <w:p>
            <w:pPr>
              <w:spacing w:after="0"/>
            </w:pPr>
            <w:r/>
            <w:r>
              <w:rPr>
                <w:rFonts w:ascii="Aptos" w:hAnsi="Aptos"/>
                <w:b w:val="0"/>
                <w:sz w:val="16"/>
              </w:rPr>
              <w:t>jdlc86/IA_RealTime_CenterCall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Rama estable</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rebuild/v39-stable-baseline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SHA</w:t>
            </w:r>
          </w:p>
        </w:tc>
        <w:tc>
          <w:tcPr>
            <w:tcW w:type="dxa" w:w="5100"/>
            <w:vAlign w:val="center"/>
            <w:tcMar>
              <w:top w:w="80" w:type="dxa"/>
              <w:start w:w="100" w:type="dxa"/>
              <w:bottom w:w="80" w:type="dxa"/>
              <w:end w:w="100" w:type="dxa"/>
            </w:tcMar>
          </w:tcPr>
          <w:p>
            <w:r>
              <w:t>d7435fd81915c470f74bce81eb87d8ae7bda1c1f</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Último merge relevante</w:t>
            </w:r>
          </w:p>
        </w:tc>
        <w:tc>
          <w:tcPr>
            <w:tcW w:type="dxa" w:w="5100"/>
            <w:vAlign w:val="center"/>
            <w:tcMar>
              <w:top w:w="80" w:type="dxa"/>
              <w:start w:w="100" w:type="dxa"/>
              <w:bottom w:w="80" w:type="dxa"/>
              <w:end w:w="100" w:type="dxa"/>
            </w:tcMar>
            <w:shd w:fill="F4F7FA"/>
          </w:tcPr>
          <w:p>
            <w:r>
              <w:t>PR #94 - Fast semantic incidents -&gt; caller reputation; extracción Gemini-native d7435fd81915...</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Kernel de autorización</w:t>
            </w:r>
          </w:p>
        </w:tc>
        <w:tc>
          <w:tcPr>
            <w:tcW w:type="dxa" w:w="5100"/>
            <w:vAlign w:val="center"/>
            <w:tcMar>
              <w:top w:w="80" w:type="dxa"/>
              <w:start w:w="100" w:type="dxa"/>
              <w:bottom w:w="80" w:type="dxa"/>
              <w:end w:w="100" w:type="dxa"/>
            </w:tcMar>
          </w:tcPr>
          <w:p>
            <w:pPr>
              <w:spacing w:after="0"/>
            </w:pPr>
            <w:r/>
            <w:r>
              <w:rPr>
                <w:rFonts w:ascii="Aptos" w:hAnsi="Aptos"/>
                <w:b w:val="0"/>
                <w:sz w:val="16"/>
              </w:rPr>
              <w:t>PR #91 - generic FastToolAuthorizationKernel - merged</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Canary exacto</w:t>
            </w:r>
          </w:p>
        </w:tc>
        <w:tc>
          <w:tcPr>
            <w:tcW w:type="dxa" w:w="5100"/>
            <w:vAlign w:val="center"/>
            <w:tcMar>
              <w:top w:w="80" w:type="dxa"/>
              <w:start w:w="100" w:type="dxa"/>
              <w:bottom w:w="80" w:type="dxa"/>
              <w:end w:w="100" w:type="dxa"/>
            </w:tcMar>
            <w:shd w:fill="F4F7FA"/>
          </w:tcPr>
          <w:p>
            <w:r>
              <w:t>Gemini Fast Canary Deploy run 33252047260 - SUCCESS para d7435fd81915...; revisión gemini-media-edge-00202-coh; Fast Worker 3100c432-69a0-44ea-a59f-fdaaa4458221</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Modelo Gemini Fast</w:t>
            </w:r>
          </w:p>
        </w:tc>
        <w:tc>
          <w:tcPr>
            <w:tcW w:type="dxa" w:w="5100"/>
            <w:vAlign w:val="center"/>
            <w:tcMar>
              <w:top w:w="80" w:type="dxa"/>
              <w:start w:w="100" w:type="dxa"/>
              <w:bottom w:w="80" w:type="dxa"/>
              <w:end w:w="100" w:type="dxa"/>
            </w:tcMar>
          </w:tcPr>
          <w:p>
            <w:pPr>
              <w:spacing w:after="0"/>
            </w:pPr>
            <w:r/>
            <w:r>
              <w:rPr>
                <w:rFonts w:ascii="Aptos" w:hAnsi="Aptos"/>
                <w:b w:val="0"/>
                <w:sz w:val="16"/>
              </w:rPr>
              <w:t>gemini-3.1-flash-live-preview</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Voz</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Kore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Zona horaria por defecto</w:t>
            </w:r>
          </w:p>
        </w:tc>
        <w:tc>
          <w:tcPr>
            <w:tcW w:type="dxa" w:w="5100"/>
            <w:vAlign w:val="center"/>
            <w:tcMar>
              <w:top w:w="80" w:type="dxa"/>
              <w:start w:w="100" w:type="dxa"/>
              <w:bottom w:w="80" w:type="dxa"/>
              <w:end w:w="100" w:type="dxa"/>
            </w:tcMar>
          </w:tcPr>
          <w:p>
            <w:pPr>
              <w:spacing w:after="0"/>
            </w:pPr>
            <w:r/>
            <w:r>
              <w:rPr>
                <w:rFonts w:ascii="Aptos" w:hAnsi="Aptos"/>
                <w:b w:val="0"/>
                <w:sz w:val="16"/>
              </w:rPr>
              <w:t>Europe/Madrid</w:t>
            </w:r>
          </w:p>
        </w:tc>
      </w:tr>
    </w:tbl>
    <w:p>
      <w:pPr>
        <w:spacing w:after="0"/>
      </w:pPr>
    </w:p>
    <w:tbl>
      <w:tblPr>
        <w:tblW w:type="auto" w:w="0"/>
        <w:jc w:val="center"/>
        <w:tblLook w:firstColumn="1" w:firstRow="1" w:lastColumn="0" w:lastRow="0" w:noHBand="0" w:noVBand="1" w:val="04A0"/>
      </w:tblPr>
      <w:tblGrid>
        <w:gridCol w:w="10200"/>
      </w:tblGrid>
      <w:tr>
        <w:trPr>
          <w:cantSplit/>
        </w:trPr>
        <w:tc>
          <w:tcPr>
            <w:tcW w:type="dxa" w:w="10200"/>
            <w:shd w:fill="FCE4D6"/>
            <w:tcMar>
              <w:top w:w="130" w:type="dxa"/>
              <w:start w:w="150" w:type="dxa"/>
              <w:bottom w:w="130" w:type="dxa"/>
              <w:end w:w="150" w:type="dxa"/>
            </w:tcMar>
            <w:tcBorders>
              <w:top w:val="single" w:sz="8" w:color="C65911"/>
              <w:left w:val="single" w:sz="8" w:color="C65911"/>
              <w:bottom w:val="single" w:sz="8" w:color="C65911"/>
              <w:right w:val="single" w:sz="8" w:color="C65911"/>
            </w:tcBorders>
          </w:tcPr>
          <w:p>
            <w:pPr>
              <w:spacing w:after="60"/>
            </w:pPr>
            <w:r>
              <w:rPr>
                <w:b/>
                <w:color w:val="C65911"/>
                <w:sz w:val="20"/>
              </w:rPr>
              <w:t>Importante sobre despliegues</w:t>
            </w:r>
          </w:p>
          <w:p>
            <w:pPr>
              <w:spacing w:after="0"/>
            </w:pPr>
            <w:r>
              <w:rPr>
                <w:sz w:val="18"/>
              </w:rPr>
              <w:t>Un SHA en stable y un canary verde no significan automáticamente que el 100% del tráfico general use ese SHA. En cada nueva sesión se debe verificar la revisión/tag/ruta efectiva antes de afirmar “está en producción general”.</w:t>
            </w:r>
          </w:p>
        </w:tc>
      </w:tr>
    </w:tbl>
    <w:p>
      <w:pPr>
        <w:spacing w:after="0"/>
      </w:pPr>
    </w:p>
    <w:p>
      <w:pPr>
        <w:pStyle w:val="Heading2"/>
        <w:keepNext/>
      </w:pPr>
      <w:r>
        <w:t>2.2 Arquitectura operacional relevante para seguridad</w:t>
      </w:r>
    </w:p>
    <w:p>
      <w:pPr>
        <w:pStyle w:val="CodeBlock"/>
        <w:spacing w:after="80"/>
      </w:pPr>
      <w:r>
        <w:t>Telnyx  &lt;-&gt;  Gemini Fast Media Edge  &lt;-&gt;  Gemini Live</w:t>
        <w:br/>
        <w:t xml:space="preserve">                 |</w:t>
        <w:br/>
        <w:t xml:space="preserve">                 +---- control/tool path ----&gt; Gemini Fast Worker / control services</w:t>
        <w:br/>
        <w:br/>
        <w:t>Regla: Cloudflare Worker NO relaya el audio continuo. Las decisiones de seguridad y tools deben permanecer fuera del per-chunk audio hot path.</w:t>
      </w:r>
    </w:p>
    <w:p>
      <w:r>
        <w:t>La seguridad se divide deliberadamente entre admisión de llamada, interpretación semántica, autorización determinista de tools, kernels de dominio, persistencia/auditoría y efectos externos. El audio continuo no debe pagar el coste de estas comprobaciones salvo los eventos discretos que realmente lo requieren.</w:t>
      </w:r>
    </w:p>
    <w:p>
      <w:pPr>
        <w:pStyle w:val="Heading1"/>
        <w:keepNext/>
      </w:pPr>
      <w:r>
        <w:t>3. Principios de seguridad no negociables</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Principio</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Regla práctica</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P-01</w:t>
            </w:r>
          </w:p>
        </w:tc>
        <w:tc>
          <w:tcPr>
            <w:tcW w:type="dxa" w:w="3400"/>
            <w:vAlign w:val="center"/>
            <w:tcMar>
              <w:top w:w="80" w:type="dxa"/>
              <w:start w:w="100" w:type="dxa"/>
              <w:bottom w:w="80" w:type="dxa"/>
              <w:end w:w="100" w:type="dxa"/>
            </w:tcMar>
          </w:tcPr>
          <w:p>
            <w:pPr>
              <w:spacing w:after="0"/>
            </w:pPr>
            <w:r/>
            <w:r>
              <w:rPr>
                <w:rFonts w:ascii="Aptos" w:hAnsi="Aptos"/>
                <w:b w:val="0"/>
                <w:sz w:val="15"/>
              </w:rPr>
              <w:t>Cero regresión de latencia en el hot path</w:t>
            </w:r>
          </w:p>
        </w:tc>
        <w:tc>
          <w:tcPr>
            <w:tcW w:type="dxa" w:w="3400"/>
            <w:vAlign w:val="center"/>
            <w:tcMar>
              <w:top w:w="80" w:type="dxa"/>
              <w:start w:w="100" w:type="dxa"/>
              <w:bottom w:w="80" w:type="dxa"/>
              <w:end w:w="100" w:type="dxa"/>
            </w:tcMar>
          </w:tcPr>
          <w:p>
            <w:pPr>
              <w:spacing w:after="0"/>
            </w:pPr>
            <w:r/>
            <w:r>
              <w:rPr>
                <w:rFonts w:ascii="Aptos" w:hAnsi="Aptos"/>
                <w:b w:val="0"/>
                <w:sz w:val="15"/>
              </w:rPr>
              <w:t>No introducir clasificadores, llamadas de red ni lógica de seguridad por chunk de audio.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P-02</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No tocar audio/VAD sin necesidad</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Modelo, VAD, bridge, codecs, resampler y buffers se consideran zona protegida.</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P-03</w:t>
            </w:r>
          </w:p>
        </w:tc>
        <w:tc>
          <w:tcPr>
            <w:tcW w:type="dxa" w:w="3400"/>
            <w:vAlign w:val="center"/>
            <w:tcMar>
              <w:top w:w="80" w:type="dxa"/>
              <w:start w:w="100" w:type="dxa"/>
              <w:bottom w:w="80" w:type="dxa"/>
              <w:end w:w="100" w:type="dxa"/>
            </w:tcMar>
          </w:tcPr>
          <w:p>
            <w:pPr>
              <w:spacing w:after="0"/>
            </w:pPr>
            <w:r/>
            <w:r>
              <w:rPr>
                <w:rFonts w:ascii="Aptos" w:hAnsi="Aptos"/>
                <w:b w:val="0"/>
                <w:sz w:val="15"/>
              </w:rPr>
              <w:t>Tool call != autorización</w:t>
            </w:r>
          </w:p>
        </w:tc>
        <w:tc>
          <w:tcPr>
            <w:tcW w:type="dxa" w:w="3400"/>
            <w:vAlign w:val="center"/>
            <w:tcMar>
              <w:top w:w="80" w:type="dxa"/>
              <w:start w:w="100" w:type="dxa"/>
              <w:bottom w:w="80" w:type="dxa"/>
              <w:end w:w="100" w:type="dxa"/>
            </w:tcMar>
          </w:tcPr>
          <w:p>
            <w:pPr>
              <w:spacing w:after="0"/>
            </w:pPr>
            <w:r/>
            <w:r>
              <w:rPr>
                <w:rFonts w:ascii="Aptos" w:hAnsi="Aptos"/>
                <w:b w:val="0"/>
                <w:sz w:val="15"/>
              </w:rPr>
              <w:t>Una function call del modelo es sólo una propuesta. El servidor decide ALLOW/DENY antes de cualquier handler o efecto.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P-04</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Semántica, no listas rígidas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La intención se interpreta por significado y contexto. Regex/denylist sólo pueden ser defensa auxiliar para señales inequívocas.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P-05</w:t>
            </w:r>
          </w:p>
        </w:tc>
        <w:tc>
          <w:tcPr>
            <w:tcW w:type="dxa" w:w="3400"/>
            <w:vAlign w:val="center"/>
            <w:tcMar>
              <w:top w:w="80" w:type="dxa"/>
              <w:start w:w="100" w:type="dxa"/>
              <w:bottom w:w="80" w:type="dxa"/>
              <w:end w:w="100" w:type="dxa"/>
            </w:tcMar>
          </w:tcPr>
          <w:p>
            <w:pPr>
              <w:spacing w:after="0"/>
            </w:pPr>
            <w:r/>
            <w:r>
              <w:rPr>
                <w:rFonts w:ascii="Aptos" w:hAnsi="Aptos"/>
                <w:b w:val="0"/>
                <w:sz w:val="15"/>
              </w:rPr>
              <w:t>Fail closed en acciones sensibles</w:t>
            </w:r>
          </w:p>
        </w:tc>
        <w:tc>
          <w:tcPr>
            <w:tcW w:type="dxa" w:w="3400"/>
            <w:vAlign w:val="center"/>
            <w:tcMar>
              <w:top w:w="80" w:type="dxa"/>
              <w:start w:w="100" w:type="dxa"/>
              <w:bottom w:w="80" w:type="dxa"/>
              <w:end w:w="100" w:type="dxa"/>
            </w:tcMar>
          </w:tcPr>
          <w:p>
            <w:pPr>
              <w:spacing w:after="0"/>
            </w:pPr>
            <w:r/>
            <w:r>
              <w:rPr>
                <w:rFonts w:ascii="Aptos" w:hAnsi="Aptos"/>
                <w:b w:val="0"/>
                <w:sz w:val="15"/>
              </w:rPr>
              <w:t>Si falta política, identidad, autoridad o evidencia requerida, no hay efecto externo.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P-06</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Aislamiento por tenant</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Toda identidad, capability, configuración, reputación y efecto debe quedar tenant-scoped.</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P-07</w:t>
            </w:r>
          </w:p>
        </w:tc>
        <w:tc>
          <w:tcPr>
            <w:tcW w:type="dxa" w:w="3400"/>
            <w:vAlign w:val="center"/>
            <w:tcMar>
              <w:top w:w="80" w:type="dxa"/>
              <w:start w:w="100" w:type="dxa"/>
              <w:bottom w:w="80" w:type="dxa"/>
              <w:end w:w="100" w:type="dxa"/>
            </w:tcMar>
          </w:tcPr>
          <w:p>
            <w:pPr>
              <w:spacing w:after="0"/>
            </w:pPr>
            <w:r/>
            <w:r>
              <w:rPr>
                <w:rFonts w:ascii="Aptos" w:hAnsi="Aptos"/>
                <w:b w:val="0"/>
                <w:sz w:val="15"/>
              </w:rPr>
              <w:t>Mínima evidencia persistida</w:t>
            </w:r>
          </w:p>
        </w:tc>
        <w:tc>
          <w:tcPr>
            <w:tcW w:type="dxa" w:w="3400"/>
            <w:vAlign w:val="center"/>
            <w:tcMar>
              <w:top w:w="80" w:type="dxa"/>
              <w:start w:w="100" w:type="dxa"/>
              <w:bottom w:w="80" w:type="dxa"/>
              <w:end w:w="100" w:type="dxa"/>
            </w:tcMar>
          </w:tcPr>
          <w:p>
            <w:pPr>
              <w:spacing w:after="0"/>
            </w:pPr>
            <w:r/>
            <w:r>
              <w:rPr>
                <w:rFonts w:ascii="Aptos" w:hAnsi="Aptos"/>
                <w:b w:val="0"/>
                <w:sz w:val="15"/>
              </w:rPr>
              <w:t>No guardar transcript bruto, system prompt, secretos, credenciales o PII cuando basten hashes/metadata seguras.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P-08</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Idempotencia y anti-replay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Eventos, señales y mutaciones deben resistir duplicados/reintentos sin repetir efectos.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P-09</w:t>
            </w:r>
          </w:p>
        </w:tc>
        <w:tc>
          <w:tcPr>
            <w:tcW w:type="dxa" w:w="3400"/>
            <w:vAlign w:val="center"/>
            <w:tcMar>
              <w:top w:w="80" w:type="dxa"/>
              <w:start w:w="100" w:type="dxa"/>
              <w:bottom w:w="80" w:type="dxa"/>
              <w:end w:w="100" w:type="dxa"/>
            </w:tcMar>
          </w:tcPr>
          <w:p>
            <w:pPr>
              <w:spacing w:after="0"/>
            </w:pPr>
            <w:r/>
            <w:r>
              <w:rPr>
                <w:rFonts w:ascii="Aptos" w:hAnsi="Aptos"/>
                <w:b w:val="0"/>
                <w:sz w:val="15"/>
              </w:rPr>
              <w:t>No degradar seguridad por fallback</w:t>
            </w:r>
          </w:p>
        </w:tc>
        <w:tc>
          <w:tcPr>
            <w:tcW w:type="dxa" w:w="3400"/>
            <w:vAlign w:val="center"/>
            <w:tcMar>
              <w:top w:w="80" w:type="dxa"/>
              <w:start w:w="100" w:type="dxa"/>
              <w:bottom w:w="80" w:type="dxa"/>
              <w:end w:w="100" w:type="dxa"/>
            </w:tcMar>
          </w:tcPr>
          <w:p>
            <w:pPr>
              <w:spacing w:after="0"/>
            </w:pPr>
            <w:r/>
            <w:r>
              <w:rPr>
                <w:rFonts w:ascii="Aptos" w:hAnsi="Aptos"/>
                <w:b w:val="0"/>
                <w:sz w:val="15"/>
              </w:rPr>
              <w:t>Nunca caer silenciosamente a un proveedor/ruta con controles más débiles.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P-10</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Evidencia antes de afirmar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“Implementado”, “desplegado” y “probado” son estados distintos y deben documentarse por separado.</w:t>
            </w:r>
          </w:p>
        </w:tc>
      </w:tr>
    </w:tbl>
    <w:p>
      <w:pPr>
        <w:spacing w:after="0"/>
      </w:pPr>
    </w:p>
    <w:p>
      <w:pPr>
        <w:pStyle w:val="Heading1"/>
        <w:keepNext/>
      </w:pPr>
      <w:r>
        <w:t>4. Modelo de amenazas</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Amenaza</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Escenario</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Control esperado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T-01</w:t>
            </w:r>
          </w:p>
        </w:tc>
        <w:tc>
          <w:tcPr>
            <w:tcW w:type="dxa" w:w="2550"/>
            <w:vAlign w:val="center"/>
            <w:tcMar>
              <w:top w:w="80" w:type="dxa"/>
              <w:start w:w="100" w:type="dxa"/>
              <w:bottom w:w="80" w:type="dxa"/>
              <w:end w:w="100" w:type="dxa"/>
            </w:tcMar>
          </w:tcPr>
          <w:p>
            <w:pPr>
              <w:spacing w:after="0"/>
            </w:pPr>
            <w:r/>
            <w:r>
              <w:rPr>
                <w:rFonts w:ascii="Aptos" w:hAnsi="Aptos"/>
                <w:b w:val="0"/>
                <w:sz w:val="14"/>
              </w:rPr>
              <w:t>Webhook spoofing / replay</w:t>
            </w:r>
          </w:p>
        </w:tc>
        <w:tc>
          <w:tcPr>
            <w:tcW w:type="dxa" w:w="2550"/>
            <w:vAlign w:val="center"/>
            <w:tcMar>
              <w:top w:w="80" w:type="dxa"/>
              <w:start w:w="100" w:type="dxa"/>
              <w:bottom w:w="80" w:type="dxa"/>
              <w:end w:w="100" w:type="dxa"/>
            </w:tcMar>
          </w:tcPr>
          <w:p>
            <w:pPr>
              <w:spacing w:after="0"/>
            </w:pPr>
            <w:r/>
            <w:r>
              <w:rPr>
                <w:rFonts w:ascii="Aptos" w:hAnsi="Aptos"/>
                <w:b w:val="0"/>
                <w:sz w:val="14"/>
              </w:rPr>
              <w:t>Eventos Telnyx falsos, reusados o con identidad temporal inválida.</w:t>
            </w:r>
          </w:p>
        </w:tc>
        <w:tc>
          <w:tcPr>
            <w:tcW w:type="dxa" w:w="2550"/>
            <w:vAlign w:val="center"/>
            <w:tcMar>
              <w:top w:w="80" w:type="dxa"/>
              <w:start w:w="100" w:type="dxa"/>
              <w:bottom w:w="80" w:type="dxa"/>
              <w:end w:w="100" w:type="dxa"/>
            </w:tcMar>
          </w:tcPr>
          <w:p>
            <w:pPr>
              <w:spacing w:after="0"/>
            </w:pPr>
            <w:r/>
            <w:r>
              <w:rPr>
                <w:rFonts w:ascii="Aptos" w:hAnsi="Aptos"/>
                <w:b w:val="0"/>
                <w:sz w:val="14"/>
              </w:rPr>
              <w:t>Firma + admission identity + anti-replay/idempotencia.</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Abuso de llamadas / DoS económico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Caller que llama repetidamente para agotar recursos/coste.</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Rate limits persistentes + bloqueos progresivos + reputación.</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T-03</w:t>
            </w:r>
          </w:p>
        </w:tc>
        <w:tc>
          <w:tcPr>
            <w:tcW w:type="dxa" w:w="2550"/>
            <w:vAlign w:val="center"/>
            <w:tcMar>
              <w:top w:w="80" w:type="dxa"/>
              <w:start w:w="100" w:type="dxa"/>
              <w:bottom w:w="80" w:type="dxa"/>
              <w:end w:w="100" w:type="dxa"/>
            </w:tcMar>
          </w:tcPr>
          <w:p>
            <w:pPr>
              <w:spacing w:after="0"/>
            </w:pPr>
            <w:r/>
            <w:r>
              <w:rPr>
                <w:rFonts w:ascii="Aptos" w:hAnsi="Aptos"/>
                <w:b w:val="0"/>
                <w:sz w:val="14"/>
              </w:rPr>
              <w:t>Prompt injection / exfiltration</w:t>
            </w:r>
          </w:p>
        </w:tc>
        <w:tc>
          <w:tcPr>
            <w:tcW w:type="dxa" w:w="2550"/>
            <w:vAlign w:val="center"/>
            <w:tcMar>
              <w:top w:w="80" w:type="dxa"/>
              <w:start w:w="100" w:type="dxa"/>
              <w:bottom w:w="80" w:type="dxa"/>
              <w:end w:w="100" w:type="dxa"/>
            </w:tcMar>
          </w:tcPr>
          <w:p>
            <w:pPr>
              <w:spacing w:after="0"/>
            </w:pPr>
            <w:r/>
            <w:r>
              <w:rPr>
                <w:rFonts w:ascii="Aptos" w:hAnsi="Aptos"/>
                <w:b w:val="0"/>
                <w:sz w:val="14"/>
              </w:rPr>
              <w:t>Intento de cambiar reglas, extraer instrucciones privadas o eludir límites.</w:t>
            </w:r>
          </w:p>
        </w:tc>
        <w:tc>
          <w:tcPr>
            <w:tcW w:type="dxa" w:w="2550"/>
            <w:vAlign w:val="center"/>
            <w:tcMar>
              <w:top w:w="80" w:type="dxa"/>
              <w:start w:w="100" w:type="dxa"/>
              <w:bottom w:w="80" w:type="dxa"/>
              <w:end w:w="100" w:type="dxa"/>
            </w:tcMar>
          </w:tcPr>
          <w:p>
            <w:pPr>
              <w:spacing w:after="0"/>
            </w:pPr>
            <w:r/>
            <w:r>
              <w:rPr>
                <w:rFonts w:ascii="Aptos" w:hAnsi="Aptos"/>
                <w:b w:val="0"/>
                <w:sz w:val="14"/>
              </w:rPr>
              <w:t>Frontera semántica + no revelar prompts + cortar/registrar según confianza.</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T-04</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Manipulación de tools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Modelo inducido a llamar tools o falsificar autoridad.</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FastToolAuthorizationKernel + políticas no sobreescribibles.</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T-05</w:t>
            </w:r>
          </w:p>
        </w:tc>
        <w:tc>
          <w:tcPr>
            <w:tcW w:type="dxa" w:w="2550"/>
            <w:vAlign w:val="center"/>
            <w:tcMar>
              <w:top w:w="80" w:type="dxa"/>
              <w:start w:w="100" w:type="dxa"/>
              <w:bottom w:w="80" w:type="dxa"/>
              <w:end w:w="100" w:type="dxa"/>
            </w:tcMar>
          </w:tcPr>
          <w:p>
            <w:pPr>
              <w:spacing w:after="0"/>
            </w:pPr>
            <w:r/>
            <w:r>
              <w:rPr>
                <w:rFonts w:ascii="Aptos" w:hAnsi="Aptos"/>
                <w:b w:val="0"/>
                <w:sz w:val="14"/>
              </w:rPr>
              <w:t>Efecto sin consentimiento</w:t>
            </w:r>
          </w:p>
        </w:tc>
        <w:tc>
          <w:tcPr>
            <w:tcW w:type="dxa" w:w="2550"/>
            <w:vAlign w:val="center"/>
            <w:tcMar>
              <w:top w:w="80" w:type="dxa"/>
              <w:start w:w="100" w:type="dxa"/>
              <w:bottom w:w="80" w:type="dxa"/>
              <w:end w:w="100" w:type="dxa"/>
            </w:tcMar>
          </w:tcPr>
          <w:p>
            <w:pPr>
              <w:spacing w:after="0"/>
            </w:pPr>
            <w:r/>
            <w:r>
              <w:rPr>
                <w:rFonts w:ascii="Aptos" w:hAnsi="Aptos"/>
                <w:b w:val="0"/>
                <w:sz w:val="14"/>
              </w:rPr>
              <w:t>Crear/cancelar/modificar/transferir sin autoridad suficiente.</w:t>
            </w:r>
          </w:p>
        </w:tc>
        <w:tc>
          <w:tcPr>
            <w:tcW w:type="dxa" w:w="2550"/>
            <w:vAlign w:val="center"/>
            <w:tcMar>
              <w:top w:w="80" w:type="dxa"/>
              <w:start w:w="100" w:type="dxa"/>
              <w:bottom w:w="80" w:type="dxa"/>
              <w:end w:w="100" w:type="dxa"/>
            </w:tcMar>
          </w:tcPr>
          <w:p>
            <w:pPr>
              <w:spacing w:after="0"/>
            </w:pPr>
            <w:r/>
            <w:r>
              <w:rPr>
                <w:rFonts w:ascii="Aptos" w:hAnsi="Aptos"/>
                <w:b w:val="0"/>
                <w:sz w:val="14"/>
              </w:rPr>
              <w:t>Política por effect + evidencia caller para acciones effectful.</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T-06</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Cross-tenant access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Usar identifiers/capabilities de otro tenant.</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Bootstrap autenticado + tenant-scoped policies/handlers/data.</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T-07</w:t>
            </w:r>
          </w:p>
        </w:tc>
        <w:tc>
          <w:tcPr>
            <w:tcW w:type="dxa" w:w="2550"/>
            <w:vAlign w:val="center"/>
            <w:tcMar>
              <w:top w:w="80" w:type="dxa"/>
              <w:start w:w="100" w:type="dxa"/>
              <w:bottom w:w="80" w:type="dxa"/>
              <w:end w:w="100" w:type="dxa"/>
            </w:tcMar>
          </w:tcPr>
          <w:p>
            <w:pPr>
              <w:spacing w:after="0"/>
            </w:pPr>
            <w:r/>
            <w:r>
              <w:rPr>
                <w:rFonts w:ascii="Aptos" w:hAnsi="Aptos"/>
                <w:b w:val="0"/>
                <w:sz w:val="14"/>
              </w:rPr>
              <w:t>Suplantación de identidad operativa</w:t>
            </w:r>
          </w:p>
        </w:tc>
        <w:tc>
          <w:tcPr>
            <w:tcW w:type="dxa" w:w="2550"/>
            <w:vAlign w:val="center"/>
            <w:tcMar>
              <w:top w:w="80" w:type="dxa"/>
              <w:start w:w="100" w:type="dxa"/>
              <w:bottom w:w="80" w:type="dxa"/>
              <w:end w:w="100" w:type="dxa"/>
            </w:tcMar>
          </w:tcPr>
          <w:p>
            <w:pPr>
              <w:spacing w:after="0"/>
            </w:pPr>
            <w:r/>
            <w:r>
              <w:rPr>
                <w:rFonts w:ascii="Aptos" w:hAnsi="Aptos"/>
                <w:b w:val="0"/>
                <w:sz w:val="14"/>
              </w:rPr>
              <w:t>Modificar reservas o datos de otro caller.</w:t>
            </w:r>
          </w:p>
        </w:tc>
        <w:tc>
          <w:tcPr>
            <w:tcW w:type="dxa" w:w="2550"/>
            <w:vAlign w:val="center"/>
            <w:tcMar>
              <w:top w:w="80" w:type="dxa"/>
              <w:start w:w="100" w:type="dxa"/>
              <w:bottom w:w="80" w:type="dxa"/>
              <w:end w:w="100" w:type="dxa"/>
            </w:tcMar>
          </w:tcPr>
          <w:p>
            <w:pPr>
              <w:spacing w:after="0"/>
            </w:pPr>
            <w:r/>
            <w:r>
              <w:rPr>
                <w:rFonts w:ascii="Aptos" w:hAnsi="Aptos"/>
                <w:b w:val="0"/>
                <w:sz w:val="14"/>
              </w:rPr>
              <w:t>Trusted caller identity + validación backend de ownership.</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T-08</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Fuga en logs/diagnósticos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PII, secretos, prompt o contenido sensible persistido.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Redaction/safe-details + allowlist de campos forenses.</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T-09</w:t>
            </w:r>
          </w:p>
        </w:tc>
        <w:tc>
          <w:tcPr>
            <w:tcW w:type="dxa" w:w="2550"/>
            <w:vAlign w:val="center"/>
            <w:tcMar>
              <w:top w:w="80" w:type="dxa"/>
              <w:start w:w="100" w:type="dxa"/>
              <w:bottom w:w="80" w:type="dxa"/>
              <w:end w:w="100" w:type="dxa"/>
            </w:tcMar>
          </w:tcPr>
          <w:p>
            <w:pPr>
              <w:spacing w:after="0"/>
            </w:pPr>
            <w:r/>
            <w:r>
              <w:rPr>
                <w:rFonts w:ascii="Aptos" w:hAnsi="Aptos"/>
                <w:b w:val="0"/>
                <w:sz w:val="14"/>
              </w:rPr>
              <w:t>Duplicación de side effects</w:t>
            </w:r>
          </w:p>
        </w:tc>
        <w:tc>
          <w:tcPr>
            <w:tcW w:type="dxa" w:w="2550"/>
            <w:vAlign w:val="center"/>
            <w:tcMar>
              <w:top w:w="80" w:type="dxa"/>
              <w:start w:w="100" w:type="dxa"/>
              <w:bottom w:w="80" w:type="dxa"/>
              <w:end w:w="100" w:type="dxa"/>
            </w:tcMar>
          </w:tcPr>
          <w:p>
            <w:pPr>
              <w:spacing w:after="0"/>
            </w:pPr>
            <w:r/>
            <w:r>
              <w:rPr>
                <w:rFonts w:ascii="Aptos" w:hAnsi="Aptos"/>
                <w:b w:val="0"/>
                <w:sz w:val="14"/>
              </w:rPr>
              <w:t>Reintento/redelivery crea una segunda reserva/transferencia/cancelación.</w:t>
            </w:r>
          </w:p>
        </w:tc>
        <w:tc>
          <w:tcPr>
            <w:tcW w:type="dxa" w:w="2550"/>
            <w:vAlign w:val="center"/>
            <w:tcMar>
              <w:top w:w="80" w:type="dxa"/>
              <w:start w:w="100" w:type="dxa"/>
              <w:bottom w:w="80" w:type="dxa"/>
              <w:end w:w="100" w:type="dxa"/>
            </w:tcMar>
          </w:tcPr>
          <w:p>
            <w:pPr>
              <w:spacing w:after="0"/>
            </w:pPr>
            <w:r/>
            <w:r>
              <w:rPr>
                <w:rFonts w:ascii="Aptos" w:hAnsi="Aptos"/>
                <w:b w:val="0"/>
                <w:sz w:val="14"/>
              </w:rPr>
              <w:t>Idempotency keys + state machines + backend constraints.</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T-10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Compromiso de configuración</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Tenant intenta debilitar mínimos horizontales.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Políticas horizontales locales no-overridable + schema validation.</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T-11</w:t>
            </w:r>
          </w:p>
        </w:tc>
        <w:tc>
          <w:tcPr>
            <w:tcW w:type="dxa" w:w="2550"/>
            <w:vAlign w:val="center"/>
            <w:tcMar>
              <w:top w:w="80" w:type="dxa"/>
              <w:start w:w="100" w:type="dxa"/>
              <w:bottom w:w="80" w:type="dxa"/>
              <w:end w:w="100" w:type="dxa"/>
            </w:tcMar>
          </w:tcPr>
          <w:p>
            <w:pPr>
              <w:spacing w:after="0"/>
            </w:pPr>
            <w:r/>
            <w:r>
              <w:rPr>
                <w:rFonts w:ascii="Aptos" w:hAnsi="Aptos"/>
                <w:b w:val="0"/>
                <w:sz w:val="14"/>
              </w:rPr>
              <w:t>Ambigüedad semántica</w:t>
            </w:r>
          </w:p>
        </w:tc>
        <w:tc>
          <w:tcPr>
            <w:tcW w:type="dxa" w:w="2550"/>
            <w:vAlign w:val="center"/>
            <w:tcMar>
              <w:top w:w="80" w:type="dxa"/>
              <w:start w:w="100" w:type="dxa"/>
              <w:bottom w:w="80" w:type="dxa"/>
              <w:end w:w="100" w:type="dxa"/>
            </w:tcMar>
          </w:tcPr>
          <w:p>
            <w:pPr>
              <w:spacing w:after="0"/>
            </w:pPr>
            <w:r/>
            <w:r>
              <w:rPr>
                <w:rFonts w:ascii="Aptos" w:hAnsi="Aptos"/>
                <w:b w:val="0"/>
                <w:sz w:val="14"/>
              </w:rPr>
              <w:t>Palabras con varios significados disparan tools innecesarias.</w:t>
            </w:r>
          </w:p>
        </w:tc>
        <w:tc>
          <w:tcPr>
            <w:tcW w:type="dxa" w:w="2550"/>
            <w:vAlign w:val="center"/>
            <w:tcMar>
              <w:top w:w="80" w:type="dxa"/>
              <w:start w:w="100" w:type="dxa"/>
              <w:bottom w:w="80" w:type="dxa"/>
              <w:end w:w="100" w:type="dxa"/>
            </w:tcMar>
          </w:tcPr>
          <w:p>
            <w:pPr>
              <w:spacing w:after="0"/>
            </w:pPr>
            <w:r/>
            <w:r>
              <w:rPr>
                <w:rFonts w:ascii="Aptos" w:hAnsi="Aptos"/>
                <w:b w:val="0"/>
                <w:sz w:val="14"/>
              </w:rPr>
              <w:t>Interpretación por turno completo + tool contracts específicos.</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T-12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Transcripción tardía</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Tool llega antes que el transcript del provider.</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Lecturas read-only pueden usar SEMANTIC_NECESSITY sin transcript; efectos no.</w:t>
            </w:r>
          </w:p>
        </w:tc>
      </w:tr>
    </w:tbl>
    <w:p>
      <w:pPr>
        <w:spacing w:after="0"/>
      </w:pPr>
    </w:p>
    <w:p>
      <w:pPr>
        <w:pStyle w:val="Heading1"/>
        <w:keepNext/>
      </w:pPr>
      <w:r>
        <w:t>5. Controles ya implementados - OpenAI / Control Plane</w:t>
      </w:r>
    </w:p>
    <w:p>
      <w:r>
        <w:t>La implementación OpenAI se conserva temporalmente como referencia histórica y producto legado pendiente de retirada. Gemini no reutiliza su runtime, endpoint, cola, secretos ni lifecycle; los controles transversales se implementan detrás de contratos neutrales y almacenamiento compartido.</w:t>
      </w:r>
    </w:p>
    <w:p>
      <w:pPr>
        <w:pStyle w:val="Heading2"/>
        <w:keepNext/>
      </w:pPr>
      <w:r>
        <w:t>5.1 Admisión, autenticidad e identidad del caller</w:t>
      </w:r>
    </w:p>
    <w:p>
      <w:pPr>
        <w:pStyle w:val="ListBullet"/>
        <w:spacing w:after="40"/>
      </w:pPr>
      <w:r>
        <w:t>Verificación de firma del webhook Telnyx antes de procesar eventos de llamada entrante.</w:t>
      </w:r>
    </w:p>
    <w:p>
      <w:pPr>
        <w:pStyle w:val="ListBullet"/>
        <w:spacing w:after="40"/>
      </w:pPr>
      <w:r>
        <w:t>Admission identity basada en el evento firmado, con identidad/eventId y ventana temporal de credencial.</w:t>
      </w:r>
    </w:p>
    <w:p>
      <w:pPr>
        <w:pStyle w:val="ListBullet"/>
        <w:spacing w:after="40"/>
      </w:pPr>
      <w:r>
        <w:t>Normalización de caller desde el contexto confiable de Telnyx; el caller no puede autodeclarar libremente su identidad interna.</w:t>
      </w:r>
    </w:p>
    <w:p>
      <w:pPr>
        <w:pStyle w:val="ListBullet"/>
        <w:spacing w:after="40"/>
      </w:pPr>
      <w:r>
        <w:t>Resolución de tenant y ruta de proveedor antes de iniciar la sesión.</w:t>
      </w:r>
    </w:p>
    <w:p>
      <w:pPr>
        <w:pStyle w:val="ListBullet"/>
        <w:spacing w:after="40"/>
      </w:pPr>
      <w:r>
        <w:t>Evaluación de caller-security previa a la admisión. BLOCK =&gt; rechazo. Error del servicio de seguridad =&gt; fail closed.</w:t>
      </w:r>
    </w:p>
    <w:p>
      <w:pPr>
        <w:pStyle w:val="ListBullet"/>
        <w:spacing w:after="40"/>
      </w:pPr>
      <w:r>
        <w:t>Sin fallback silencioso a otro proveedor si la ruta seleccionada falla de forma que pudiera debilitar garantías.</w:t>
      </w:r>
    </w:p>
    <w:p>
      <w:pPr>
        <w:pStyle w:val="CodeBlock"/>
        <w:spacing w:after="80"/>
      </w:pPr>
      <w:r>
        <w:t>Referencia principal: apps/control-plane/src/index-v4.ts</w:t>
        <w:br/>
        <w:t>Apoyos: telnyx-webhook-admission-identity.ts, trusted-caller-propagation.ts, caller-security.ts</w:t>
      </w:r>
    </w:p>
    <w:p>
      <w:pPr>
        <w:pStyle w:val="Heading2"/>
        <w:keepNext/>
      </w:pPr>
      <w:r>
        <w:t>5.2 Reputación persistente y rate limiting por caller</w:t>
      </w:r>
    </w:p>
    <w:p>
      <w:r>
        <w:t>CallerSecurityService delega en RPCs de Supabase para mantener riesgo entre llamadas. La identidad se maneja de forma tenant-scoped y con derivación HMAC en la capa de servicio.</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Control</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Valor verificado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Rate limit 1 minuto</w:t>
            </w:r>
          </w:p>
        </w:tc>
        <w:tc>
          <w:tcPr>
            <w:tcW w:type="dxa" w:w="5100"/>
            <w:vAlign w:val="center"/>
            <w:tcMar>
              <w:top w:w="80" w:type="dxa"/>
              <w:start w:w="100" w:type="dxa"/>
              <w:bottom w:w="80" w:type="dxa"/>
              <w:end w:w="100" w:type="dxa"/>
            </w:tcMar>
          </w:tcPr>
          <w:p>
            <w:pPr>
              <w:spacing w:after="0"/>
            </w:pPr>
            <w:r/>
            <w:r>
              <w:rPr>
                <w:rFonts w:ascii="Aptos" w:hAnsi="Aptos"/>
                <w:b w:val="0"/>
                <w:sz w:val="16"/>
              </w:rPr>
              <w:t>5 llamadas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Rate limit 5 minutos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8 llamadas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Rate limit 1 hora</w:t>
            </w:r>
          </w:p>
        </w:tc>
        <w:tc>
          <w:tcPr>
            <w:tcW w:type="dxa" w:w="5100"/>
            <w:vAlign w:val="center"/>
            <w:tcMar>
              <w:top w:w="80" w:type="dxa"/>
              <w:start w:w="100" w:type="dxa"/>
              <w:bottom w:w="80" w:type="dxa"/>
              <w:end w:w="100" w:type="dxa"/>
            </w:tcMar>
          </w:tcPr>
          <w:p>
            <w:pPr>
              <w:spacing w:after="0"/>
            </w:pPr>
            <w:r/>
            <w:r>
              <w:rPr>
                <w:rFonts w:ascii="Aptos" w:hAnsi="Aptos"/>
                <w:b w:val="0"/>
                <w:sz w:val="16"/>
              </w:rPr>
              <w:t>20 llamadas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Bloqueo progresivo 1ª incidencia</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1 hora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Bloqueo progresivo 2ª incidencia</w:t>
            </w:r>
          </w:p>
        </w:tc>
        <w:tc>
          <w:tcPr>
            <w:tcW w:type="dxa" w:w="5100"/>
            <w:vAlign w:val="center"/>
            <w:tcMar>
              <w:top w:w="80" w:type="dxa"/>
              <w:start w:w="100" w:type="dxa"/>
              <w:bottom w:w="80" w:type="dxa"/>
              <w:end w:w="100" w:type="dxa"/>
            </w:tcMar>
          </w:tcPr>
          <w:p>
            <w:pPr>
              <w:spacing w:after="0"/>
            </w:pPr>
            <w:r/>
            <w:r>
              <w:rPr>
                <w:rFonts w:ascii="Aptos" w:hAnsi="Aptos"/>
                <w:b w:val="0"/>
                <w:sz w:val="16"/>
              </w:rPr>
              <w:t>24 horas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Bloqueo progresivo 3ª+</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7 días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Bloqueo permanente</w:t>
            </w:r>
          </w:p>
        </w:tc>
        <w:tc>
          <w:tcPr>
            <w:tcW w:type="dxa" w:w="5100"/>
            <w:vAlign w:val="center"/>
            <w:tcMar>
              <w:top w:w="80" w:type="dxa"/>
              <w:start w:w="100" w:type="dxa"/>
              <w:bottom w:w="80" w:type="dxa"/>
              <w:end w:w="100" w:type="dxa"/>
            </w:tcMar>
          </w:tcPr>
          <w:p>
            <w:pPr>
              <w:spacing w:after="0"/>
            </w:pPr>
            <w:r/>
            <w:r>
              <w:rPr>
                <w:rFonts w:ascii="Aptos" w:hAnsi="Aptos"/>
                <w:b w:val="0"/>
                <w:sz w:val="16"/>
              </w:rPr>
              <w:t>security_strikes &gt;= 8 AND rate_limit_blocks &gt;= 3 AND risk_score &gt;= 25</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Reason de persistencia hostil</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PERSISTENT_HOSTILE_BEHAVIOR</w:t>
            </w:r>
          </w:p>
        </w:tc>
      </w:tr>
    </w:tbl>
    <w:p>
      <w:pPr>
        <w:spacing w:after="0"/>
      </w:pPr>
    </w:p>
    <w:p>
      <w:pPr>
        <w:pStyle w:val="ListBullet"/>
        <w:spacing w:after="40"/>
      </w:pPr>
      <w:r>
        <w:t>Estado persistente relevante: risk_score, security_strikes, rate_limit_blocks, blocked_until, permanent_block, last_reason.</w:t>
      </w:r>
    </w:p>
    <w:p>
      <w:pPr>
        <w:pStyle w:val="ListBullet"/>
        <w:spacing w:after="40"/>
      </w:pPr>
      <w:r>
        <w:t>Entrega durable de señales con fallback de cola e idempotencia para no perder evidencias por fallos transitorios.</w:t>
      </w:r>
    </w:p>
    <w:p>
      <w:pPr>
        <w:pStyle w:val="Heading2"/>
        <w:keepNext/>
      </w:pPr>
      <w:r>
        <w:t>5.3 Seguridad de Supabase verificada</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RPC / tabla</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Resultado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evaluate_inbound_call_security_v2</w:t>
            </w:r>
          </w:p>
        </w:tc>
        <w:tc>
          <w:tcPr>
            <w:tcW w:type="dxa" w:w="5100"/>
            <w:vAlign w:val="center"/>
            <w:tcMar>
              <w:top w:w="80" w:type="dxa"/>
              <w:start w:w="100" w:type="dxa"/>
              <w:bottom w:w="80" w:type="dxa"/>
              <w:end w:w="100" w:type="dxa"/>
            </w:tcMar>
          </w:tcPr>
          <w:p>
            <w:pPr>
              <w:spacing w:after="0"/>
            </w:pPr>
            <w:r/>
            <w:r>
              <w:rPr>
                <w:rFonts w:ascii="Aptos" w:hAnsi="Aptos"/>
                <w:b w:val="0"/>
                <w:sz w:val="16"/>
              </w:rPr>
              <w:t>EXECUTE: anon=false, authenticated=false, service_role=true, postgres=true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record_caller_security_signal_v2</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EXECUTE: anon=false, authenticated=false, service_role=true, postgres=true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caller_security_events</w:t>
            </w:r>
          </w:p>
        </w:tc>
        <w:tc>
          <w:tcPr>
            <w:tcW w:type="dxa" w:w="5100"/>
            <w:vAlign w:val="center"/>
            <w:tcMar>
              <w:top w:w="80" w:type="dxa"/>
              <w:start w:w="100" w:type="dxa"/>
              <w:bottom w:w="80" w:type="dxa"/>
              <w:end w:w="100" w:type="dxa"/>
            </w:tcMar>
          </w:tcPr>
          <w:p>
            <w:pPr>
              <w:spacing w:after="0"/>
            </w:pPr>
            <w:r/>
            <w:r>
              <w:rPr>
                <w:rFonts w:ascii="Aptos" w:hAnsi="Aptos"/>
                <w:b w:val="0"/>
                <w:sz w:val="16"/>
              </w:rPr>
              <w:t>RLS habilitado; sin políticas públicas detectadas en la revisión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caller_security_state</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RLS habilitado; sin políticas públicas detectadas en la revisión</w:t>
            </w:r>
          </w:p>
        </w:tc>
      </w:tr>
    </w:tbl>
    <w:p>
      <w:pPr>
        <w:spacing w:after="0"/>
      </w:pPr>
    </w:p>
    <w:p>
      <w:pPr>
        <w:pStyle w:val="Heading2"/>
        <w:keepNext/>
      </w:pPr>
      <w:r>
        <w:t>5.4 Frontera de ciberseguridad durante la conversación - V33</w:t>
      </w:r>
    </w:p>
    <w:p>
      <w:pPr>
        <w:pStyle w:val="ListBullet"/>
        <w:spacing w:after="40"/>
      </w:pPr>
      <w:r>
        <w:t>Intercepción de CALLER_TRANSCRIPT_COMPLETED antes de que texto hostil de alta confianza llegue al agente.</w:t>
      </w:r>
    </w:p>
    <w:p>
      <w:pPr>
        <w:pStyle w:val="ListBullet"/>
        <w:spacing w:after="40"/>
      </w:pPr>
      <w:r>
        <w:t>Detección high-confidence =&gt; cierre mediante la autoridad neutral de lifecycle, no mediante una orden libre del modelo.</w:t>
      </w:r>
    </w:p>
    <w:p>
      <w:pPr>
        <w:pStyle w:val="ListBullet"/>
        <w:spacing w:after="40"/>
      </w:pPr>
      <w:r>
        <w:t>Registro forense: matched_rule, transcript_length, SHA-256 y raw_transcript_stored=false.</w:t>
      </w:r>
    </w:p>
    <w:p>
      <w:pPr>
        <w:pStyle w:val="ListBullet"/>
        <w:spacing w:after="40"/>
      </w:pPr>
      <w:r>
        <w:t>Diagnóstico explícito de transcript_forwarded_to_lucia=false.</w:t>
      </w:r>
    </w:p>
    <w:p>
      <w:pPr>
        <w:pStyle w:val="CodeBlock"/>
        <w:spacing w:after="80"/>
      </w:pPr>
      <w:r>
        <w:t>Referencia: apps/control-plane/src/call-session-v33.ts</w:t>
      </w:r>
    </w:p>
    <w:p>
      <w:pPr>
        <w:pStyle w:val="Heading2"/>
        <w:keepNext/>
      </w:pPr>
      <w:r>
        <w:t>5.5 Denylist tenant + built-in - V34</w:t>
      </w:r>
    </w:p>
    <w:p>
      <w:r>
        <w:t>V34 añadió frases bloqueadas configurables por tenant y un fallback incorporado. Una coincidencia se eleva como riesgo HIGH, se registra y puede cerrar la llamada antes de entregar el transcript al agente.</w:t>
      </w:r>
    </w:p>
    <w:tbl>
      <w:tblPr>
        <w:tblW w:type="auto" w:w="0"/>
        <w:jc w:val="center"/>
        <w:tblLook w:firstColumn="1" w:firstRow="1" w:lastColumn="0" w:lastRow="0" w:noHBand="0" w:noVBand="1" w:val="04A0"/>
      </w:tblPr>
      <w:tblGrid>
        <w:gridCol w:w="10200"/>
      </w:tblGrid>
      <w:tr>
        <w:trPr>
          <w:cantSplit/>
        </w:trPr>
        <w:tc>
          <w:tcPr>
            <w:tcW w:type="dxa" w:w="10200"/>
            <w:shd w:fill="FFF2CC"/>
            <w:tcMar>
              <w:top w:w="130" w:type="dxa"/>
              <w:start w:w="150" w:type="dxa"/>
              <w:bottom w:w="130" w:type="dxa"/>
              <w:end w:w="150" w:type="dxa"/>
            </w:tcMar>
            <w:tcBorders>
              <w:top w:val="single" w:sz="8" w:color="BF9000"/>
              <w:left w:val="single" w:sz="8" w:color="BF9000"/>
              <w:bottom w:val="single" w:sz="8" w:color="BF9000"/>
              <w:right w:val="single" w:sz="8" w:color="BF9000"/>
            </w:tcBorders>
          </w:tcPr>
          <w:p>
            <w:pPr>
              <w:spacing w:after="60"/>
            </w:pPr>
            <w:r>
              <w:rPr>
                <w:b/>
                <w:color w:val="BF9000"/>
                <w:sz w:val="20"/>
              </w:rPr>
              <w:t>Decisión de reutilización</w:t>
            </w:r>
          </w:p>
          <w:p>
            <w:pPr>
              <w:spacing w:after="0"/>
            </w:pPr>
            <w:r>
              <w:rPr>
                <w:sz w:val="18"/>
              </w:rPr>
              <w:t>NO usar V34/regex como autoridad semántica principal en Gemini Fast. Puede conservarse sólo como defensa en profundidad para firmas inequívocas. La política principal debe entender intención y contexto, no una lista cerrada de frases.</w:t>
            </w:r>
          </w:p>
        </w:tc>
      </w:tr>
    </w:tbl>
    <w:p>
      <w:pPr>
        <w:spacing w:after="0"/>
      </w:pPr>
    </w:p>
    <w:p>
      <w:pPr>
        <w:pStyle w:val="Heading2"/>
        <w:keepNext/>
      </w:pPr>
      <w:r>
        <w:t>5.6 Semantic Security Boundary</w:t>
      </w:r>
    </w:p>
    <w:p>
      <w:r>
        <w:t>La arquitectura OpenAI también contiene una frontera semántica más adecuada para Gemini Fast. Sus categorías conceptuales incluyen PROMPT_EXFILTRATION, PROMPT_INJECTION, ROLE_ESCALATION y TOOL_MANIPULATION. La intención es reconocer el significado del intento, distinguiendo por ejemplo una consulta educativa de un intento real de comprometer al agente.</w:t>
      </w:r>
    </w:p>
    <w:p>
      <w:pPr>
        <w:pStyle w:val="CodeBlock"/>
        <w:spacing w:after="80"/>
      </w:pPr>
      <w:r>
        <w:t>Referencia: apps/control-plane/src/semantic-security-boundary.ts</w:t>
      </w:r>
    </w:p>
    <w:p>
      <w:pPr>
        <w:pStyle w:val="Heading2"/>
        <w:keepNext/>
      </w:pPr>
      <w:r>
        <w:t>5.7 Autorización de tools - precursor</w:t>
      </w:r>
    </w:p>
    <w:p>
      <w:pPr>
        <w:pStyle w:val="ListBullet"/>
        <w:spacing w:after="40"/>
      </w:pPr>
      <w:r>
        <w:t>tool-gateway.ts: tool conocida, handler permitido, argumentos/política y contexto de tenant.</w:t>
      </w:r>
    </w:p>
    <w:p>
      <w:pPr>
        <w:pStyle w:val="ListBullet"/>
        <w:spacing w:after="40"/>
      </w:pPr>
      <w:r>
        <w:t>public-tool-authorization.ts: capabilities por tenant.</w:t>
      </w:r>
    </w:p>
    <w:p>
      <w:pPr>
        <w:pStyle w:val="ListBullet"/>
        <w:spacing w:after="40"/>
      </w:pPr>
      <w:r>
        <w:t>semantic-tool-authorization-port.ts: frontera de autorización desacoplada de una versión concreta de CallSession.</w:t>
      </w:r>
    </w:p>
    <w:p>
      <w:pPr>
        <w:pStyle w:val="ListBullet"/>
        <w:spacing w:after="40"/>
      </w:pPr>
      <w:r>
        <w:t>Principio heredado: una decisión semántica del modelo no equivale automáticamente a autoridad para producir efectos.</w:t>
      </w:r>
    </w:p>
    <w:p>
      <w:pPr>
        <w:pStyle w:val="Heading2"/>
        <w:keepNext/>
      </w:pPr>
      <w:r>
        <w:t>5.8 Controles de dominio de reservas ya estudiados</w:t>
      </w:r>
    </w:p>
    <w:p>
      <w:pPr>
        <w:pStyle w:val="ListBullet"/>
        <w:spacing w:after="40"/>
      </w:pPr>
      <w:r>
        <w:t>Identidad/contacto de reserva ligado al caller cuando corresponde.</w:t>
      </w:r>
    </w:p>
    <w:p>
      <w:pPr>
        <w:pStyle w:val="ListBullet"/>
        <w:spacing w:after="40"/>
      </w:pPr>
      <w:r>
        <w:t>Cancelación y modificación con confirmación y selección explícita.</w:t>
      </w:r>
    </w:p>
    <w:p>
      <w:pPr>
        <w:pStyle w:val="ListBullet"/>
        <w:spacing w:after="40"/>
      </w:pPr>
      <w:r>
        <w:t>Revalidación de disponibilidad antes de modificar.</w:t>
      </w:r>
    </w:p>
    <w:p>
      <w:pPr>
        <w:pStyle w:val="ListBullet"/>
        <w:spacing w:after="40"/>
      </w:pPr>
      <w:r>
        <w:t>Concurrencia y propiedad de mesas/reservas en backend.</w:t>
      </w:r>
    </w:p>
    <w:p>
      <w:pPr>
        <w:pStyle w:val="ListBullet"/>
        <w:spacing w:after="40"/>
      </w:pPr>
      <w:r>
        <w:t>Autoridad temporal y alcance de fechas; no inventar ni ampliar rangos por iniciativa propia.</w:t>
      </w:r>
    </w:p>
    <w:p>
      <w:pPr>
        <w:pStyle w:val="ListBullet"/>
        <w:spacing w:after="40"/>
      </w:pPr>
      <w:r>
        <w:t>Backend como autoridad de verdad: el modelo no debe afirmar BOOKED sin resultado real.</w:t>
      </w:r>
    </w:p>
    <w:p>
      <w:pPr>
        <w:pStyle w:val="Heading1"/>
        <w:keepNext/>
      </w:pPr>
      <w:r>
        <w:t>6. Controles actuales - Gemini Fast</w:t>
      </w:r>
    </w:p>
    <w:p>
      <w:pPr>
        <w:pStyle w:val="Heading2"/>
        <w:keepNext/>
      </w:pPr>
      <w:r>
        <w:t>6.1 Generic FastToolAuthorizationKernel - VERIFICADO EN CÓDIGO</w:t>
      </w:r>
    </w:p>
    <w:p>
      <w:r>
        <w:t>PR #91 introdujo un kernel genérico, call-scoped, que intercepta todas las function calls antes de handlers y efectos externos. Cada tool declarada necesita una política local; si falta política, el setup/kernel falla cerrado.</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Authority</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Uso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SYSTEM_AUTHORITY</w:t>
            </w:r>
          </w:p>
        </w:tc>
        <w:tc>
          <w:tcPr>
            <w:tcW w:type="dxa" w:w="5100"/>
            <w:vAlign w:val="center"/>
            <w:tcMar>
              <w:top w:w="80" w:type="dxa"/>
              <w:start w:w="100" w:type="dxa"/>
              <w:bottom w:w="80" w:type="dxa"/>
              <w:end w:w="100" w:type="dxa"/>
            </w:tcMar>
          </w:tcPr>
          <w:p>
            <w:pPr>
              <w:spacing w:after="0"/>
            </w:pPr>
            <w:r/>
            <w:r>
              <w:rPr>
                <w:rFonts w:ascii="Aptos" w:hAnsi="Aptos"/>
                <w:b w:val="0"/>
                <w:sz w:val="16"/>
              </w:rPr>
              <w:t>Autoridad interna registrada.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SEMANTIC_NECESSITY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Lectura necesaria por el significado completo del turno.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CALLER_REQUEST</w:t>
            </w:r>
          </w:p>
        </w:tc>
        <w:tc>
          <w:tcPr>
            <w:tcW w:type="dxa" w:w="5100"/>
            <w:vAlign w:val="center"/>
            <w:tcMar>
              <w:top w:w="80" w:type="dxa"/>
              <w:start w:w="100" w:type="dxa"/>
              <w:bottom w:w="80" w:type="dxa"/>
              <w:end w:w="100" w:type="dxa"/>
            </w:tcMar>
          </w:tcPr>
          <w:p>
            <w:pPr>
              <w:spacing w:after="0"/>
            </w:pPr>
            <w:r/>
            <w:r>
              <w:rPr>
                <w:rFonts w:ascii="Aptos" w:hAnsi="Aptos"/>
                <w:b w:val="0"/>
                <w:sz w:val="16"/>
              </w:rPr>
              <w:t>El caller ha pedido semánticamente la acción.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CALLER_CONFIRMATION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El caller ha confirmado semánticamente la acción.</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EXPLICIT_CONFIRMATION</w:t>
            </w:r>
          </w:p>
        </w:tc>
        <w:tc>
          <w:tcPr>
            <w:tcW w:type="dxa" w:w="5100"/>
            <w:vAlign w:val="center"/>
            <w:tcMar>
              <w:top w:w="80" w:type="dxa"/>
              <w:start w:w="100" w:type="dxa"/>
              <w:bottom w:w="80" w:type="dxa"/>
              <w:end w:w="100" w:type="dxa"/>
            </w:tcMar>
          </w:tcPr>
          <w:p>
            <w:pPr>
              <w:spacing w:after="0"/>
            </w:pPr>
            <w:r/>
            <w:r>
              <w:rPr>
                <w:rFonts w:ascii="Aptos" w:hAnsi="Aptos"/>
                <w:b w:val="0"/>
                <w:sz w:val="16"/>
              </w:rPr>
              <w:t>Confirmación explícita de una acción concreta.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CALLER_AUTHORITY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Fuentes permitidas, p.ej. EXPLICIT_REQUEST / CONFIRMED_OFFER.</w:t>
            </w:r>
          </w:p>
        </w:tc>
      </w:tr>
    </w:tbl>
    <w:p>
      <w:pPr>
        <w:spacing w:after="0"/>
      </w:pP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Effect</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Ejemplo de riesgo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READ_CONTEXT</w:t>
            </w:r>
          </w:p>
        </w:tc>
        <w:tc>
          <w:tcPr>
            <w:tcW w:type="dxa" w:w="5100"/>
            <w:vAlign w:val="center"/>
            <w:tcMar>
              <w:top w:w="80" w:type="dxa"/>
              <w:start w:w="100" w:type="dxa"/>
              <w:bottom w:w="80" w:type="dxa"/>
              <w:end w:w="100" w:type="dxa"/>
            </w:tcMar>
          </w:tcPr>
          <w:p>
            <w:pPr>
              <w:spacing w:after="0"/>
            </w:pPr>
            <w:r/>
            <w:r>
              <w:rPr>
                <w:rFonts w:ascii="Aptos" w:hAnsi="Aptos"/>
                <w:b w:val="0"/>
                <w:sz w:val="16"/>
              </w:rPr>
              <w:t>Reloj/contexto del sistema.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READ_BUSINESS_DATA</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Consulta de datos de negocio.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MUTATE_BUSINESS_DATA</w:t>
            </w:r>
          </w:p>
        </w:tc>
        <w:tc>
          <w:tcPr>
            <w:tcW w:type="dxa" w:w="5100"/>
            <w:vAlign w:val="center"/>
            <w:tcMar>
              <w:top w:w="80" w:type="dxa"/>
              <w:start w:w="100" w:type="dxa"/>
              <w:bottom w:w="80" w:type="dxa"/>
              <w:end w:w="100" w:type="dxa"/>
            </w:tcMar>
          </w:tcPr>
          <w:p>
            <w:pPr>
              <w:spacing w:after="0"/>
            </w:pPr>
            <w:r/>
            <w:r>
              <w:rPr>
                <w:rFonts w:ascii="Aptos" w:hAnsi="Aptos"/>
                <w:b w:val="0"/>
                <w:sz w:val="16"/>
              </w:rPr>
              <w:t>Crear/modificar reserva.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DESTRUCTIVE_ACTION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Cancelar/eliminar.</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EXTERNAL_COMMUNICATION</w:t>
            </w:r>
          </w:p>
        </w:tc>
        <w:tc>
          <w:tcPr>
            <w:tcW w:type="dxa" w:w="5100"/>
            <w:vAlign w:val="center"/>
            <w:tcMar>
              <w:top w:w="80" w:type="dxa"/>
              <w:start w:w="100" w:type="dxa"/>
              <w:bottom w:w="80" w:type="dxa"/>
              <w:end w:w="100" w:type="dxa"/>
            </w:tcMar>
          </w:tcPr>
          <w:p>
            <w:pPr>
              <w:spacing w:after="0"/>
            </w:pPr>
            <w:r/>
            <w:r>
              <w:rPr>
                <w:rFonts w:ascii="Aptos" w:hAnsi="Aptos"/>
                <w:b w:val="0"/>
                <w:sz w:val="16"/>
              </w:rPr>
              <w:t>Enviar/comunicar fuera.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TERMINAL_CALL_ACTION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Transferencia/cierre de llamada.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FINANCIAL_ACTION</w:t>
            </w:r>
          </w:p>
        </w:tc>
        <w:tc>
          <w:tcPr>
            <w:tcW w:type="dxa" w:w="5100"/>
            <w:vAlign w:val="center"/>
            <w:tcMar>
              <w:top w:w="80" w:type="dxa"/>
              <w:start w:w="100" w:type="dxa"/>
              <w:bottom w:w="80" w:type="dxa"/>
              <w:end w:w="100" w:type="dxa"/>
            </w:tcMar>
          </w:tcPr>
          <w:p>
            <w:pPr>
              <w:spacing w:after="0"/>
            </w:pPr>
            <w:r/>
            <w:r>
              <w:rPr>
                <w:rFonts w:ascii="Aptos" w:hAnsi="Aptos"/>
                <w:b w:val="0"/>
                <w:sz w:val="16"/>
              </w:rPr>
              <w:t>Pagos/cargos futuros.</w:t>
            </w:r>
          </w:p>
        </w:tc>
      </w:tr>
    </w:tbl>
    <w:p>
      <w:pPr>
        <w:spacing w:after="0"/>
      </w:pPr>
    </w:p>
    <w:p>
      <w:pPr>
        <w:pStyle w:val="ListBullet"/>
        <w:spacing w:after="40"/>
      </w:pPr>
      <w:r>
        <w:t>Las políticas horizontales son mínimos del producto y una extensión no puede sobreescribirlas.</w:t>
      </w:r>
    </w:p>
    <w:p>
      <w:pPr>
        <w:pStyle w:val="ListBullet"/>
        <w:spacing w:after="40"/>
      </w:pPr>
      <w:r>
        <w:t>El bootstrap autenticado decide qué tools están disponibles para tenant/call; el registro local decide el contrato mínimo de autoridad/efecto/capability.</w:t>
      </w:r>
    </w:p>
    <w:p>
      <w:pPr>
        <w:pStyle w:val="ListBullet"/>
        <w:spacing w:after="40"/>
      </w:pPr>
      <w:r>
        <w:t>La evidencia del caller se normaliza y se valida contra el transcript capturado cuando la política la exige.</w:t>
      </w:r>
    </w:p>
    <w:p>
      <w:pPr>
        <w:pStyle w:val="ListBullet"/>
        <w:spacing w:after="40"/>
      </w:pPr>
      <w:r>
        <w:t>No usa listas rígidas para decidir intención. Gemini interpreta lenguaje natural; el kernel valida autoridad/evidencia/política de forma determinista.</w:t>
      </w:r>
    </w:p>
    <w:p>
      <w:pPr>
        <w:pStyle w:val="CodeBlock"/>
        <w:spacing w:after="80"/>
      </w:pPr>
      <w:r>
        <w:t>Referencia: apps/gemini-media-edge/src/fast-tool-authorization-kernel.mjs</w:t>
        <w:br/>
        <w:t>PR #91: feat: add generic Fast tool authorization kernel</w:t>
      </w:r>
    </w:p>
    <w:p>
      <w:pPr>
        <w:pStyle w:val="Heading2"/>
        <w:keepNext/>
      </w:pPr>
      <w:r>
        <w:t>6.2 Políticas horizontales actuales</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Tool</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Authority</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Effect</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Capability</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Evidencia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6"/>
              </w:rPr>
              <w:t>get_authoritative_datetime</w:t>
            </w:r>
          </w:p>
        </w:tc>
        <w:tc>
          <w:tcPr>
            <w:tcW w:type="dxa" w:w="2040"/>
            <w:vAlign w:val="center"/>
            <w:tcMar>
              <w:top w:w="80" w:type="dxa"/>
              <w:start w:w="100" w:type="dxa"/>
              <w:bottom w:w="80" w:type="dxa"/>
              <w:end w:w="100" w:type="dxa"/>
            </w:tcMar>
          </w:tcPr>
          <w:p>
            <w:pPr>
              <w:spacing w:after="0"/>
            </w:pPr>
            <w:r/>
            <w:r>
              <w:rPr>
                <w:rFonts w:ascii="Aptos" w:hAnsi="Aptos"/>
                <w:b w:val="0"/>
                <w:sz w:val="16"/>
              </w:rPr>
              <w:t>SEMANTIC_NECESSITY</w:t>
            </w:r>
          </w:p>
        </w:tc>
        <w:tc>
          <w:tcPr>
            <w:tcW w:type="dxa" w:w="2040"/>
            <w:vAlign w:val="center"/>
            <w:tcMar>
              <w:top w:w="80" w:type="dxa"/>
              <w:start w:w="100" w:type="dxa"/>
              <w:bottom w:w="80" w:type="dxa"/>
              <w:end w:w="100" w:type="dxa"/>
            </w:tcMar>
          </w:tcPr>
          <w:p>
            <w:pPr>
              <w:spacing w:after="0"/>
            </w:pPr>
            <w:r/>
            <w:r>
              <w:rPr>
                <w:rFonts w:ascii="Aptos" w:hAnsi="Aptos"/>
                <w:b w:val="0"/>
                <w:sz w:val="16"/>
              </w:rPr>
              <w:t>READ_CONTEXT</w:t>
            </w:r>
          </w:p>
        </w:tc>
        <w:tc>
          <w:tcPr>
            <w:tcW w:type="dxa" w:w="2040"/>
            <w:vAlign w:val="center"/>
            <w:tcMar>
              <w:top w:w="80" w:type="dxa"/>
              <w:start w:w="100" w:type="dxa"/>
              <w:bottom w:w="80" w:type="dxa"/>
              <w:end w:w="100" w:type="dxa"/>
            </w:tcMar>
          </w:tcPr>
          <w:p>
            <w:pPr>
              <w:spacing w:after="0"/>
            </w:pPr>
            <w:r/>
            <w:r>
              <w:rPr>
                <w:rFonts w:ascii="Aptos" w:hAnsi="Aptos"/>
                <w:b w:val="0"/>
                <w:sz w:val="16"/>
              </w:rPr>
              <w:t>time.authoritative</w:t>
            </w:r>
          </w:p>
        </w:tc>
        <w:tc>
          <w:tcPr>
            <w:tcW w:type="dxa" w:w="2040"/>
            <w:vAlign w:val="center"/>
            <w:tcMar>
              <w:top w:w="80" w:type="dxa"/>
              <w:start w:w="100" w:type="dxa"/>
              <w:bottom w:w="80" w:type="dxa"/>
              <w:end w:w="100" w:type="dxa"/>
            </w:tcMar>
          </w:tcPr>
          <w:p>
            <w:pPr>
              <w:spacing w:after="0"/>
            </w:pPr>
            <w:r/>
            <w:r>
              <w:rPr>
                <w:rFonts w:ascii="Aptos" w:hAnsi="Aptos"/>
                <w:b w:val="0"/>
                <w:sz w:val="16"/>
              </w:rPr>
              <w:t>NONE (read-only)</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6"/>
              </w:rPr>
              <w:t>transfer_call</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CALLER_AUTHORITY</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TERMINAL_CALL_ACTION</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call.transfer</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CALLER_TRANSCRIPT</w:t>
            </w:r>
          </w:p>
        </w:tc>
      </w:tr>
    </w:tbl>
    <w:p>
      <w:pPr>
        <w:spacing w:after="0"/>
      </w:pPr>
    </w:p>
    <w:tbl>
      <w:tblPr>
        <w:tblW w:type="auto" w:w="0"/>
        <w:jc w:val="center"/>
        <w:tblLook w:firstColumn="1" w:firstRow="1" w:lastColumn="0" w:lastRow="0" w:noHBand="0" w:noVBand="1" w:val="04A0"/>
      </w:tblPr>
      <w:tblGrid>
        <w:gridCol w:w="10200"/>
      </w:tblGrid>
      <w:tr>
        <w:trPr>
          <w:cantSplit/>
        </w:trPr>
        <w:tc>
          <w:tcPr>
            <w:tcW w:type="dxa" w:w="10200"/>
            <w:shd w:fill="E2F0D9"/>
            <w:tcMar>
              <w:top w:w="130" w:type="dxa"/>
              <w:start w:w="150" w:type="dxa"/>
              <w:bottom w:w="130" w:type="dxa"/>
              <w:end w:w="150" w:type="dxa"/>
            </w:tcMar>
            <w:tcBorders>
              <w:top w:val="single" w:sz="8" w:color="548235"/>
              <w:left w:val="single" w:sz="8" w:color="548235"/>
              <w:bottom w:val="single" w:sz="8" w:color="548235"/>
              <w:right w:val="single" w:sz="8" w:color="548235"/>
            </w:tcBorders>
          </w:tcPr>
          <w:p>
            <w:pPr>
              <w:spacing w:after="60"/>
            </w:pPr>
            <w:r>
              <w:rPr>
                <w:b/>
                <w:color w:val="548235"/>
                <w:sz w:val="20"/>
              </w:rPr>
              <w:t>Regla estructural</w:t>
            </w:r>
          </w:p>
          <w:p>
            <w:pPr>
              <w:spacing w:after="0"/>
            </w:pPr>
            <w:r>
              <w:rPr>
                <w:sz w:val="18"/>
              </w:rPr>
              <w:t>Sólo una necesidad semántica READ-ONLY puede omitir evidencia del transcript. Una política effectful no puede optar por evidence=NONE. Esto evita que problemas de timing de transcripción debiliten acciones con efectos.</w:t>
            </w:r>
          </w:p>
        </w:tc>
      </w:tr>
    </w:tbl>
    <w:p>
      <w:pPr>
        <w:spacing w:after="0"/>
      </w:pPr>
    </w:p>
    <w:p>
      <w:pPr>
        <w:pStyle w:val="Heading2"/>
        <w:keepNext/>
      </w:pPr>
      <w:r>
        <w:t>6.3 Incidente temporal y corrección - PR #92</w:t>
      </w:r>
    </w:p>
    <w:p>
      <w:r>
        <w:t>Dos llamadas reales mostraron dos fallos de integración semántica/temporal: uso demasiado amplio de la palabra “tiempo” en contexto meteorológico y bloqueo de una petición de fecha cuando la function call llegó antes que el transcript del provider. PR #92 corrigió ambos sin tocar el hot path.</w:t>
      </w:r>
    </w:p>
    <w:p>
      <w:pPr>
        <w:pStyle w:val="ListBullet"/>
        <w:spacing w:after="40"/>
      </w:pPr>
      <w:r>
        <w:t>get_authoritative_datetime queda limitado a reloj/calendario actual y excluye meteorología, clima, previsión, duración y significados no temporales de “tiempo”.</w:t>
      </w:r>
    </w:p>
    <w:p>
      <w:pPr>
        <w:pStyle w:val="ListBullet"/>
        <w:spacing w:after="40"/>
      </w:pPr>
      <w:r>
        <w:t>SEMANTIC_NECESSITY read-only puede autorizarse sin transcript para no depender del orden de llegada de la transcripción.</w:t>
      </w:r>
    </w:p>
    <w:p>
      <w:pPr>
        <w:pStyle w:val="ListBullet"/>
        <w:spacing w:after="40"/>
      </w:pPr>
      <w:r>
        <w:t>Tools mutantes/destructivas/terminales siguen exigiendo evidencia del caller.</w:t>
      </w:r>
    </w:p>
    <w:p>
      <w:pPr>
        <w:pStyle w:val="ListBullet"/>
        <w:spacing w:after="40"/>
      </w:pPr>
      <w:r>
        <w:t>Una autoridad incorrecta sigue bloqueándose antes del handler de Worker clock.</w:t>
      </w:r>
    </w:p>
    <w:p>
      <w:pPr>
        <w:pStyle w:val="CodeBlock"/>
        <w:spacing w:after="80"/>
      </w:pPr>
      <w:r>
        <w:t>PR #92 merge SHA: 12773c52a1f10dad6de160d0c41ead2d2eecfecf</w:t>
        <w:br/>
        <w:t>Hot-path safety declarado y verificado por alcance: no fast-runtime.mjs, no model/VAD/audio bridge/codecs/resampler/buffers.</w:t>
      </w:r>
    </w:p>
    <w:p>
      <w:pPr>
        <w:pStyle w:val="Heading2"/>
        <w:keepNext/>
      </w:pPr>
      <w:r>
        <w:t>6.4 Autoridad temporal</w:t>
      </w:r>
    </w:p>
    <w:p>
      <w:pPr>
        <w:pStyle w:val="ListBullet"/>
        <w:spacing w:after="40"/>
      </w:pPr>
      <w:r>
        <w:t>Fuente autoritativa: WORKER_CLOCK.</w:t>
      </w:r>
    </w:p>
    <w:p>
      <w:pPr>
        <w:pStyle w:val="ListBullet"/>
        <w:spacing w:after="40"/>
      </w:pPr>
      <w:r>
        <w:t>Zona horaria derivada de tenant cuando es válida; fallback configurado a Europe/Madrid.</w:t>
      </w:r>
    </w:p>
    <w:p>
      <w:pPr>
        <w:pStyle w:val="ListBullet"/>
        <w:spacing w:after="40"/>
      </w:pPr>
      <w:r>
        <w:t>La semántica pertenece al modelo; la hora/fecha real pertenece al Worker.</w:t>
      </w:r>
    </w:p>
    <w:p>
      <w:pPr>
        <w:pStyle w:val="ListBullet"/>
        <w:spacing w:after="40"/>
      </w:pPr>
      <w:r>
        <w:t>No existe fallback al reloj local del Media Edge si el Worker autoritativo no está disponible.</w:t>
      </w:r>
    </w:p>
    <w:p>
      <w:pPr>
        <w:pStyle w:val="ListBullet"/>
        <w:spacing w:after="40"/>
      </w:pPr>
      <w:r>
        <w:t>La auditoría segura de éxito persiste sólo kind=AUTHORITATIVE_DATETIME y source=WORKER_CLOCK, no el timestamp real ni el transcript.</w:t>
      </w:r>
    </w:p>
    <w:p>
      <w:pPr>
        <w:pStyle w:val="Heading2"/>
        <w:keepNext/>
      </w:pPr>
      <w:r>
        <w:t>6.5 Human handoff</w:t>
      </w:r>
    </w:p>
    <w:p>
      <w:pPr>
        <w:pStyle w:val="ListBullet"/>
        <w:spacing w:after="40"/>
      </w:pPr>
      <w:r>
        <w:t>La transferencia real está operativa y se conserva una política de autorización específica como defensa en profundidad.</w:t>
      </w:r>
    </w:p>
    <w:p>
      <w:pPr>
        <w:pStyle w:val="ListBullet"/>
        <w:spacing w:after="40"/>
      </w:pPr>
      <w:r>
        <w:t>El kernel exige CALLER_AUTHORITY con fuente semántica permitida y evidencia grounded en el turno actual.</w:t>
      </w:r>
    </w:p>
    <w:p>
      <w:pPr>
        <w:pStyle w:val="ListBullet"/>
        <w:spacing w:after="40"/>
      </w:pPr>
      <w:r>
        <w:t>Una tool proposal de Gemini no puede ejecutar transfer_call si la autoridad/evidencia no pasa el kernel.</w:t>
      </w:r>
    </w:p>
    <w:p>
      <w:pPr>
        <w:pStyle w:val="ListBullet"/>
        <w:spacing w:after="40"/>
      </w:pPr>
      <w:r>
        <w:t>No documentar como garantía universal comportamientos acústicos secundarios (por ejemplo ringback) sin evidencia por llamada/proveedor.</w:t>
      </w:r>
    </w:p>
    <w:p>
      <w:pPr>
        <w:pStyle w:val="Heading2"/>
      </w:pPr>
      <w:r>
        <w:t>6.6 Validación E2E real - llamada de seguridad/control</w:t>
      </w:r>
    </w:p>
    <w:p>
      <w:pPr/>
      <w:r>
        <w:t>Llamada real del 28 de agosto de 2026 usada para validar selección temporal y human handoff. No se persistió transcript bruto; la interpretación de la secuencia se apoya en telemetría segura y en la reconstrucción aportada por el caller inmediatamente después de la prueba.</w:t>
      </w:r>
    </w:p>
    <w:p>
      <w:pPr>
        <w:pStyle w:val="ListBullet"/>
      </w:pPr>
      <w:r>
        <w:t>Meteorología: el caller habló primero sobre el tiempo en Benidorm. En la llamada aparecieron dos ejecuciones autorizadas de get_authoritative_datetime; una ocurrió antes de la pregunta explícita por la hora y otra después. Dado que no existe transcript persistido, la primera invocación se registra como observación de posible over-trigger/duplicación, no como vulnerabilidad confirmada.</w:t>
      </w:r>
    </w:p>
    <w:p>
      <w:pPr>
        <w:pStyle w:val="ListBullet"/>
      </w:pPr>
      <w:r>
        <w:t>Hora: una invocación posterior de get_authoritative_datetime fue autorizada como SEMANTIC_NECESSITY / READ_CONTEXT y terminó en AUTHORITATIVE_DATETIME / WORKER_CLOCK.</w:t>
      </w:r>
    </w:p>
    <w:p>
      <w:pPr>
        <w:pStyle w:val="ListBullet"/>
      </w:pPr>
      <w:r>
        <w:t>Transferencia: el caller expresó que el asistente ya no podía ayudarle con lo que necesitaba; Gemini ofreció transferir a un compañero y el caller respondió explícitamente que sí. El backend registró transfer_call con source=CONFIRMED_OFFER, HUMAN_HANDOFF_ACCEPTED y estado final TRANSFERRED.</w:t>
      </w:r>
    </w:p>
    <w:p>
      <w:pPr>
        <w:pStyle w:val="ListBullet"/>
      </w:pPr>
      <w:r>
        <w:t>Destino remoto: el caller escuchó que el número remoto comenzó a sonar y respondió un contestador/sistema automático. El registro de handoff refleja respuesta del destino; posteriormente el caller colgó. Este comportamiento es coherente con una transferencia realmente iniciada y atendida por un sistema automático.</w:t>
      </w:r>
    </w:p>
    <w:p>
      <w:pPr>
        <w:pStyle w:val="ListBullet"/>
      </w:pPr>
      <w:r>
        <w:t>Conclusión de seguridad: la transferencia de esta prueba es PASS de consentimiento y ejecución. No constituye un fallo de confirmation integrity. La observación temporal queda ABIERTA hasta poder reproducirse de forma controlada con una llamada dedicada.</w:t>
      </w:r>
    </w:p>
    <w:p>
      <w:pPr>
        <w:pStyle w:val="CodeBlock"/>
      </w:pPr>
      <w:r>
        <w:t>E2E handoff observado:</w:t>
        <w:br/>
        <w:t>caller expresa necesidad externa -&gt; Gemini ofrece transferencia -&gt; caller confirma "sí" -&gt; TOOL_AUTHORIZATION_ALLOWED (CONFIRMED_OFFER) -&gt; HUMAN_HANDOFF_ACCEPTED -&gt; TRANSFERRED -&gt; destino automático responde -&gt; caller cuelga</w:t>
      </w:r>
    </w:p>
    <w:p>
      <w:pPr>
        <w:pStyle w:val="Heading1"/>
        <w:keepNext/>
      </w:pPr>
      <w:r>
        <w:t>7. Qué reutilizar, adaptar o no copiar</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Pieza</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Decisión</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Motivo</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Caller security RPC/state</w:t>
            </w:r>
          </w:p>
        </w:tc>
        <w:tc>
          <w:tcPr>
            <w:tcW w:type="dxa" w:w="3400"/>
            <w:vAlign w:val="center"/>
            <w:tcMar>
              <w:top w:w="80" w:type="dxa"/>
              <w:start w:w="100" w:type="dxa"/>
              <w:bottom w:w="80" w:type="dxa"/>
              <w:end w:w="100" w:type="dxa"/>
            </w:tcMar>
          </w:tcPr>
          <w:p>
            <w:pPr>
              <w:spacing w:after="0"/>
            </w:pPr>
            <w:r/>
            <w:r>
              <w:rPr>
                <w:rFonts w:ascii="Aptos" w:hAnsi="Aptos"/>
                <w:b w:val="0"/>
                <w:sz w:val="15"/>
              </w:rPr>
              <w:t>REUTILIZAR</w:t>
            </w:r>
          </w:p>
        </w:tc>
        <w:tc>
          <w:tcPr>
            <w:tcW w:type="dxa" w:w="3400"/>
            <w:vAlign w:val="center"/>
            <w:tcMar>
              <w:top w:w="80" w:type="dxa"/>
              <w:start w:w="100" w:type="dxa"/>
              <w:bottom w:w="80" w:type="dxa"/>
              <w:end w:w="100" w:type="dxa"/>
            </w:tcMar>
          </w:tcPr>
          <w:p>
            <w:pPr>
              <w:spacing w:after="0"/>
            </w:pPr>
            <w:r/>
            <w:r>
              <w:rPr>
                <w:rFonts w:ascii="Aptos" w:hAnsi="Aptos"/>
                <w:b w:val="0"/>
                <w:sz w:val="15"/>
              </w:rPr>
              <w:t>Persistencia, rate-limit, strikes, bloqueos y tenant-scoped identity son horizontales.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Telnyx signature/admission identity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REUTILIZAR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Debe seguir siendo frontera de confianza para llamadas entrantes.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Durable signal delivery</w:t>
            </w:r>
          </w:p>
        </w:tc>
        <w:tc>
          <w:tcPr>
            <w:tcW w:type="dxa" w:w="3400"/>
            <w:vAlign w:val="center"/>
            <w:tcMar>
              <w:top w:w="80" w:type="dxa"/>
              <w:start w:w="100" w:type="dxa"/>
              <w:bottom w:w="80" w:type="dxa"/>
              <w:end w:w="100" w:type="dxa"/>
            </w:tcMar>
          </w:tcPr>
          <w:p>
            <w:pPr>
              <w:spacing w:after="0"/>
            </w:pPr>
            <w:r/>
            <w:r>
              <w:rPr>
                <w:rFonts w:ascii="Aptos" w:hAnsi="Aptos"/>
                <w:b w:val="0"/>
                <w:sz w:val="15"/>
              </w:rPr>
              <w:t>REUTILIZAR</w:t>
            </w:r>
          </w:p>
        </w:tc>
        <w:tc>
          <w:tcPr>
            <w:tcW w:type="dxa" w:w="3400"/>
            <w:vAlign w:val="center"/>
            <w:tcMar>
              <w:top w:w="80" w:type="dxa"/>
              <w:start w:w="100" w:type="dxa"/>
              <w:bottom w:w="80" w:type="dxa"/>
              <w:end w:w="100" w:type="dxa"/>
            </w:tcMar>
          </w:tcPr>
          <w:p>
            <w:pPr>
              <w:spacing w:after="0"/>
            </w:pPr>
            <w:r/>
            <w:r>
              <w:rPr>
                <w:rFonts w:ascii="Aptos" w:hAnsi="Aptos"/>
                <w:b w:val="0"/>
                <w:sz w:val="15"/>
              </w:rPr>
              <w:t>Adecuado para señales de seguridad fuera del hot path.</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Semantic security categories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ADAPTAR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Buen modelo conceptual; integrar con Gemini Fast y el kernel genérico.</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V33 pre-agent interception</w:t>
            </w:r>
          </w:p>
        </w:tc>
        <w:tc>
          <w:tcPr>
            <w:tcW w:type="dxa" w:w="3400"/>
            <w:vAlign w:val="center"/>
            <w:tcMar>
              <w:top w:w="80" w:type="dxa"/>
              <w:start w:w="100" w:type="dxa"/>
              <w:bottom w:w="80" w:type="dxa"/>
              <w:end w:w="100" w:type="dxa"/>
            </w:tcMar>
          </w:tcPr>
          <w:p>
            <w:pPr>
              <w:spacing w:after="0"/>
            </w:pPr>
            <w:r/>
            <w:r>
              <w:rPr>
                <w:rFonts w:ascii="Aptos" w:hAnsi="Aptos"/>
                <w:b w:val="0"/>
                <w:sz w:val="15"/>
              </w:rPr>
              <w:t>ADAPTAR</w:t>
            </w:r>
          </w:p>
        </w:tc>
        <w:tc>
          <w:tcPr>
            <w:tcW w:type="dxa" w:w="3400"/>
            <w:vAlign w:val="center"/>
            <w:tcMar>
              <w:top w:w="80" w:type="dxa"/>
              <w:start w:w="100" w:type="dxa"/>
              <w:bottom w:w="80" w:type="dxa"/>
              <w:end w:w="100" w:type="dxa"/>
            </w:tcMar>
          </w:tcPr>
          <w:p>
            <w:pPr>
              <w:spacing w:after="0"/>
            </w:pPr>
            <w:r/>
            <w:r>
              <w:rPr>
                <w:rFonts w:ascii="Aptos" w:hAnsi="Aptos"/>
                <w:b w:val="0"/>
                <w:sz w:val="15"/>
              </w:rPr>
              <w:t>Patrón útil para alta confianza, pero sin convertir regex en autoridad semántica.</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V34 blocked phrases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NO COPIAR COMO AUTORIDAD</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Sólo defensa en profundidad opcional.</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OpenAI ToolGateway</w:t>
            </w:r>
          </w:p>
        </w:tc>
        <w:tc>
          <w:tcPr>
            <w:tcW w:type="dxa" w:w="3400"/>
            <w:vAlign w:val="center"/>
            <w:tcMar>
              <w:top w:w="80" w:type="dxa"/>
              <w:start w:w="100" w:type="dxa"/>
              <w:bottom w:w="80" w:type="dxa"/>
              <w:end w:w="100" w:type="dxa"/>
            </w:tcMar>
          </w:tcPr>
          <w:p>
            <w:pPr>
              <w:spacing w:after="0"/>
            </w:pPr>
            <w:r/>
            <w:r>
              <w:rPr>
                <w:rFonts w:ascii="Aptos" w:hAnsi="Aptos"/>
                <w:b w:val="0"/>
                <w:sz w:val="15"/>
              </w:rPr>
              <w:t>NO PORTAR LITERALMENTE</w:t>
            </w:r>
          </w:p>
        </w:tc>
        <w:tc>
          <w:tcPr>
            <w:tcW w:type="dxa" w:w="3400"/>
            <w:vAlign w:val="center"/>
            <w:tcMar>
              <w:top w:w="80" w:type="dxa"/>
              <w:start w:w="100" w:type="dxa"/>
              <w:bottom w:w="80" w:type="dxa"/>
              <w:end w:w="100" w:type="dxa"/>
            </w:tcMar>
          </w:tcPr>
          <w:p>
            <w:pPr>
              <w:spacing w:after="0"/>
            </w:pPr>
            <w:r/>
            <w:r>
              <w:rPr>
                <w:rFonts w:ascii="Aptos" w:hAnsi="Aptos"/>
                <w:b w:val="0"/>
                <w:sz w:val="15"/>
              </w:rPr>
              <w:t>El FastToolAuthorizationKernel ya es la frontera genérica más limpia.</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Reservation ownership/confirm/concurrency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REUTILIZAR INVARIANTES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Portar reglas de dominio cuando se implementen tools de reserva Gemini.</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Diagnostic redaction</w:t>
            </w:r>
          </w:p>
        </w:tc>
        <w:tc>
          <w:tcPr>
            <w:tcW w:type="dxa" w:w="3400"/>
            <w:vAlign w:val="center"/>
            <w:tcMar>
              <w:top w:w="80" w:type="dxa"/>
              <w:start w:w="100" w:type="dxa"/>
              <w:bottom w:w="80" w:type="dxa"/>
              <w:end w:w="100" w:type="dxa"/>
            </w:tcMar>
          </w:tcPr>
          <w:p>
            <w:pPr>
              <w:spacing w:after="0"/>
            </w:pPr>
            <w:r/>
            <w:r>
              <w:rPr>
                <w:rFonts w:ascii="Aptos" w:hAnsi="Aptos"/>
                <w:b w:val="0"/>
                <w:sz w:val="15"/>
              </w:rPr>
              <w:t>REUTILIZAR/UNIFICAR</w:t>
            </w:r>
          </w:p>
        </w:tc>
        <w:tc>
          <w:tcPr>
            <w:tcW w:type="dxa" w:w="3400"/>
            <w:vAlign w:val="center"/>
            <w:tcMar>
              <w:top w:w="80" w:type="dxa"/>
              <w:start w:w="100" w:type="dxa"/>
              <w:bottom w:w="80" w:type="dxa"/>
              <w:end w:w="100" w:type="dxa"/>
            </w:tcMar>
          </w:tcPr>
          <w:p>
            <w:pPr>
              <w:spacing w:after="0"/>
            </w:pPr>
            <w:r/>
            <w:r>
              <w:rPr>
                <w:rFonts w:ascii="Aptos" w:hAnsi="Aptos"/>
                <w:b w:val="0"/>
                <w:sz w:val="15"/>
              </w:rPr>
              <w:t>Mantener minimización y allowlists; evitar dos políticas divergentes.</w:t>
            </w:r>
          </w:p>
        </w:tc>
      </w:tr>
    </w:tbl>
    <w:p>
      <w:pPr>
        <w:spacing w:after="0"/>
      </w:pPr>
    </w:p>
    <w:p>
      <w:pPr>
        <w:pStyle w:val="Heading1"/>
        <w:keepNext/>
      </w:pPr>
      <w:r>
        <w:t>8. Arquitectura objetivo de seguridad</w:t>
      </w:r>
    </w:p>
    <w:p>
      <w:pPr>
        <w:pStyle w:val="CodeBlock"/>
        <w:spacing w:after="80"/>
      </w:pPr>
      <w:r>
        <w:t>1) TELNYX ADMISSION</w:t>
        <w:br/>
        <w:t xml:space="preserve">   firma -&gt; event identity -&gt; tenant -&gt; caller security -&gt; provider route</w:t>
        <w:br/>
        <w:br/>
        <w:t>2) LIVE CONVERSATION</w:t>
        <w:br/>
        <w:t xml:space="preserve">   audio hot path DIRECTO (sin clasificador de seguridad por chunk)</w:t>
        <w:br/>
        <w:t xml:space="preserve">        |</w:t>
        <w:br/>
        <w:t xml:space="preserve">        +-&gt; eventos discretos / transcript / function call</w:t>
        <w:br/>
        <w:br/>
        <w:t>3) SEMANTIC SECURITY</w:t>
        <w:br/>
        <w:t xml:space="preserve">   modelo interpreta intención y contexto -&gt; propone categoría/tool</w:t>
        <w:br/>
        <w:br/>
        <w:t>4) DETERMINISTIC AUTHORIZATION</w:t>
        <w:br/>
        <w:t xml:space="preserve">   FastToolAuthorizationKernel</w:t>
        <w:br/>
        <w:t xml:space="preserve">   declared tool + policy + tenant + authority + evidence + effect + capability</w:t>
        <w:br/>
        <w:t xml:space="preserve">           | ALLOW                       | DENY</w:t>
        <w:br/>
        <w:t xml:space="preserve">           v                             v</w:t>
        <w:br/>
        <w:t>5) DOMAIN KERNEL / HANDLER          respuesta segura / no side effect</w:t>
        <w:br/>
        <w:t xml:space="preserve">           |</w:t>
        <w:br/>
        <w:t>6) EXTERNAL EFFECT + AUDIT MINIMAL</w:t>
      </w:r>
    </w:p>
    <w:p>
      <w:pPr>
        <w:pStyle w:val="Heading2"/>
        <w:keepNext/>
      </w:pPr>
      <w:r>
        <w:t>8.1 Separación de responsabilidades</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Capa</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Autoridad</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Gemini Live</w:t>
            </w:r>
          </w:p>
        </w:tc>
        <w:tc>
          <w:tcPr>
            <w:tcW w:type="dxa" w:w="5100"/>
            <w:vAlign w:val="center"/>
            <w:tcMar>
              <w:top w:w="80" w:type="dxa"/>
              <w:start w:w="100" w:type="dxa"/>
              <w:bottom w:w="80" w:type="dxa"/>
              <w:end w:w="100" w:type="dxa"/>
            </w:tcMar>
          </w:tcPr>
          <w:p>
            <w:pPr>
              <w:spacing w:after="0"/>
            </w:pPr>
            <w:r/>
            <w:r>
              <w:rPr>
                <w:rFonts w:ascii="Aptos" w:hAnsi="Aptos"/>
                <w:b w:val="0"/>
                <w:sz w:val="16"/>
              </w:rPr>
              <w:t>Comprender lenguaje natural y proponer intención/tool.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FastToolAuthorizationKernel</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Decidir si la propuesta puede cruzar la frontera de efectos.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Domain kernel</w:t>
            </w:r>
          </w:p>
        </w:tc>
        <w:tc>
          <w:tcPr>
            <w:tcW w:type="dxa" w:w="5100"/>
            <w:vAlign w:val="center"/>
            <w:tcMar>
              <w:top w:w="80" w:type="dxa"/>
              <w:start w:w="100" w:type="dxa"/>
              <w:bottom w:w="80" w:type="dxa"/>
              <w:end w:w="100" w:type="dxa"/>
            </w:tcMar>
          </w:tcPr>
          <w:p>
            <w:pPr>
              <w:spacing w:after="0"/>
            </w:pPr>
            <w:r/>
            <w:r>
              <w:rPr>
                <w:rFonts w:ascii="Aptos" w:hAnsi="Aptos"/>
                <w:b w:val="0"/>
                <w:sz w:val="16"/>
              </w:rPr>
              <w:t>Aplicar invariantes del negocio: ownership, disponibilidad, concurrencia, confirmación, etc.</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Supabase/backend</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Fuente de verdad persistente y constraints transaccionales.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Worker clock/config</w:t>
            </w:r>
          </w:p>
        </w:tc>
        <w:tc>
          <w:tcPr>
            <w:tcW w:type="dxa" w:w="5100"/>
            <w:vAlign w:val="center"/>
            <w:tcMar>
              <w:top w:w="80" w:type="dxa"/>
              <w:start w:w="100" w:type="dxa"/>
              <w:bottom w:w="80" w:type="dxa"/>
              <w:end w:w="100" w:type="dxa"/>
            </w:tcMar>
          </w:tcPr>
          <w:p>
            <w:pPr>
              <w:spacing w:after="0"/>
            </w:pPr>
            <w:r/>
            <w:r>
              <w:rPr>
                <w:rFonts w:ascii="Aptos" w:hAnsi="Aptos"/>
                <w:b w:val="0"/>
                <w:sz w:val="16"/>
              </w:rPr>
              <w:t>Autoridad de contexto interno cuando corresponda.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Diagnostics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Registrar sólo evidencia segura necesaria para demostrar decisiones.</w:t>
            </w:r>
          </w:p>
        </w:tc>
      </w:tr>
    </w:tbl>
    <w:p>
      <w:pPr>
        <w:spacing w:after="0"/>
      </w:pPr>
    </w:p>
    <w:p>
      <w:pPr>
        <w:pStyle w:val="Heading1"/>
        <w:keepNext/>
      </w:pPr>
      <w:r>
        <w:t>9. Auditoría, privacidad y evidencia forense</w:t>
      </w:r>
    </w:p>
    <w:p>
      <w:pPr>
        <w:pStyle w:val="Heading2"/>
        <w:keepNext/>
      </w:pPr>
      <w:r>
        <w:t>9.1 Política de minimización</w:t>
      </w:r>
    </w:p>
    <w:p>
      <w:pPr>
        <w:pStyle w:val="ListBullet"/>
        <w:spacing w:after="40"/>
      </w:pPr>
      <w:r>
        <w:t>No persistir transcript bruto como evidencia de seguridad si un hash + longitud + categoría son suficientes.</w:t>
      </w:r>
    </w:p>
    <w:p>
      <w:pPr>
        <w:pStyle w:val="ListBullet"/>
        <w:spacing w:after="40"/>
      </w:pPr>
      <w:r>
        <w:t>Nunca persistir system/developer prompts ni instrucciones internas completas.</w:t>
      </w:r>
    </w:p>
    <w:p>
      <w:pPr>
        <w:pStyle w:val="ListBullet"/>
        <w:spacing w:after="40"/>
      </w:pPr>
      <w:r>
        <w:t>Nunca persistir secrets, bearer tokens, API keys, passwords o credenciales temporales.</w:t>
      </w:r>
    </w:p>
    <w:p>
      <w:pPr>
        <w:pStyle w:val="ListBullet"/>
        <w:spacing w:after="40"/>
      </w:pPr>
      <w:r>
        <w:t>Redactar PII: teléfonos, nombres, email, dirección, documentos, códigos de reserva y notas sensibles.</w:t>
      </w:r>
    </w:p>
    <w:p>
      <w:pPr>
        <w:pStyle w:val="ListBullet"/>
        <w:spacing w:after="40"/>
      </w:pPr>
      <w:r>
        <w:t>Para tool authorization, preferir kind/source/authority/effect/capability/status; no guardar caller_authority_evidence salvo necesidad excepcional y revisión explícita.</w:t>
      </w:r>
    </w:p>
    <w:p>
      <w:pPr>
        <w:pStyle w:val="ListBullet"/>
        <w:spacing w:after="40"/>
      </w:pPr>
      <w:r>
        <w:t>Una redacción técnica no convierte los datos en anónimos: siguen requiriendo control de acceso y retención.</w:t>
      </w:r>
    </w:p>
    <w:p>
      <w:pPr>
        <w:pStyle w:val="Heading2"/>
        <w:keepNext/>
      </w:pPr>
      <w:r>
        <w:t>9.2 Evidencia suficiente para investigar sin transcript</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Evento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Campos seguros sugeridos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TOOL_AUTHORIZATION_ALLOWED</w:t>
            </w:r>
          </w:p>
        </w:tc>
        <w:tc>
          <w:tcPr>
            <w:tcW w:type="dxa" w:w="5100"/>
            <w:vAlign w:val="center"/>
            <w:tcMar>
              <w:top w:w="80" w:type="dxa"/>
              <w:start w:w="100" w:type="dxa"/>
              <w:bottom w:w="80" w:type="dxa"/>
              <w:end w:w="100" w:type="dxa"/>
            </w:tcMar>
          </w:tcPr>
          <w:p>
            <w:pPr>
              <w:spacing w:after="0"/>
            </w:pPr>
            <w:r/>
            <w:r>
              <w:rPr>
                <w:rFonts w:ascii="Aptos" w:hAnsi="Aptos"/>
                <w:b w:val="0"/>
                <w:sz w:val="16"/>
              </w:rPr>
              <w:t>kind, source, authority, effect, capability</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TOOL_AUTHORIZATION_BLOCKED</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kind, source/status, effect, capability</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CALLER_SECURITY_SIGNAL</w:t>
            </w:r>
          </w:p>
        </w:tc>
        <w:tc>
          <w:tcPr>
            <w:tcW w:type="dxa" w:w="5100"/>
            <w:vAlign w:val="center"/>
            <w:tcMar>
              <w:top w:w="80" w:type="dxa"/>
              <w:start w:w="100" w:type="dxa"/>
              <w:bottom w:w="80" w:type="dxa"/>
              <w:end w:w="100" w:type="dxa"/>
            </w:tcMar>
          </w:tcPr>
          <w:p>
            <w:pPr>
              <w:spacing w:after="0"/>
            </w:pPr>
            <w:r/>
            <w:r>
              <w:rPr>
                <w:rFonts w:ascii="Aptos" w:hAnsi="Aptos"/>
                <w:b w:val="0"/>
                <w:sz w:val="16"/>
              </w:rPr>
              <w:t>event_type, severity, risk_delta, transcript_sha256, transcript_length, raw_transcript_stored=false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TEMPORAL SUCCESS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kind=AUTHORITATIVE_DATETIME, source=WORKER_CLOCK</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HANDOFF</w:t>
            </w:r>
          </w:p>
        </w:tc>
        <w:tc>
          <w:tcPr>
            <w:tcW w:type="dxa" w:w="5100"/>
            <w:vAlign w:val="center"/>
            <w:tcMar>
              <w:top w:w="80" w:type="dxa"/>
              <w:start w:w="100" w:type="dxa"/>
              <w:bottom w:w="80" w:type="dxa"/>
              <w:end w:w="100" w:type="dxa"/>
            </w:tcMar>
          </w:tcPr>
          <w:p>
            <w:pPr>
              <w:spacing w:after="0"/>
            </w:pPr>
            <w:r/>
            <w:r>
              <w:rPr>
                <w:rFonts w:ascii="Aptos" w:hAnsi="Aptos"/>
                <w:b w:val="0"/>
                <w:sz w:val="16"/>
              </w:rPr>
              <w:t>estado y timestamps operativos; evitar contenido de conversación y teléfonos en diagnóstico general</w:t>
            </w:r>
          </w:p>
        </w:tc>
      </w:tr>
    </w:tbl>
    <w:p>
      <w:pPr>
        <w:spacing w:after="0"/>
      </w:pPr>
    </w:p>
    <w:p>
      <w:pPr>
        <w:pStyle w:val="Heading1"/>
        <w:keepNext/>
      </w:pPr>
      <w:r>
        <w:t>10. Riesgos abiertos y backlog</w:t>
      </w:r>
    </w:p>
    <w:tbl>
      <w:tblPr>
        <w:tblW w:type="auto" w:w="0"/>
        <w:jc w:val="center"/>
        <w:tblLook w:firstColumn="1" w:firstRow="1" w:lastColumn="0" w:lastRow="0" w:noHBand="0" w:noVBand="1" w:val="04A0"/>
      </w:tblPr>
      <w:tblGrid>
        <w:gridCol w:w="10200"/>
      </w:tblGrid>
      <w:tr>
        <w:trPr>
          <w:cantSplit/>
        </w:trPr>
        <w:tc>
          <w:tcPr>
            <w:tcW w:type="dxa" w:w="10200"/>
            <w:shd w:fill="EAF2F8"/>
            <w:tcMar>
              <w:top w:w="130" w:type="dxa"/>
              <w:start w:w="150" w:type="dxa"/>
              <w:bottom w:w="130" w:type="dxa"/>
              <w:end w:w="150" w:type="dxa"/>
            </w:tcMar>
            <w:tcBorders>
              <w:top w:val="single" w:sz="8" w:color="5B9BD5"/>
              <w:left w:val="single" w:sz="8" w:color="5B9BD5"/>
              <w:bottom w:val="single" w:sz="8" w:color="5B9BD5"/>
              <w:right w:val="single" w:sz="8" w:color="5B9BD5"/>
            </w:tcBorders>
          </w:tcPr>
          <w:p>
            <w:pPr>
              <w:spacing w:after="60"/>
            </w:pPr>
            <w:r>
              <w:rPr>
                <w:b/>
                <w:color w:val="5B9BD5"/>
                <w:sz w:val="20"/>
              </w:rPr>
              <w:t>Regla del backlog</w:t>
            </w:r>
          </w:p>
          <w:p>
            <w:pPr>
              <w:spacing w:after="0"/>
            </w:pPr>
            <w:r>
              <w:rPr>
                <w:sz w:val="18"/>
              </w:rPr>
              <w:t>Un ítem sólo se marca como cerrado cuando existe evidencia verificable: test, código exacto, deploy y/o llamada real según el tipo de control.</w:t>
            </w:r>
          </w:p>
        </w:tc>
      </w:tr>
    </w:tbl>
    <w:p>
      <w:pPr>
        <w:spacing w:after="0"/>
      </w:pP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Pri</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Trabajo</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Alcance</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Cierre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SEC-P0-01</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Mapa completo OpenAI -&gt; Gemini Fast</w:t>
            </w:r>
          </w:p>
        </w:tc>
        <w:tc>
          <w:tcPr>
            <w:tcW w:type="dxa" w:w="2040"/>
            <w:vAlign w:val="center"/>
            <w:tcMar>
              <w:top w:w="80" w:type="dxa"/>
              <w:start w:w="100" w:type="dxa"/>
              <w:bottom w:w="80" w:type="dxa"/>
              <w:end w:w="100" w:type="dxa"/>
            </w:tcMar>
          </w:tcPr>
          <w:p>
            <w:pPr>
              <w:spacing w:after="0"/>
            </w:pPr>
            <w:r/>
            <w:r>
              <w:rPr>
                <w:rFonts w:ascii="Aptos" w:hAnsi="Aptos"/>
                <w:b w:val="0"/>
                <w:sz w:val="14"/>
              </w:rPr>
              <w:t>Inventariar cada control y marcar REUSE/ADAPT/RETIRED con evidencia actual.</w:t>
            </w:r>
          </w:p>
        </w:tc>
        <w:tc>
          <w:tcPr>
            <w:tcW w:type="dxa" w:w="2040"/>
            <w:vAlign w:val="center"/>
            <w:tcMar>
              <w:top w:w="80" w:type="dxa"/>
              <w:start w:w="100" w:type="dxa"/>
              <w:bottom w:w="80" w:type="dxa"/>
              <w:end w:w="100" w:type="dxa"/>
            </w:tcMar>
          </w:tcPr>
          <w:p>
            <w:pPr>
              <w:spacing w:after="0"/>
            </w:pPr>
            <w:r/>
            <w:r>
              <w:rPr>
                <w:rFonts w:ascii="Aptos" w:hAnsi="Aptos"/>
                <w:b w:val="0"/>
                <w:sz w:val="14"/>
              </w:rPr>
              <w:t>Matriz completa y revisada contra stable actual.</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Semantic Security Boundary para Gemini Fast</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Diseñar/integrar detección semántica de prompt injection/exfiltration/role/tool manipulation fuera del hot path.</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Tests semánticos + sin listas rígidas como autoridad + no latencia per-chunk.</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SEC-P0-03</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Conectar incidentes semánticos con caller reputation</w:t>
            </w:r>
          </w:p>
        </w:tc>
        <w:tc>
          <w:tcPr>
            <w:tcW w:type="dxa" w:w="2040"/>
            <w:vAlign w:val="center"/>
            <w:tcMar>
              <w:top w:w="80" w:type="dxa"/>
              <w:start w:w="100" w:type="dxa"/>
              <w:bottom w:w="80" w:type="dxa"/>
              <w:end w:w="100" w:type="dxa"/>
            </w:tcMar>
          </w:tcPr>
          <w:p>
            <w:pPr>
              <w:spacing w:after="0"/>
            </w:pPr>
            <w:r/>
            <w:r>
              <w:rPr>
                <w:rFonts w:ascii="Aptos" w:hAnsi="Aptos"/>
                <w:b w:val="0"/>
                <w:sz w:val="14"/>
              </w:rPr>
              <w:t>Registrar señales high/low en los RPC existentes sin transcript bruto.</w:t>
            </w:r>
          </w:p>
        </w:tc>
        <w:tc>
          <w:tcPr>
            <w:tcW w:type="dxa" w:w="2040"/>
            <w:vAlign w:val="center"/>
            <w:tcMar>
              <w:top w:w="80" w:type="dxa"/>
              <w:start w:w="100" w:type="dxa"/>
              <w:bottom w:w="80" w:type="dxa"/>
              <w:end w:w="100" w:type="dxa"/>
            </w:tcMar>
          </w:tcPr>
          <w:p>
            <w:pPr>
              <w:spacing w:after="0"/>
            </w:pPr>
            <w:r/>
            <w:r>
              <w:rPr>
                <w:rFonts w:ascii="Aptos" w:hAnsi="Aptos"/>
                <w:b w:val="0"/>
                <w:sz w:val="14"/>
              </w:rPr>
              <w:t>Risk/strike actualizado e idempotente; cola durable en fallo.</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Cobertura universal del Tool Kernel</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Verificar que toda tool presente/futura tiene policy local y que no existe bypass directo a handlers.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Tests de missing policy, undeclared tool y bypass imposible.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SEC-P0-05</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Tenant/capability isolation</w:t>
            </w:r>
          </w:p>
        </w:tc>
        <w:tc>
          <w:tcPr>
            <w:tcW w:type="dxa" w:w="2040"/>
            <w:vAlign w:val="center"/>
            <w:tcMar>
              <w:top w:w="80" w:type="dxa"/>
              <w:start w:w="100" w:type="dxa"/>
              <w:bottom w:w="80" w:type="dxa"/>
              <w:end w:w="100" w:type="dxa"/>
            </w:tcMar>
          </w:tcPr>
          <w:p>
            <w:pPr>
              <w:spacing w:after="0"/>
            </w:pPr>
            <w:r/>
            <w:r>
              <w:rPr>
                <w:rFonts w:ascii="Aptos" w:hAnsi="Aptos"/>
                <w:b w:val="0"/>
                <w:sz w:val="14"/>
              </w:rPr>
              <w:t>Probar intentos cross-tenant y capabilities ausentes.</w:t>
            </w:r>
          </w:p>
        </w:tc>
        <w:tc>
          <w:tcPr>
            <w:tcW w:type="dxa" w:w="2040"/>
            <w:vAlign w:val="center"/>
            <w:tcMar>
              <w:top w:w="80" w:type="dxa"/>
              <w:start w:w="100" w:type="dxa"/>
              <w:bottom w:w="80" w:type="dxa"/>
              <w:end w:w="100" w:type="dxa"/>
            </w:tcMar>
          </w:tcPr>
          <w:p>
            <w:pPr>
              <w:spacing w:after="0"/>
            </w:pPr>
            <w:r/>
            <w:r>
              <w:rPr>
                <w:rFonts w:ascii="Aptos" w:hAnsi="Aptos"/>
                <w:b w:val="0"/>
                <w:sz w:val="14"/>
              </w:rPr>
              <w:t>Side effect=0 y auditoría segura.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SEC-P0-06</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Auditoría segura unificada</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Comparar redactor OpenAI con diagnostic-journal Fast y unificar mínimos.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No raw transcript/phone/secret/prompt en eventos persistidos.</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SEC-P1-01</w:t>
            </w:r>
          </w:p>
        </w:tc>
        <w:tc>
          <w:tcPr>
            <w:tcW w:type="dxa" w:w="2040"/>
            <w:vAlign w:val="center"/>
            <w:tcMar>
              <w:top w:w="80" w:type="dxa"/>
              <w:start w:w="100" w:type="dxa"/>
              <w:bottom w:w="80" w:type="dxa"/>
              <w:end w:w="100" w:type="dxa"/>
            </w:tcMar>
          </w:tcPr>
          <w:p>
            <w:pPr>
              <w:spacing w:after="0"/>
            </w:pPr>
            <w:r/>
            <w:r>
              <w:rPr>
                <w:rFonts w:ascii="Aptos" w:hAnsi="Aptos"/>
                <w:b w:val="0"/>
                <w:sz w:val="14"/>
              </w:rPr>
              <w:t>P1</w:t>
            </w:r>
          </w:p>
        </w:tc>
        <w:tc>
          <w:tcPr>
            <w:tcW w:type="dxa" w:w="2040"/>
            <w:vAlign w:val="center"/>
            <w:tcMar>
              <w:top w:w="80" w:type="dxa"/>
              <w:start w:w="100" w:type="dxa"/>
              <w:bottom w:w="80" w:type="dxa"/>
              <w:end w:w="100" w:type="dxa"/>
            </w:tcMar>
          </w:tcPr>
          <w:p>
            <w:pPr>
              <w:spacing w:after="0"/>
            </w:pPr>
            <w:r/>
            <w:r>
              <w:rPr>
                <w:rFonts w:ascii="Aptos" w:hAnsi="Aptos"/>
                <w:b w:val="0"/>
                <w:sz w:val="14"/>
              </w:rPr>
              <w:t>Cierre de llamada por ataque high-confidence</w:t>
            </w:r>
          </w:p>
        </w:tc>
        <w:tc>
          <w:tcPr>
            <w:tcW w:type="dxa" w:w="2040"/>
            <w:vAlign w:val="center"/>
            <w:tcMar>
              <w:top w:w="80" w:type="dxa"/>
              <w:start w:w="100" w:type="dxa"/>
              <w:bottom w:w="80" w:type="dxa"/>
              <w:end w:w="100" w:type="dxa"/>
            </w:tcMar>
          </w:tcPr>
          <w:p>
            <w:pPr>
              <w:spacing w:after="0"/>
            </w:pPr>
            <w:r/>
            <w:r>
              <w:rPr>
                <w:rFonts w:ascii="Aptos" w:hAnsi="Aptos"/>
                <w:b w:val="0"/>
                <w:sz w:val="14"/>
              </w:rPr>
              <w:t>Definir cuándo debe terminar la llamada actual vs sólo registrar/advertir.</w:t>
            </w:r>
          </w:p>
        </w:tc>
        <w:tc>
          <w:tcPr>
            <w:tcW w:type="dxa" w:w="2040"/>
            <w:vAlign w:val="center"/>
            <w:tcMar>
              <w:top w:w="80" w:type="dxa"/>
              <w:start w:w="100" w:type="dxa"/>
              <w:bottom w:w="80" w:type="dxa"/>
              <w:end w:w="100" w:type="dxa"/>
            </w:tcMar>
          </w:tcPr>
          <w:p>
            <w:pPr>
              <w:spacing w:after="0"/>
            </w:pPr>
            <w:r/>
            <w:r>
              <w:rPr>
                <w:rFonts w:ascii="Aptos" w:hAnsi="Aptos"/>
                <w:b w:val="0"/>
                <w:sz w:val="14"/>
              </w:rPr>
              <w:t>Política documentada + lifecycle test + falsos positivos evaluados.</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SEC-P1-02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P1</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Runbook de desbloqueo/falsos positivos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Proceso seguro para revisar y remediar bloqueos legítimos.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Procedimiento, permisos y audit trail.</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SEC-P1-03</w:t>
            </w:r>
          </w:p>
        </w:tc>
        <w:tc>
          <w:tcPr>
            <w:tcW w:type="dxa" w:w="2040"/>
            <w:vAlign w:val="center"/>
            <w:tcMar>
              <w:top w:w="80" w:type="dxa"/>
              <w:start w:w="100" w:type="dxa"/>
              <w:bottom w:w="80" w:type="dxa"/>
              <w:end w:w="100" w:type="dxa"/>
            </w:tcMar>
          </w:tcPr>
          <w:p>
            <w:pPr>
              <w:spacing w:after="0"/>
            </w:pPr>
            <w:r/>
            <w:r>
              <w:rPr>
                <w:rFonts w:ascii="Aptos" w:hAnsi="Aptos"/>
                <w:b w:val="0"/>
                <w:sz w:val="14"/>
              </w:rPr>
              <w:t>P1</w:t>
            </w:r>
          </w:p>
        </w:tc>
        <w:tc>
          <w:tcPr>
            <w:tcW w:type="dxa" w:w="2040"/>
            <w:vAlign w:val="center"/>
            <w:tcMar>
              <w:top w:w="80" w:type="dxa"/>
              <w:start w:w="100" w:type="dxa"/>
              <w:bottom w:w="80" w:type="dxa"/>
              <w:end w:w="100" w:type="dxa"/>
            </w:tcMar>
          </w:tcPr>
          <w:p>
            <w:pPr>
              <w:spacing w:after="0"/>
            </w:pPr>
            <w:r/>
            <w:r>
              <w:rPr>
                <w:rFonts w:ascii="Aptos" w:hAnsi="Aptos"/>
                <w:b w:val="0"/>
                <w:sz w:val="14"/>
              </w:rPr>
              <w:t>Regression suite de seguridad</w:t>
            </w:r>
          </w:p>
        </w:tc>
        <w:tc>
          <w:tcPr>
            <w:tcW w:type="dxa" w:w="2040"/>
            <w:vAlign w:val="center"/>
            <w:tcMar>
              <w:top w:w="80" w:type="dxa"/>
              <w:start w:w="100" w:type="dxa"/>
              <w:bottom w:w="80" w:type="dxa"/>
              <w:end w:w="100" w:type="dxa"/>
            </w:tcMar>
          </w:tcPr>
          <w:p>
            <w:pPr>
              <w:spacing w:after="0"/>
            </w:pPr>
            <w:r/>
            <w:r>
              <w:rPr>
                <w:rFonts w:ascii="Aptos" w:hAnsi="Aptos"/>
                <w:b w:val="0"/>
                <w:sz w:val="14"/>
              </w:rPr>
              <w:t>Canary/synthetic tests para tool authority, tenant isolation, telemetry leakage y replay.</w:t>
            </w:r>
          </w:p>
        </w:tc>
        <w:tc>
          <w:tcPr>
            <w:tcW w:type="dxa" w:w="2040"/>
            <w:vAlign w:val="center"/>
            <w:tcMar>
              <w:top w:w="80" w:type="dxa"/>
              <w:start w:w="100" w:type="dxa"/>
              <w:bottom w:w="80" w:type="dxa"/>
              <w:end w:w="100" w:type="dxa"/>
            </w:tcMar>
          </w:tcPr>
          <w:p>
            <w:pPr>
              <w:spacing w:after="0"/>
            </w:pPr>
            <w:r/>
            <w:r>
              <w:rPr>
                <w:rFonts w:ascii="Aptos" w:hAnsi="Aptos"/>
                <w:b w:val="0"/>
                <w:sz w:val="14"/>
              </w:rPr>
              <w:t>CI reproducible y gate definido.</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SEC-P1-04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P1</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Retención de security/audit data</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Definir retención, acceso y borrado conforme a necesidad operativa/legal.</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Política escrita + configuración aplicada.</w:t>
            </w:r>
          </w:p>
        </w:tc>
      </w:tr>
      <w:tr>
        <w:tc>
          <w:tcPr>
            <w:tcW w:type="dxa" w:w="2040"/>
          </w:tcPr>
          <w:p>
            <w:r>
              <w:t>SEC-P1-05</w:t>
            </w:r>
          </w:p>
        </w:tc>
        <w:tc>
          <w:tcPr>
            <w:tcW w:type="dxa" w:w="2040"/>
          </w:tcPr>
          <w:p>
            <w:r>
              <w:t>P1</w:t>
            </w:r>
          </w:p>
        </w:tc>
        <w:tc>
          <w:tcPr>
            <w:tcW w:type="dxa" w:w="2040"/>
          </w:tcPr>
          <w:p>
            <w:r>
              <w:t>Reproducir doble invocación temporal</w:t>
            </w:r>
          </w:p>
        </w:tc>
        <w:tc>
          <w:tcPr>
            <w:tcW w:type="dxa" w:w="2040"/>
          </w:tcPr>
          <w:p>
            <w:r>
              <w:t>Ejecutar llamada controlada: meteorología sin necesidad de reloj -&gt; pausa -&gt; pregunta explícita por hora; correlacionar únicamente telemetría segura y orden de eventos.</w:t>
            </w:r>
          </w:p>
        </w:tc>
        <w:tc>
          <w:tcPr>
            <w:tcW w:type="dxa" w:w="2040"/>
          </w:tcPr>
          <w:p>
            <w:r>
              <w:t>Cero tool temporal en tramo meteorológico; una única invocación cuando la petición realmente depende de fecha/hora, o explicación documentada si existe necesidad legítima.</w:t>
            </w:r>
          </w:p>
        </w:tc>
      </w:tr>
    </w:tbl>
    <w:p>
      <w:pPr>
        <w:spacing w:after="0"/>
      </w:pPr>
    </w:p>
    <w:p>
      <w:pPr>
        <w:pStyle w:val="Heading1"/>
        <w:keepNext/>
      </w:pPr>
      <w:r>
        <w:t>11. Criterios de aceptación para cambios de seguridad</w:t>
      </w:r>
    </w:p>
    <w:p>
      <w:pPr>
        <w:pStyle w:val="ListNumber"/>
        <w:spacing w:after="40"/>
      </w:pPr>
      <w:r>
        <w:t>No modifica el continuous audio hot path salvo autorización explícita y necesidad demostrada.</w:t>
      </w:r>
    </w:p>
    <w:p>
      <w:pPr>
        <w:pStyle w:val="ListNumber"/>
        <w:spacing w:after="40"/>
      </w:pPr>
      <w:r>
        <w:t>No cambia modelo, VAD, codecs, resampler, buffers o bridge si el control puede vivir en control/tool path.</w:t>
      </w:r>
    </w:p>
    <w:p>
      <w:pPr>
        <w:pStyle w:val="ListNumber"/>
        <w:spacing w:after="40"/>
      </w:pPr>
      <w:r>
        <w:t>Todo efecto sensible pasa por una policy/kernel server-side; no confía en una afirmación del modelo como prueba suficiente.</w:t>
      </w:r>
    </w:p>
    <w:p>
      <w:pPr>
        <w:pStyle w:val="ListNumber"/>
        <w:spacing w:after="40"/>
      </w:pPr>
      <w:r>
        <w:t>Tenant y caller identity se obtienen de contexto confiable; no de argumentos libres del modelo.</w:t>
      </w:r>
    </w:p>
    <w:p>
      <w:pPr>
        <w:pStyle w:val="ListNumber"/>
        <w:spacing w:after="40"/>
      </w:pPr>
      <w:r>
        <w:t>Fallo de policy/evidence/capability/ownership produce cero side effects.</w:t>
      </w:r>
    </w:p>
    <w:p>
      <w:pPr>
        <w:pStyle w:val="ListNumber"/>
        <w:spacing w:after="40"/>
      </w:pPr>
      <w:r>
        <w:t>Operación idempotente o protegida contra replay/duplicados.</w:t>
      </w:r>
    </w:p>
    <w:p>
      <w:pPr>
        <w:pStyle w:val="ListNumber"/>
        <w:spacing w:after="40"/>
      </w:pPr>
      <w:r>
        <w:t>Logs/diagnósticos no contienen secretos, PII innecesaria, prompts internos o transcript bruto.</w:t>
      </w:r>
    </w:p>
    <w:p>
      <w:pPr>
        <w:pStyle w:val="ListNumber"/>
        <w:spacing w:after="40"/>
      </w:pPr>
      <w:r>
        <w:t>Pruebas unitarias y regresión pasan; los tests negativos son obligatorios.</w:t>
      </w:r>
    </w:p>
    <w:p>
      <w:pPr>
        <w:pStyle w:val="ListNumber"/>
        <w:spacing w:after="40"/>
      </w:pPr>
      <w:r>
        <w:t>Se registra el SHA exacto y el estado de CI/canary/deploy.</w:t>
      </w:r>
    </w:p>
    <w:p>
      <w:pPr>
        <w:pStyle w:val="ListNumber"/>
        <w:spacing w:after="40"/>
      </w:pPr>
      <w:r>
        <w:t>Si cambia un comportamiento real de llamada, existe prueba E2E o llamada controlada y se registra la evidencia.</w:t>
      </w:r>
    </w:p>
    <w:p>
      <w:pPr>
        <w:pStyle w:val="ListNumber"/>
        <w:spacing w:after="40"/>
      </w:pPr>
      <w:r>
        <w:t>El documento vivo se actualiza antes de considerar terminado el bloque de trabajo.</w:t>
      </w:r>
    </w:p>
    <w:p>
      <w:pPr>
        <w:pStyle w:val="Heading1"/>
        <w:keepNext/>
      </w:pPr>
      <w:r>
        <w:t>12. Protocolo para retomar el trabajo en otra sesión</w:t>
      </w:r>
    </w:p>
    <w:p>
      <w:pPr>
        <w:spacing w:after="40"/>
      </w:pPr>
      <w:r>
        <w:t>1. Abrir la última versión de esta guía desde la Library y leer “Estado autoritativo”, “Backlog” y “Registro de decisiones”.</w:t>
      </w:r>
    </w:p>
    <w:p>
      <w:pPr>
        <w:spacing w:after="40"/>
      </w:pPr>
      <w:r>
        <w:t>2. Consultar GitHub: rama rebuild/v39-stable-baseline y obtener el SHA actual. Si difiere del documentado, revisar merges desde el último corte.</w:t>
      </w:r>
    </w:p>
    <w:p>
      <w:pPr>
        <w:spacing w:after="40"/>
      </w:pPr>
      <w:r>
        <w:t>3. Verificar workflows/deploy relevantes del SHA actual. No asumir que stable == producción general.</w:t>
      </w:r>
    </w:p>
    <w:p>
      <w:pPr>
        <w:spacing w:after="40"/>
      </w:pPr>
      <w:r>
        <w:t>4. Reconciliar el documento: actualizar snapshot y marcar cualquier control que haya quedado obsoleto o pendiente de volver a verificar.</w:t>
      </w:r>
    </w:p>
    <w:p>
      <w:pPr>
        <w:spacing w:after="40"/>
      </w:pPr>
      <w:r>
        <w:t>5. Elegir el ítem de backlog de mayor prioridad compatible con el objetivo de la sesión.</w:t>
      </w:r>
    </w:p>
    <w:p>
      <w:pPr>
        <w:spacing w:after="40"/>
      </w:pPr>
      <w:r>
        <w:t>6. Antes de modificar código, identificar exactamente qué archivos/capas se tocarán y confirmar que no entran en el hot path protegido.</w:t>
      </w:r>
    </w:p>
    <w:p>
      <w:pPr>
        <w:spacing w:after="40"/>
      </w:pPr>
      <w:r>
        <w:t>7. Implementar de forma mínima, con tests negativos/fail-closed y evidencia de auditoría segura.</w:t>
      </w:r>
    </w:p>
    <w:p>
      <w:pPr>
        <w:spacing w:after="40"/>
      </w:pPr>
      <w:r>
        <w:t>8. Después de merge/deploy/prueba: registrar SHA, PR, workflow, resultado y decisión en esta guía.</w:t>
      </w:r>
    </w:p>
    <w:tbl>
      <w:tblPr>
        <w:tblW w:type="auto" w:w="0"/>
        <w:jc w:val="center"/>
        <w:tblLook w:firstColumn="1" w:firstRow="1" w:lastColumn="0" w:lastRow="0" w:noHBand="0" w:noVBand="1" w:val="04A0"/>
      </w:tblPr>
      <w:tblGrid>
        <w:gridCol w:w="10200"/>
      </w:tblGrid>
      <w:tr>
        <w:trPr>
          <w:cantSplit/>
        </w:trPr>
        <w:tc>
          <w:tcPr>
            <w:tcW w:type="dxa" w:w="10200"/>
            <w:shd w:fill="E2F0D9"/>
            <w:tcMar>
              <w:top w:w="130" w:type="dxa"/>
              <w:start w:w="150" w:type="dxa"/>
              <w:bottom w:w="130" w:type="dxa"/>
              <w:end w:w="150" w:type="dxa"/>
            </w:tcMar>
            <w:tcBorders>
              <w:top w:val="single" w:sz="8" w:color="548235"/>
              <w:left w:val="single" w:sz="8" w:color="548235"/>
              <w:bottom w:val="single" w:sz="8" w:color="548235"/>
              <w:right w:val="single" w:sz="8" w:color="548235"/>
            </w:tcBorders>
          </w:tcPr>
          <w:p>
            <w:pPr>
              <w:spacing w:after="60"/>
            </w:pPr>
            <w:r>
              <w:rPr>
                <w:b/>
                <w:color w:val="548235"/>
                <w:sz w:val="20"/>
              </w:rPr>
              <w:t>Frase útil para una sesión nueva</w:t>
            </w:r>
          </w:p>
          <w:p>
            <w:pPr>
              <w:spacing w:after="0"/>
            </w:pPr>
            <w:r>
              <w:rPr>
                <w:sz w:val="18"/>
              </w:rPr>
              <w:t>“Abre la última Guía Viva de Seguridad de IA_RealTime_CenterCall, verifica el SHA actual de rebuild/v39-stable-baseline, compáralo con el snapshot del documento y continúa desde el backlog sin tocar el hot path de audio.”</w:t>
            </w:r>
          </w:p>
        </w:tc>
      </w:tr>
    </w:tbl>
    <w:p>
      <w:pPr>
        <w:spacing w:after="0"/>
      </w:pPr>
    </w:p>
    <w:p>
      <w:pPr>
        <w:pStyle w:val="Heading1"/>
        <w:keepNext/>
      </w:pPr>
      <w:r>
        <w:t>13. Registro de decisiones</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Fecha</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Decisión</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Contenido</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Estado</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D-001</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Documento vivo de seguridad</w:t>
            </w:r>
          </w:p>
        </w:tc>
        <w:tc>
          <w:tcPr>
            <w:tcW w:type="dxa" w:w="2040"/>
            <w:vAlign w:val="center"/>
            <w:tcMar>
              <w:top w:w="80" w:type="dxa"/>
              <w:start w:w="100" w:type="dxa"/>
              <w:bottom w:w="80" w:type="dxa"/>
              <w:end w:w="100" w:type="dxa"/>
            </w:tcMar>
          </w:tcPr>
          <w:p>
            <w:pPr>
              <w:spacing w:after="0"/>
            </w:pPr>
            <w:r/>
            <w:r>
              <w:rPr>
                <w:rFonts w:ascii="Aptos" w:hAnsi="Aptos"/>
                <w:b w:val="0"/>
                <w:sz w:val="14"/>
              </w:rPr>
              <w:t>Toda evolución de seguridad se documentará aquí para continuidad entre sesiones.</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Seguridad fuera del audio hot path</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Controles de admisión, semántica, autorización y auditoría se ejecutan fuera del forwarding continuo.</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D-003</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No listas rígidas como autoridad semántica</w:t>
            </w:r>
          </w:p>
        </w:tc>
        <w:tc>
          <w:tcPr>
            <w:tcW w:type="dxa" w:w="2040"/>
            <w:vAlign w:val="center"/>
            <w:tcMar>
              <w:top w:w="80" w:type="dxa"/>
              <w:start w:w="100" w:type="dxa"/>
              <w:bottom w:w="80" w:type="dxa"/>
              <w:end w:w="100" w:type="dxa"/>
            </w:tcMar>
          </w:tcPr>
          <w:p>
            <w:pPr>
              <w:spacing w:after="0"/>
            </w:pPr>
            <w:r/>
            <w:r>
              <w:rPr>
                <w:rFonts w:ascii="Aptos" w:hAnsi="Aptos"/>
                <w:b w:val="0"/>
                <w:sz w:val="14"/>
              </w:rPr>
              <w:t>La intención se interpreta por contexto. Regex/denylist sólo defensa en profundidad.</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Tool proposal no es autorización</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Toda function call cruza FastToolAuthorizationKernel antes de handlers/efectos.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D-005</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Policy local obligatoria por tool</w:t>
            </w:r>
          </w:p>
        </w:tc>
        <w:tc>
          <w:tcPr>
            <w:tcW w:type="dxa" w:w="2040"/>
            <w:vAlign w:val="center"/>
            <w:tcMar>
              <w:top w:w="80" w:type="dxa"/>
              <w:start w:w="100" w:type="dxa"/>
              <w:bottom w:w="80" w:type="dxa"/>
              <w:end w:w="100" w:type="dxa"/>
            </w:tcMar>
          </w:tcPr>
          <w:p>
            <w:pPr>
              <w:spacing w:after="0"/>
            </w:pPr>
            <w:r/>
            <w:r>
              <w:rPr>
                <w:rFonts w:ascii="Aptos" w:hAnsi="Aptos"/>
                <w:b w:val="0"/>
                <w:sz w:val="14"/>
              </w:rPr>
              <w:t>Una tool declarada sin policy debe fallar cerrada. Políticas horizontales no pueden sobreescribirse.</w:t>
            </w:r>
          </w:p>
        </w:tc>
        <w:tc>
          <w:tcPr>
            <w:tcW w:type="dxa" w:w="2040"/>
            <w:vAlign w:val="center"/>
            <w:tcMar>
              <w:top w:w="80" w:type="dxa"/>
              <w:start w:w="100" w:type="dxa"/>
              <w:bottom w:w="80" w:type="dxa"/>
              <w:end w:w="100" w:type="dxa"/>
            </w:tcMar>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D-006</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Read-only semantic necessity sin transcript</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Permitido sólo para READ_CONTEXT/READ_BUSINESS_DATA; evita dependencia del timing de transcripción.</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D-007</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Efectos caller-governed con evidencia</w:t>
            </w:r>
          </w:p>
        </w:tc>
        <w:tc>
          <w:tcPr>
            <w:tcW w:type="dxa" w:w="2040"/>
            <w:vAlign w:val="center"/>
            <w:tcMar>
              <w:top w:w="80" w:type="dxa"/>
              <w:start w:w="100" w:type="dxa"/>
              <w:bottom w:w="80" w:type="dxa"/>
              <w:end w:w="100" w:type="dxa"/>
            </w:tcMar>
          </w:tcPr>
          <w:p>
            <w:pPr>
              <w:spacing w:after="0"/>
            </w:pPr>
            <w:r/>
            <w:r>
              <w:rPr>
                <w:rFonts w:ascii="Aptos" w:hAnsi="Aptos"/>
                <w:b w:val="0"/>
                <w:sz w:val="14"/>
              </w:rPr>
              <w:t>Acciones mutantes/destructivas/terminales exigen autoridad/evidencia del turno actual.</w:t>
            </w:r>
          </w:p>
        </w:tc>
        <w:tc>
          <w:tcPr>
            <w:tcW w:type="dxa" w:w="2040"/>
            <w:vAlign w:val="center"/>
            <w:tcMar>
              <w:top w:w="80" w:type="dxa"/>
              <w:start w:w="100" w:type="dxa"/>
              <w:bottom w:w="80" w:type="dxa"/>
              <w:end w:w="100" w:type="dxa"/>
            </w:tcMar>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Reutilizar caller reputation de OpenAI</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Rate-limit, risk score, strikes y blocks forman la base horizontal para Gemini Fast.</w:t>
            </w:r>
          </w:p>
        </w:tc>
        <w:tc>
          <w:tcPr>
            <w:tcW w:type="dxa" w:w="2040"/>
            <w:vAlign w:val="center"/>
            <w:tcMar>
              <w:top w:w="80" w:type="dxa"/>
              <w:start w:w="100" w:type="dxa"/>
              <w:bottom w:w="80" w:type="dxa"/>
              <w:end w:w="100" w:type="dxa"/>
            </w:tcMar>
            <w:shd w:fill="F4F7FA"/>
          </w:tcPr>
          <w:p>
            <w:r>
              <w:t>IMPLEMENTADA Y VERIFICADA E2E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D-009</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Forense mínimo</w:t>
            </w:r>
          </w:p>
        </w:tc>
        <w:tc>
          <w:tcPr>
            <w:tcW w:type="dxa" w:w="2040"/>
            <w:vAlign w:val="center"/>
            <w:tcMar>
              <w:top w:w="80" w:type="dxa"/>
              <w:start w:w="100" w:type="dxa"/>
              <w:bottom w:w="80" w:type="dxa"/>
              <w:end w:w="100" w:type="dxa"/>
            </w:tcMar>
          </w:tcPr>
          <w:p>
            <w:pPr>
              <w:spacing w:after="0"/>
            </w:pPr>
            <w:r/>
            <w:r>
              <w:rPr>
                <w:rFonts w:ascii="Aptos" w:hAnsi="Aptos"/>
                <w:b w:val="0"/>
                <w:sz w:val="14"/>
              </w:rPr>
              <w:t>No guardar transcript bruto; preferir hash/longitud/categoría y safe tool diagnostics.</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c>
          <w:tcPr>
            <w:tcW w:type="dxa" w:w="2040"/>
          </w:tcPr>
          <w:p>
            <w:r>
              <w:t>D-010</w:t>
            </w:r>
          </w:p>
        </w:tc>
        <w:tc>
          <w:tcPr>
            <w:tcW w:type="dxa" w:w="2040"/>
          </w:tcPr>
          <w:p>
            <w:r>
              <w:t>2026-08-28</w:t>
            </w:r>
          </w:p>
        </w:tc>
        <w:tc>
          <w:tcPr>
            <w:tcW w:type="dxa" w:w="2040"/>
          </w:tcPr>
          <w:p>
            <w:r>
              <w:t>Distinguir oferta de transferencia de consentimiento confirmado</w:t>
            </w:r>
          </w:p>
        </w:tc>
        <w:tc>
          <w:tcPr>
            <w:tcW w:type="dxa" w:w="2040"/>
          </w:tcPr>
          <w:p>
            <w:r>
              <w:t>Una transferencia sólo se considera autorizada cuando existe confirmación del caller. La prueba E2E confirmó que el caller sí respondió afirmativamente a la oferta; por tanto el evento CONFIRMED_OFFER fue correcto en esta llamada.</w:t>
            </w:r>
          </w:p>
        </w:tc>
        <w:tc>
          <w:tcPr>
            <w:tcW w:type="dxa" w:w="2040"/>
          </w:tcPr>
          <w:p>
            <w:r>
              <w:t>VERIFICADA EN PRODUCCIÓN</w:t>
            </w:r>
          </w:p>
        </w:tc>
      </w:tr>
      <w:tr>
        <w:tc>
          <w:tcPr>
            <w:tcW w:type="dxa" w:w="2040"/>
          </w:tcPr>
          <w:p>
            <w:r>
              <w:t>D-011</w:t>
            </w:r>
          </w:p>
        </w:tc>
        <w:tc>
          <w:tcPr>
            <w:tcW w:type="dxa" w:w="2040"/>
          </w:tcPr>
          <w:p>
            <w:r>
              <w:t>2026-08-29</w:t>
            </w:r>
          </w:p>
        </w:tc>
        <w:tc>
          <w:tcPr>
            <w:tcW w:type="dxa" w:w="2040"/>
          </w:tcPr>
          <w:p>
            <w:r>
              <w:t>Kernel transversal + verticales por tenant</w:t>
            </w:r>
          </w:p>
        </w:tc>
        <w:tc>
          <w:tcPr>
            <w:tcW w:type="dxa" w:w="2040"/>
          </w:tcPr>
          <w:p>
            <w:r>
              <w:t>Seguridad, voz, handoff, tiempo, diagnóstico y comunicación son capacidades horizontales. Las verticales consumen estas capacidades mediante tools declaradas y aplican invariantes de dominio propias.</w:t>
            </w:r>
          </w:p>
        </w:tc>
        <w:tc>
          <w:tcPr>
            <w:tcW w:type="dxa" w:w="2040"/>
          </w:tcPr>
          <w:p>
            <w:r>
              <w:t>ACEPTADA</w:t>
            </w:r>
          </w:p>
        </w:tc>
      </w:tr>
      <w:tr>
        <w:tc>
          <w:tcPr>
            <w:tcW w:type="dxa" w:w="2040"/>
          </w:tcPr>
          <w:p>
            <w:r>
              <w:t>D-012</w:t>
            </w:r>
          </w:p>
        </w:tc>
        <w:tc>
          <w:tcPr>
            <w:tcW w:type="dxa" w:w="2040"/>
          </w:tcPr>
          <w:p>
            <w:r>
              <w:t>2026-08-29</w:t>
            </w:r>
          </w:p>
        </w:tc>
        <w:tc>
          <w:tcPr>
            <w:tcW w:type="dxa" w:w="2040"/>
          </w:tcPr>
          <w:p>
            <w:r>
              <w:t>Contrato obligatorio de tools</w:t>
            </w:r>
          </w:p>
        </w:tc>
        <w:tc>
          <w:tcPr>
            <w:tcW w:type="dxa" w:w="2040"/>
          </w:tcPr>
          <w:p>
            <w:r>
              <w:t>Toda tool requiere schema cerrado, authority, effect, capability, evidence, handler y contexto tenant/call; las mutaciones añaden idempotencia, confirmación e invariantes de dominio.</w:t>
            </w:r>
          </w:p>
        </w:tc>
        <w:tc>
          <w:tcPr>
            <w:tcW w:type="dxa" w:w="2040"/>
          </w:tcPr>
          <w:p>
            <w:r>
              <w:t>IMPLEMENTADA COMO INVARIANTE DEL KERNEL</w:t>
            </w:r>
          </w:p>
        </w:tc>
      </w:tr>
      <w:tr>
        <w:tc>
          <w:tcPr>
            <w:tcW w:type="dxa" w:w="2040"/>
          </w:tcPr>
          <w:p>
            <w:r>
              <w:t>D-013</w:t>
            </w:r>
          </w:p>
        </w:tc>
        <w:tc>
          <w:tcPr>
            <w:tcW w:type="dxa" w:w="2040"/>
          </w:tcPr>
          <w:p>
            <w:r>
              <w:t>2026-08-29</w:t>
            </w:r>
          </w:p>
        </w:tc>
        <w:tc>
          <w:tcPr>
            <w:tcW w:type="dxa" w:w="2040"/>
          </w:tcPr>
          <w:p>
            <w:r>
              <w:t>Persistencia de seguridad sideband</w:t>
            </w:r>
          </w:p>
        </w:tc>
        <w:tc>
          <w:tcPr>
            <w:tcW w:type="dxa" w:w="2040"/>
          </w:tcPr>
          <w:p>
            <w:r>
              <w:t>La reputación se entrega fuera del forwarding continuo. Gemini Fast posee su endpoint, Queue/DLQ y fallback Supabase; el workflow verifica token y continuidad HMAC fail-closed sin depender del Worker histórico.</w:t>
            </w:r>
          </w:p>
        </w:tc>
        <w:tc>
          <w:tcPr>
            <w:tcW w:type="dxa" w:w="2040"/>
          </w:tcPr>
          <w:p>
            <w:r>
              <w:t>IMPLEMENTADA, CI VERDE Y VERIFICADA EN CANARY</w:t>
            </w:r>
          </w:p>
        </w:tc>
      </w:tr>
    </w:tbl>
    <w:p>
      <w:pPr>
        <w:spacing w:after="0"/>
      </w:pPr>
    </w:p>
    <w:p>
      <w:pPr>
        <w:pStyle w:val="Heading1"/>
        <w:keepNext/>
      </w:pPr>
      <w:r>
        <w:t>14. Registro de evidencia técnica</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Fuente</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Evidencia</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Estado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E-001</w:t>
            </w:r>
          </w:p>
        </w:tc>
        <w:tc>
          <w:tcPr>
            <w:tcW w:type="dxa" w:w="2550"/>
            <w:vAlign w:val="center"/>
            <w:tcMar>
              <w:top w:w="80" w:type="dxa"/>
              <w:start w:w="100" w:type="dxa"/>
              <w:bottom w:w="80" w:type="dxa"/>
              <w:end w:w="100" w:type="dxa"/>
            </w:tcMar>
          </w:tcPr>
          <w:p>
            <w:pPr>
              <w:spacing w:after="0"/>
            </w:pPr>
            <w:r/>
            <w:r>
              <w:rPr>
                <w:rFonts w:ascii="Aptos" w:hAnsi="Aptos"/>
                <w:b w:val="0"/>
                <w:sz w:val="14"/>
              </w:rPr>
              <w:t>GitHub stable</w:t>
            </w:r>
          </w:p>
        </w:tc>
        <w:tc>
          <w:tcPr>
            <w:tcW w:type="dxa" w:w="2550"/>
            <w:vAlign w:val="center"/>
            <w:tcMar>
              <w:top w:w="80" w:type="dxa"/>
              <w:start w:w="100" w:type="dxa"/>
              <w:bottom w:w="80" w:type="dxa"/>
              <w:end w:w="100" w:type="dxa"/>
            </w:tcMar>
          </w:tcPr>
          <w:p>
            <w:pPr>
              <w:spacing w:after="0"/>
            </w:pPr>
            <w:r/>
            <w:r>
              <w:rPr>
                <w:rFonts w:ascii="Aptos" w:hAnsi="Aptos"/>
                <w:b w:val="0"/>
                <w:sz w:val="14"/>
              </w:rPr>
              <w:t>rebuild/v39-stable-baseline @ 12773c52a1f10dad6de160d0c41ead2d2eecfecf</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PR #91</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Generic FastToolAuthorizationKernel; merge ef5f3d30...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E-003</w:t>
            </w:r>
          </w:p>
        </w:tc>
        <w:tc>
          <w:tcPr>
            <w:tcW w:type="dxa" w:w="2550"/>
            <w:vAlign w:val="center"/>
            <w:tcMar>
              <w:top w:w="80" w:type="dxa"/>
              <w:start w:w="100" w:type="dxa"/>
              <w:bottom w:w="80" w:type="dxa"/>
              <w:end w:w="100" w:type="dxa"/>
            </w:tcMar>
          </w:tcPr>
          <w:p>
            <w:pPr>
              <w:spacing w:after="0"/>
            </w:pPr>
            <w:r/>
            <w:r>
              <w:rPr>
                <w:rFonts w:ascii="Aptos" w:hAnsi="Aptos"/>
                <w:b w:val="0"/>
                <w:sz w:val="14"/>
              </w:rPr>
              <w:t>PR #92</w:t>
            </w:r>
          </w:p>
        </w:tc>
        <w:tc>
          <w:tcPr>
            <w:tcW w:type="dxa" w:w="2550"/>
            <w:vAlign w:val="center"/>
            <w:tcMar>
              <w:top w:w="80" w:type="dxa"/>
              <w:start w:w="100" w:type="dxa"/>
              <w:bottom w:w="80" w:type="dxa"/>
              <w:end w:w="100" w:type="dxa"/>
            </w:tcMar>
          </w:tcPr>
          <w:p>
            <w:pPr>
              <w:spacing w:after="0"/>
            </w:pPr>
            <w:r/>
            <w:r>
              <w:rPr>
                <w:rFonts w:ascii="Aptos" w:hAnsi="Aptos"/>
                <w:b w:val="0"/>
                <w:sz w:val="14"/>
              </w:rPr>
              <w:t>Temporal semantic necessity/timing fix; merge 12773c52...</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E-004</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Workflow</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Gemini Fast Canary Deploy #62; SHA 12773c52...; SUCCESS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 EN CANARY</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E-005</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apps/gemini-media-edge/src/fast-tool-authorization-kernel.mjs</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E-006</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apps/control-plane/src/index-v4.ts - Telnyx signature + caller security admission</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E-007</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apps/control-plane/src/call-session-v33.ts - pre-agent high-confidence security close</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E-008</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apps/control-plane/src/call-session-v34.ts - tenant/builtin denylist</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 / LEGACY</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E-009</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apps/control-plane/src/semantic-security-boundary.ts</w:t>
            </w:r>
          </w:p>
        </w:tc>
        <w:tc>
          <w:tcPr>
            <w:tcW w:type="dxa" w:w="2550"/>
            <w:vAlign w:val="center"/>
            <w:tcMar>
              <w:top w:w="80" w:type="dxa"/>
              <w:start w:w="100" w:type="dxa"/>
              <w:bottom w:w="80" w:type="dxa"/>
              <w:end w:w="100" w:type="dxa"/>
            </w:tcMar>
          </w:tcPr>
          <w:p>
            <w:pPr>
              <w:spacing w:after="0"/>
            </w:pPr>
            <w:r/>
            <w:r>
              <w:rPr>
                <w:rFonts w:ascii="Aptos" w:hAnsi="Aptos"/>
                <w:b w:val="0"/>
                <w:sz w:val="14"/>
              </w:rPr>
              <w:t>VERIFICADO CONCEPTUAL</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E-010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apps/control-plane/src/technical-diagnostic-redaction.ts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E-011</w:t>
            </w:r>
          </w:p>
        </w:tc>
        <w:tc>
          <w:tcPr>
            <w:tcW w:type="dxa" w:w="2550"/>
            <w:vAlign w:val="center"/>
            <w:tcMar>
              <w:top w:w="80" w:type="dxa"/>
              <w:start w:w="100" w:type="dxa"/>
              <w:bottom w:w="80" w:type="dxa"/>
              <w:end w:w="100" w:type="dxa"/>
            </w:tcMar>
          </w:tcPr>
          <w:p>
            <w:pPr>
              <w:spacing w:after="0"/>
            </w:pPr>
            <w:r/>
            <w:r>
              <w:rPr>
                <w:rFonts w:ascii="Aptos" w:hAnsi="Aptos"/>
                <w:b w:val="0"/>
                <w:sz w:val="14"/>
              </w:rPr>
              <w:t>Supabase</w:t>
            </w:r>
          </w:p>
        </w:tc>
        <w:tc>
          <w:tcPr>
            <w:tcW w:type="dxa" w:w="2550"/>
            <w:vAlign w:val="center"/>
            <w:tcMar>
              <w:top w:w="80" w:type="dxa"/>
              <w:start w:w="100" w:type="dxa"/>
              <w:bottom w:w="80" w:type="dxa"/>
              <w:end w:w="100" w:type="dxa"/>
            </w:tcMar>
          </w:tcPr>
          <w:p>
            <w:pPr>
              <w:spacing w:after="0"/>
            </w:pPr>
            <w:r/>
            <w:r>
              <w:rPr>
                <w:rFonts w:ascii="Aptos" w:hAnsi="Aptos"/>
                <w:b w:val="0"/>
                <w:sz w:val="14"/>
              </w:rPr>
              <w:t>RPC security: anon/authenticated sin EXECUTE; service_role/postgres con EXECUTE</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E-012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Supabase</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caller_security_state/events con RLS y sin políticas públicas detectadas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c>
          <w:tcPr>
            <w:tcW w:type="dxa" w:w="2550"/>
          </w:tcPr>
          <w:p>
            <w:r>
              <w:t>E-013</w:t>
            </w:r>
          </w:p>
        </w:tc>
        <w:tc>
          <w:tcPr>
            <w:tcW w:type="dxa" w:w="2550"/>
          </w:tcPr>
          <w:p>
            <w:r>
              <w:t>Supabase + llamada real</w:t>
            </w:r>
          </w:p>
        </w:tc>
        <w:tc>
          <w:tcPr>
            <w:tcW w:type="dxa" w:w="2550"/>
          </w:tcPr>
          <w:p>
            <w:r>
              <w:t>Handoff: TOOL_AUTHORIZATION_ALLOWED source=CONFIRMED_OFFER -&gt; HUMAN_HANDOFF_ACCEPTED -&gt; TRANSFERRED; caller confirma que respondió explícitamente "sí" a la oferta y que el destino remoto fue un contestador/sistema automático.</w:t>
            </w:r>
          </w:p>
        </w:tc>
        <w:tc>
          <w:tcPr>
            <w:tcW w:type="dxa" w:w="2550"/>
          </w:tcPr>
          <w:p>
            <w:r>
              <w:t>VERIFICADO EN PRODUCCIÓN</w:t>
            </w:r>
          </w:p>
        </w:tc>
      </w:tr>
      <w:tr>
        <w:tc>
          <w:tcPr>
            <w:tcW w:type="dxa" w:w="2550"/>
          </w:tcPr>
          <w:p>
            <w:r>
              <w:t>E-014</w:t>
            </w:r>
          </w:p>
        </w:tc>
        <w:tc>
          <w:tcPr>
            <w:tcW w:type="dxa" w:w="2550"/>
          </w:tcPr>
          <w:p>
            <w:r>
              <w:t>Supabase + llamada real</w:t>
            </w:r>
          </w:p>
        </w:tc>
        <w:tc>
          <w:tcPr>
            <w:tcW w:type="dxa" w:w="2550"/>
          </w:tcPr>
          <w:p>
            <w:r>
              <w:t>Temporal: dos AUTHORITATIVE_DATETIME / WORKER_CLOCK en una misma llamada; una anterior y otra posterior a la pregunta explícita por la hora según la reconstrucción del caller. Primera invocación pendiente de reproducción controlada.</w:t>
            </w:r>
          </w:p>
        </w:tc>
        <w:tc>
          <w:tcPr>
            <w:tcW w:type="dxa" w:w="2550"/>
          </w:tcPr>
          <w:p>
            <w:r>
              <w:t>OBSERVACIÓN ABIERTA</w:t>
            </w:r>
          </w:p>
        </w:tc>
      </w:tr>
      <w:tr>
        <w:tc>
          <w:tcPr>
            <w:tcW w:type="dxa" w:w="2550"/>
          </w:tcPr>
          <w:p>
            <w:r>
              <w:t>E-015</w:t>
            </w:r>
          </w:p>
        </w:tc>
        <w:tc>
          <w:tcPr>
            <w:tcW w:type="dxa" w:w="2550"/>
          </w:tcPr>
          <w:p>
            <w:r>
              <w:t>PR #93</w:t>
            </w:r>
          </w:p>
        </w:tc>
        <w:tc>
          <w:tcPr>
            <w:tcW w:type="dxa" w:w="2550"/>
          </w:tcPr>
          <w:p>
            <w:r>
              <w:t>Semantic Security Boundary; merge 2ecc4cc643f1933ea7f353ab26aa231bda89e7e6</w:t>
            </w:r>
          </w:p>
        </w:tc>
        <w:tc>
          <w:tcPr>
            <w:tcW w:type="dxa" w:w="2550"/>
          </w:tcPr>
          <w:p>
            <w:r>
              <w:t>VERIFICADO</w:t>
            </w:r>
          </w:p>
        </w:tc>
      </w:tr>
      <w:tr>
        <w:tc>
          <w:tcPr>
            <w:tcW w:type="dxa" w:w="2550"/>
          </w:tcPr>
          <w:p>
            <w:r>
              <w:t>E-016</w:t>
            </w:r>
          </w:p>
        </w:tc>
        <w:tc>
          <w:tcPr>
            <w:tcW w:type="dxa" w:w="2550"/>
          </w:tcPr>
          <w:p>
            <w:r>
              <w:t>PR #94</w:t>
            </w:r>
          </w:p>
        </w:tc>
        <w:tc>
          <w:tcPr>
            <w:tcW w:type="dxa" w:w="2550"/>
          </w:tcPr>
          <w:p>
            <w:r>
              <w:t>Fast semantic incidents -&gt; caller reputation; merge 91b473a475a6fd7c235822c5c930cc0f5eba2002</w:t>
            </w:r>
          </w:p>
        </w:tc>
        <w:tc>
          <w:tcPr>
            <w:tcW w:type="dxa" w:w="2550"/>
          </w:tcPr>
          <w:p>
            <w:r>
              <w:t>VERIFICADO</w:t>
            </w:r>
          </w:p>
        </w:tc>
      </w:tr>
      <w:tr>
        <w:tc>
          <w:tcPr>
            <w:tcW w:type="dxa" w:w="2550"/>
          </w:tcPr>
          <w:p>
            <w:r>
              <w:t>E-017</w:t>
            </w:r>
          </w:p>
        </w:tc>
        <w:tc>
          <w:tcPr>
            <w:tcW w:type="dxa" w:w="2550"/>
          </w:tcPr>
          <w:p>
            <w:r>
              <w:t>Workflow</w:t>
            </w:r>
          </w:p>
        </w:tc>
        <w:tc>
          <w:tcPr>
            <w:tcW w:type="dxa" w:w="2550"/>
          </w:tcPr>
          <w:p>
            <w:r>
              <w:t>Gemini Fast Canary Deploy run 33208639554; SHA 154fdcfd...; SUCCESS</w:t>
            </w:r>
          </w:p>
        </w:tc>
        <w:tc>
          <w:tcPr>
            <w:tcW w:type="dxa" w:w="2550"/>
          </w:tcPr>
          <w:p>
            <w:r>
              <w:t>VERIFICADO EN CANARY</w:t>
            </w:r>
          </w:p>
        </w:tc>
      </w:tr>
      <w:tr>
        <w:tc>
          <w:tcPr>
            <w:tcW w:type="dxa" w:w="2550"/>
          </w:tcPr>
          <w:p>
            <w:r>
              <w:t>E-018</w:t>
            </w:r>
          </w:p>
        </w:tc>
        <w:tc>
          <w:tcPr>
            <w:tcW w:type="dxa" w:w="2550"/>
          </w:tcPr>
          <w:p>
            <w:r>
              <w:t>Supabase + llamada real</w:t>
            </w:r>
          </w:p>
        </w:tc>
        <w:tc>
          <w:tcPr>
            <w:tcW w:type="dxa" w:w="2550"/>
          </w:tcPr>
          <w:p>
            <w:r>
              <w:t>Call v3:uHjdAfDtH2KmuPKzJ2cKyGY_nbIQankHLScOdnq2oN4TNewNo5xxpg: 4 eventos semánticos, risk_delta=1, raw_transcript_stored=false, sin TOOL_EXECUTION_FAILED</w:t>
            </w:r>
          </w:p>
        </w:tc>
        <w:tc>
          <w:tcPr>
            <w:tcW w:type="dxa" w:w="2550"/>
          </w:tcPr>
          <w:p>
            <w:r>
              <w:t>VERIFICADO E2E</w:t>
            </w:r>
          </w:p>
        </w:tc>
      </w:tr>
      <w:tr>
        <w:tc>
          <w:tcPr>
            <w:tcW w:type="dxa" w:w="2550"/>
          </w:tcPr>
          <w:p>
            <w:r>
              <w:t>E-019</w:t>
            </w:r>
          </w:p>
        </w:tc>
        <w:tc>
          <w:tcPr>
            <w:tcW w:type="dxa" w:w="2550"/>
          </w:tcPr>
          <w:p>
            <w:r>
              <w:t>Supabase + Telnyx</w:t>
            </w:r>
          </w:p>
        </w:tc>
        <w:tc>
          <w:tcPr>
            <w:tcW w:type="dxa" w:w="2550"/>
          </w:tcPr>
          <w:p>
            <w:r>
              <w:t>Handoff TRANSFERRED, destino contestado, failure_reason=null, cierre HUMAN_HANDOFF_TERMINAL</w:t>
            </w:r>
          </w:p>
        </w:tc>
        <w:tc>
          <w:tcPr>
            <w:tcW w:type="dxa" w:w="2550"/>
          </w:tcPr>
          <w:p>
            <w:r>
              <w:t>VERIFICADO E2E</w:t>
            </w:r>
          </w:p>
        </w:tc>
      </w:tr>
      <w:tr>
        <w:tc>
          <w:tcPr>
            <w:tcW w:type="dxa" w:w="2550"/>
          </w:tcPr>
          <w:p>
            <w:r>
              <w:t>E-020</w:t>
            </w:r>
          </w:p>
        </w:tc>
        <w:tc>
          <w:tcPr>
            <w:tcW w:type="dxa" w:w="2550"/>
          </w:tcPr>
          <w:p>
            <w:r>
              <w:t>GitHub Actions + Cloud Run + Cloudflare</w:t>
            </w:r>
          </w:p>
        </w:tc>
        <w:tc>
          <w:tcPr>
            <w:tcW w:type="dxa" w:w="2550"/>
          </w:tcPr>
          <w:p>
            <w:r>
              <w:t>SHA d7435fd81915...; Fast Canary 33252047260 y Media Canary 33252047272 SUCCESS; revisión gemini-media-edge-00202-coh; Worker 3100c432-69a0-44ea-a59f-fdaaa4458221; Queue, token parity, bootstrap y HMAC verificados</w:t>
            </w:r>
          </w:p>
        </w:tc>
        <w:tc>
          <w:tcPr>
            <w:tcW w:type="dxa" w:w="2550"/>
          </w:tcPr>
          <w:p>
            <w:r>
              <w:t>VERIFICADO EN CANARY</w:t>
            </w:r>
          </w:p>
        </w:tc>
      </w:tr>
    </w:tbl>
    <w:p>
      <w:pPr>
        <w:spacing w:after="0"/>
      </w:pPr>
    </w:p>
    <w:p>
      <w:pPr>
        <w:pStyle w:val="Heading2"/>
        <w:keepNext/>
      </w:pPr>
      <w:r>
        <w:t>14.1 Archivos clave a revisar al actualizar esta guía</w:t>
      </w:r>
    </w:p>
    <w:p>
      <w:pPr>
        <w:pStyle w:val="ListBullet"/>
        <w:spacing w:after="40"/>
      </w:pPr>
      <w:r>
        <w:t>apps/gemini-media-edge/src/fast-tool-authorization-kernel.mjs</w:t>
      </w:r>
    </w:p>
    <w:p>
      <w:pPr>
        <w:pStyle w:val="ListBullet"/>
        <w:spacing w:after="40"/>
      </w:pPr>
      <w:r>
        <w:t>apps/gemini-media-edge/src/fast-runtime.mjs</w:t>
      </w:r>
    </w:p>
    <w:p>
      <w:pPr>
        <w:pStyle w:val="ListBullet"/>
        <w:spacing w:after="40"/>
      </w:pPr>
      <w:r>
        <w:t>apps/gemini-media-edge/src/diagnostic-journal.mjs</w:t>
      </w:r>
    </w:p>
    <w:p>
      <w:pPr>
        <w:pStyle w:val="ListBullet"/>
        <w:spacing w:after="40"/>
      </w:pPr>
      <w:r>
        <w:t>apps/gemini-media-edge/src/fast-gemini31.mjs</w:t>
      </w:r>
    </w:p>
    <w:p>
      <w:pPr>
        <w:pStyle w:val="ListBullet"/>
        <w:spacing w:after="40"/>
      </w:pPr>
      <w:r>
        <w:t>apps/control-plane/src/caller-security.ts</w:t>
      </w:r>
    </w:p>
    <w:p>
      <w:pPr>
        <w:pStyle w:val="ListBullet"/>
        <w:spacing w:after="40"/>
      </w:pPr>
      <w:r>
        <w:t>apps/control-plane/src/caller-security-signal-delivery.ts</w:t>
      </w:r>
    </w:p>
    <w:p>
      <w:pPr>
        <w:pStyle w:val="ListBullet"/>
        <w:spacing w:after="40"/>
      </w:pPr>
      <w:r>
        <w:t>apps/control-plane/src/index-v4.ts</w:t>
      </w:r>
    </w:p>
    <w:p>
      <w:pPr>
        <w:pStyle w:val="ListBullet"/>
        <w:spacing w:after="40"/>
      </w:pPr>
      <w:r>
        <w:t>apps/control-plane/src/semantic-security-boundary.ts</w:t>
      </w:r>
    </w:p>
    <w:p>
      <w:pPr>
        <w:pStyle w:val="ListBullet"/>
        <w:spacing w:after="40"/>
      </w:pPr>
      <w:r>
        <w:t>apps/control-plane/src/technical-diagnostic-redaction.ts</w:t>
      </w:r>
    </w:p>
    <w:p>
      <w:pPr>
        <w:pStyle w:val="ListBullet"/>
        <w:spacing w:after="40"/>
      </w:pPr>
      <w:r>
        <w:t>Supabase RPCs evaluate_inbound_call_security_v2 / record_caller_security_signal_v2</w:t>
      </w:r>
    </w:p>
    <w:p>
      <w:pPr>
        <w:pStyle w:val="Heading1"/>
        <w:keepNext/>
      </w:pPr>
      <w:r>
        <w:t>15. Historial de cambios del documento</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Versión</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Fecha</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Cambios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6"/>
              </w:rPr>
              <w:t>0.1</w:t>
            </w:r>
          </w:p>
        </w:tc>
        <w:tc>
          <w:tcPr>
            <w:tcW w:type="dxa" w:w="3400"/>
            <w:vAlign w:val="center"/>
            <w:tcMar>
              <w:top w:w="80" w:type="dxa"/>
              <w:start w:w="100" w:type="dxa"/>
              <w:bottom w:w="80" w:type="dxa"/>
              <w:end w:w="100" w:type="dxa"/>
            </w:tcMar>
          </w:tcPr>
          <w:p>
            <w:pPr>
              <w:spacing w:after="0"/>
            </w:pPr>
            <w:r/>
            <w:r>
              <w:rPr>
                <w:rFonts w:ascii="Aptos" w:hAnsi="Aptos"/>
                <w:b w:val="0"/>
                <w:sz w:val="16"/>
              </w:rPr>
              <w:t>2026-08-28</w:t>
            </w:r>
          </w:p>
        </w:tc>
        <w:tc>
          <w:tcPr>
            <w:tcW w:type="dxa" w:w="3400"/>
            <w:vAlign w:val="center"/>
            <w:tcMar>
              <w:top w:w="80" w:type="dxa"/>
              <w:start w:w="100" w:type="dxa"/>
              <w:bottom w:w="80" w:type="dxa"/>
              <w:end w:w="100" w:type="dxa"/>
            </w:tcMar>
          </w:tcPr>
          <w:p>
            <w:pPr>
              <w:spacing w:after="0"/>
            </w:pPr>
            <w:r/>
            <w:r>
              <w:rPr>
                <w:rFonts w:ascii="Aptos" w:hAnsi="Aptos"/>
                <w:b w:val="0"/>
                <w:sz w:val="16"/>
              </w:rPr>
              <w:t>Baseline inicial: revisión OpenAI security, caller reputation/Supabase, semantic boundary, FastToolAuthorizationKernel PR #91, fix temporal PR #92, arquitectura objetivo, backlog, criterios de aceptación y protocolo cross-session.</w:t>
            </w:r>
          </w:p>
        </w:tc>
      </w:tr>
      <w:tr>
        <w:tc>
          <w:tcPr>
            <w:tcW w:type="dxa" w:w="3400"/>
          </w:tcPr>
          <w:p>
            <w:r>
              <w:t>0.2</w:t>
            </w:r>
          </w:p>
        </w:tc>
        <w:tc>
          <w:tcPr>
            <w:tcW w:type="dxa" w:w="3400"/>
          </w:tcPr>
          <w:p>
            <w:r>
              <w:t>2026-08-28</w:t>
            </w:r>
          </w:p>
        </w:tc>
        <w:tc>
          <w:tcPr>
            <w:tcW w:type="dxa" w:w="3400"/>
          </w:tcPr>
          <w:p>
            <w:r>
              <w:t>Validación E2E real: se corrige la interpretación de transferencia (consentimiento explícito confirmado, handoff PASS y destino automático); se registra como observación abierta la doble invocación temporal y se añade prueba controlada SEC-P1-05.</w:t>
            </w:r>
          </w:p>
        </w:tc>
      </w:tr>
      <w:tr>
        <w:tc>
          <w:tcPr>
            <w:tcW w:type="dxa" w:w="3400"/>
          </w:tcPr>
          <w:p>
            <w:r>
              <w:t>0.3</w:t>
            </w:r>
          </w:p>
        </w:tc>
        <w:tc>
          <w:tcPr>
            <w:tcW w:type="dxa" w:w="3400"/>
          </w:tcPr>
          <w:p>
            <w:r>
              <w:t>2026-08-29</w:t>
            </w:r>
          </w:p>
        </w:tc>
        <w:tc>
          <w:tcPr>
            <w:tcW w:type="dxa" w:w="3400"/>
          </w:tcPr>
          <w:p>
            <w:r>
              <w:t>Reconciliación PR #93/#94 y corrección de persistencia; E2E A-G; SEC-P0-01/02/03 cerrados; arquitectura transversal/vertical y contrato obligatorio de tools explicitados.</w:t>
            </w:r>
          </w:p>
        </w:tc>
      </w:tr>
      <w:tr>
        <w:tc>
          <w:tcPr>
            <w:tcW w:type="dxa" w:w="3400"/>
          </w:tcPr>
          <w:p>
            <w:r>
              <w:t>0.4</w:t>
            </w:r>
          </w:p>
        </w:tc>
        <w:tc>
          <w:tcPr>
            <w:tcW w:type="dxa" w:w="3400"/>
          </w:tcPr>
          <w:p>
            <w:r>
              <w:t>2026-08-29</w:t>
            </w:r>
          </w:p>
        </w:tc>
        <w:tc>
          <w:tcPr>
            <w:tcW w:type="dxa" w:w="3400"/>
          </w:tcPr>
          <w:p>
            <w:r>
              <w:t>Extracción Gemini-native de caller security desplegada: secretos históricos y huella independiente provisionados, Queue/DLQ propias, corte del Worker histórico, CI verde, canary 33252047260/33252047272 y revisión gemini-media-edge-00202-coh.</w:t>
            </w:r>
          </w:p>
        </w:tc>
      </w:tr>
    </w:tbl>
    <w:p>
      <w:pPr>
        <w:spacing w:after="0"/>
      </w:pPr>
    </w:p>
    <w:p>
      <w:pPr>
        <w:pStyle w:val="Heading2"/>
        <w:keepNext/>
      </w:pPr>
      <w:r>
        <w:t>Plantilla para la próxima actualización</w:t>
      </w:r>
    </w:p>
    <w:p>
      <w:pPr>
        <w:pStyle w:val="CodeBlock"/>
        <w:spacing w:after="80"/>
      </w:pPr>
      <w:r>
        <w:t>Versión: 0.x</w:t>
        <w:br/>
        <w:t>Fecha:</w:t>
        <w:br/>
        <w:t>Nuevo SHA estable:</w:t>
        <w:br/>
        <w:t>PR(s):</w:t>
        <w:br/>
        <w:t>Deploy/canary:</w:t>
        <w:br/>
        <w:t>Controles añadidos/cambiados:</w:t>
        <w:br/>
        <w:t>Riesgos cerrados:</w:t>
        <w:br/>
        <w:t>Nuevos riesgos:</w:t>
        <w:br/>
        <w:t>Decisiones D-xxx:</w:t>
        <w:br/>
        <w:t>Evidencia E-xxx:</w:t>
        <w:br/>
        <w:t>Impacto hot path: NONE / EXPLICAR</w:t>
        <w:br/>
        <w:t>Próximo paso:</w:t>
      </w:r>
    </w:p>
    <w:tbl>
      <w:tblPr>
        <w:tblW w:type="auto" w:w="0"/>
        <w:jc w:val="center"/>
        <w:tblLook w:firstColumn="1" w:firstRow="1" w:lastColumn="0" w:lastRow="0" w:noHBand="0" w:noVBand="1" w:val="04A0"/>
      </w:tblPr>
      <w:tblGrid>
        <w:gridCol w:w="10200"/>
      </w:tblGrid>
      <w:tr>
        <w:trPr>
          <w:cantSplit/>
        </w:trPr>
        <w:tc>
          <w:tcPr>
            <w:tcW w:type="dxa" w:w="10200"/>
            <w:shd w:fill="DDEBF7"/>
            <w:tcMar>
              <w:top w:w="130" w:type="dxa"/>
              <w:start w:w="150" w:type="dxa"/>
              <w:bottom w:w="130" w:type="dxa"/>
              <w:end w:w="150" w:type="dxa"/>
            </w:tcMar>
            <w:tcBorders>
              <w:top w:val="single" w:sz="8" w:color="2F5597"/>
              <w:left w:val="single" w:sz="8" w:color="2F5597"/>
              <w:bottom w:val="single" w:sz="8" w:color="2F5597"/>
              <w:right w:val="single" w:sz="8" w:color="2F5597"/>
            </w:tcBorders>
          </w:tcPr>
          <w:p>
            <w:r>
              <w:t>Cierre de versión 0.3</w:t>
              <w:br/>
              <w:t>Esta versión mantiene la seguridad como programa vivo. La frontera semántica y la reputación persistente están verificadas E2E, pero siguen abiertos SEC-P0-04 en adelante, la política de decay/reset de risk_score y la extracción física de caller security neutral fuera del Worker OpenAI antes del aislamiento operativo total.</w:t>
            </w:r>
          </w:p>
        </w:tc>
      </w:tr>
    </w:tbl>
    <w:sectPr w:rsidR="00FC693F" w:rsidRPr="0006063C" w:rsidSect="00034616">
      <w:headerReference w:type="default" r:id="rId9"/>
      <w:footerReference w:type="default" r:id="rId10"/>
      <w:pgSz w:w="12240" w:h="15840"/>
      <w:pgMar w:top="964" w:right="1020" w:bottom="850"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F7F7F"/>
        <w:sz w:val="14"/>
      </w:rPr>
      <w:t xml:space="preserve">Documento vivo - verificar rama, SHA y despliegue antes de actuar  |  </w:t>
    </w:r>
    <w: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7F7F"/>
        <w:sz w:val="15"/>
      </w:rPr>
      <w:t>IA_RealTime_CenterCall  |  Guía Viva de Seguridad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ptos Display" w:hAnsi="Aptos Display"/>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ptos Display" w:hAnsi="Aptos Display"/>
      <w:b/>
      <w:bCs/>
      <w:color w:val="5B9BD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80"/>
      <w:ind w:left="255" w:right="255"/>
    </w:pPr>
    <w:rPr>
      <w:rFonts w:ascii="DejaVu Sans Mono" w:hAnsi="DejaVu Sans Mono"/>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IA_RealTime_CenterCall - Guía Viva de Seguridad</dc:title>
  <dc:subject>Arquitectura, controles, decisiones, riesgos y continuidad entre sesiones</dc:subject>
  <dc:creator>Proyecto IA_RealTime_CenterCall</dc:creator>
  <cp:keywords>security, Gemini Fast, OpenAI, Telnyx, Supabase, tool authorization, caller security</cp:keywords>
  <dc:description>Documento vivo. Verificar SHA y despliegue antes de usar como estado autoritativo.</dc:description>
  <cp:lastModifiedBy/>
  <cp:revision>1</cp:revision>
  <dcterms:created xsi:type="dcterms:W3CDTF">2013-12-23T23:15:00Z</dcterms:created>
  <dcterms:modified xsi:type="dcterms:W3CDTF">2013-12-23T23:15:00Z</dcterms:modified>
  <cp:category/>
</cp:coreProperties>
</file>