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ptos" w:hAnsi="Aptos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r>
              <w:t>13 septiembre 2026</w:t>
              <w:br/>
              <w:t>Stable d0e48b716d25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  <w:tr>
        <w:tc>
          <w:tcPr>
            <w:tcW w:type="dxa" w:w="3312"/>
          </w:tcPr>
          <w:p>
            <w:r>
              <w:t>Cierre semántico high-confidence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3 observaciones autorizadas y distintas; despedida, marca Telnyx exacta y hangup exclusivo Worker/Telnyx</w:t>
            </w:r>
          </w:p>
        </w:tc>
        <w:tc>
          <w:tcPr>
            <w:tcW w:type="dxa" w:w="3312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Regresión consolidada de seguridad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Runner común, suites Media Edge y Control Plane, y gate CI final</w:t>
            </w:r>
          </w:p>
        </w:tc>
        <w:tc>
          <w:tcPr>
            <w:tcW w:type="dxa" w:w="3312"/>
            <w:vAlign w:val="center"/>
          </w:tcPr>
          <w:p>
            <w:r>
              <w:t>PR #101 fusionada; gate CI verde</w:t>
            </w:r>
          </w:p>
        </w:tc>
      </w:tr>
      <w:tr>
        <w:tc>
          <w:tcPr>
            <w:tcW w:type="dxa" w:w="3312"/>
            <w:vAlign w:val="center"/>
          </w:tcPr>
          <w:p>
            <w:r>
              <w:t>Retención y borrado</w:t>
            </w:r>
          </w:p>
        </w:tc>
        <w:tc>
          <w:tcPr>
            <w:tcW w:type="dxa" w:w="3312"/>
            <w:vAlign w:val="center"/>
          </w:tcPr>
          <w:p>
            <w:r>
              <w:t>Purga privada por lotes, cron diario y auditoría agregada</w:t>
            </w:r>
          </w:p>
        </w:tc>
        <w:tc>
          <w:tcPr>
            <w:tcW w:type="dxa" w:w="3312"/>
            <w:vAlign w:val="center"/>
          </w:tcPr>
          <w:p>
            <w:r>
              <w:t>Desplegado; cron activo y primera ejecución pendiente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r>
              <w:t>Semantic boundary + señal mínima; cierre sólo con alta confianza acumulada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t>Verificar primera ejecución programada de retención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>
              <w:t>Cron succeeded; límite respetado; auditoría agregada y advisors revisados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4968"/>
          </w:tcPr>
          <w:p>
            <w:r>
              <w:t>Una observación no termina la llamada; 3 toolCallId distintos habilitan cierre</w:t>
            </w:r>
          </w:p>
        </w:tc>
        <w:tc>
          <w:tcPr>
            <w:tcW w:type="dxa" w:w="4968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4968"/>
          </w:tcPr>
          <w:p>
            <w:r>
              <w:rPr>
                <w:rFonts w:ascii="Aptos" w:hAnsi="Aptos"/>
                <w:sz w:val="18"/>
              </w:rPr>
              <w:t>Gate único de regresión de seguridad</w:t>
            </w:r>
          </w:p>
        </w:tc>
        <w:tc>
          <w:tcPr>
            <w:tcW w:type="dxa" w:w="4968"/>
            <w:vAlign w:val="center"/>
          </w:tcPr>
          <w:p>
            <w:r>
              <w:t>PR #101 fusionada; CI verde</w:t>
            </w:r>
          </w:p>
        </w:tc>
      </w:tr>
      <w:tr>
        <w:tc>
          <w:tcPr>
            <w:tcW w:type="dxa" w:w="4968"/>
            <w:vAlign w:val="center"/>
          </w:tcPr>
          <w:p>
            <w:r>
              <w:t>Retención acotada fuera del hot path</w:t>
            </w:r>
          </w:p>
        </w:tc>
        <w:tc>
          <w:tcPr>
            <w:tcW w:type="dxa" w:w="4968"/>
            <w:vAlign w:val="center"/>
          </w:tcPr>
          <w:p>
            <w:r>
              <w:t>Desplegada; cron activo y primera ejecución programada pendiente</w:t>
            </w:r>
          </w:p>
        </w:tc>
      </w:tr>
    </w:tbl>
    <w:p>
      <w:pPr>
        <w:pStyle w:val="Heading1"/>
      </w:pPr>
      <w:r>
        <w:t>12. Estado de implementación actual</w:t>
      </w:r>
    </w:p>
    <w:p>
      <w:pPr>
        <w:pStyle w:val="ListBullet"/>
      </w:pPr>
      <w:r>
        <w:t>Base estable verificada: rebuild/v39-stable-baseline @ d0e48b716d250c666e4873633809fe4699f98a28.</w:t>
      </w:r>
    </w:p>
    <w:p>
      <w:pPr>
        <w:pStyle w:val="ListBullet"/>
      </w:pPr>
      <w:r>
        <w:t>Corrección de despedida: PR #100 desplegada; la revisión gemini-media-edge-00227-qub recibe el 100 % del tráfico y el hangup espera la marca Telnyx exacta antes del cierre.</w:t>
      </w:r>
    </w:p>
    <w:p>
      <w:pPr>
        <w:pStyle w:val="ListBullet"/>
      </w:pPr>
      <w:r>
        <w:t>Impacto hot path: ninguno en SEC-P1-03 o SEC-P1-04. El gate sólo ejecuta pruebas y la retención se ejecuta por cron dentro de Supabase.</w:t>
      </w:r>
    </w:p>
    <w:p>
      <w:pPr>
        <w:pStyle w:val="ListBullet"/>
      </w:pPr>
      <w:r>
        <w:t>SEC-P1-03: runner común y workflow Gemini Security Regression Gate publicados mediante PR #101; gate ampliado a 157/157 pruebas específicas PASS.</w:t>
      </w:r>
    </w:p>
    <w:p>
      <w:pPr>
        <w:pStyle w:val="ListBullet"/>
      </w:pPr>
      <w:r>
        <w:t>SEC-P1-04: migración privada desplegada en Supabase como 20260913082816; PR #102 con CI verde; función, permisos y cron verificados. Primera ejecución programada pendiente.</w:t>
      </w:r>
    </w:p>
    <w:p>
      <w:pPr>
        <w:pStyle w:val="Heading1"/>
        <w:pageBreakBefore/>
      </w:pPr>
      <w:r>
        <w:t>13 Retención y borrado de datos de seguridad</w:t>
      </w:r>
    </w:p>
    <w:p>
      <w:r>
        <w:t>SEC-P1-04 limita la evidencia durable sin debilitar decisiones activas. La autoridad de mantenimiento vive en PostgreSQL y no participa en admission, tools, turnos ni audio.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240"/>
            <w:vAlign w:val="center"/>
          </w:tcPr>
          <w:p>
            <w:r>
              <w:t>Datos</w:t>
            </w:r>
          </w:p>
        </w:tc>
        <w:tc>
          <w:tcPr>
            <w:tcW w:type="dxa" w:w="6120"/>
            <w:vAlign w:val="center"/>
          </w:tcPr>
          <w:p>
            <w:r>
              <w:t>Conservación y condición</w:t>
            </w:r>
          </w:p>
        </w:tc>
      </w:tr>
      <w:tr>
        <w:tc>
          <w:tcPr>
            <w:tcW w:type="dxa" w:w="3240"/>
            <w:vAlign w:val="center"/>
          </w:tcPr>
          <w:p>
            <w:r>
              <w:t>Diagnóstico técnico</w:t>
            </w:r>
          </w:p>
        </w:tc>
        <w:tc>
          <w:tcPr>
            <w:tcW w:type="dxa" w:w="6120"/>
            <w:vAlign w:val="center"/>
          </w:tcPr>
          <w:p>
            <w:r>
              <w:t>7 días desde created_at</w:t>
            </w:r>
          </w:p>
        </w:tc>
      </w:tr>
      <w:tr>
        <w:tc>
          <w:tcPr>
            <w:tcW w:type="dxa" w:w="3240"/>
            <w:vAlign w:val="center"/>
          </w:tcPr>
          <w:p>
            <w:r>
              <w:t>Intentos de llamada</w:t>
            </w:r>
          </w:p>
        </w:tc>
        <w:tc>
          <w:tcPr>
            <w:tcW w:type="dxa" w:w="6120"/>
            <w:vAlign w:val="center"/>
          </w:tcPr>
          <w:p>
            <w:r>
              <w:t>7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ordinarias</w:t>
            </w:r>
          </w:p>
        </w:tc>
        <w:tc>
          <w:tcPr>
            <w:tcW w:type="dxa" w:w="6120"/>
            <w:vAlign w:val="center"/>
          </w:tcPr>
          <w:p>
            <w:r>
              <w:t>30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HIGH o CRITICAL</w:t>
            </w:r>
          </w:p>
        </w:tc>
        <w:tc>
          <w:tcPr>
            <w:tcW w:type="dxa" w:w="6120"/>
            <w:vAlign w:val="center"/>
          </w:tcPr>
          <w:p>
            <w:r>
              <w:t>90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Reset administrativo</w:t>
            </w:r>
          </w:p>
        </w:tc>
        <w:tc>
          <w:tcPr>
            <w:tcW w:type="dxa" w:w="6120"/>
            <w:vAlign w:val="center"/>
          </w:tcPr>
          <w:p>
            <w:r>
              <w:t>365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Estado de caller</w:t>
            </w:r>
          </w:p>
        </w:tc>
        <w:tc>
          <w:tcPr>
            <w:tcW w:type="dxa" w:w="6120"/>
            <w:vAlign w:val="center"/>
          </w:tcPr>
          <w:p>
            <w:r>
              <w:t>90 días de inactividad, sólo con riesgo cero y sin bloqueo</w:t>
            </w:r>
          </w:p>
        </w:tc>
      </w:tr>
      <w:tr>
        <w:tc>
          <w:tcPr>
            <w:tcW w:type="dxa" w:w="3240"/>
            <w:vAlign w:val="center"/>
          </w:tcPr>
          <w:p>
            <w:r>
              <w:t>Handoff finalizado</w:t>
            </w:r>
          </w:p>
        </w:tc>
        <w:tc>
          <w:tcPr>
            <w:tcW w:type="dxa" w:w="6120"/>
            <w:vAlign w:val="center"/>
          </w:tcPr>
          <w:p>
            <w:r>
              <w:t>30 días; un callback pendiente nunca se borra automáticamente</w:t>
            </w:r>
          </w:p>
        </w:tc>
      </w:tr>
      <w:tr>
        <w:tc>
          <w:tcPr>
            <w:tcW w:type="dxa" w:w="3240"/>
            <w:vAlign w:val="center"/>
          </w:tcPr>
          <w:p>
            <w:r>
              <w:t>Auditoría de purga</w:t>
            </w:r>
          </w:p>
        </w:tc>
        <w:tc>
          <w:tcPr>
            <w:tcW w:type="dxa" w:w="6120"/>
            <w:vAlign w:val="center"/>
          </w:tcPr>
          <w:p>
            <w:r>
              <w:t>365 días; sólo timestamps y contadores</w:t>
            </w:r>
          </w:p>
        </w:tc>
      </w:tr>
    </w:tbl>
    <w:p>
      <w:r>
        <w:t>El cron purge-gemini-security-retention-v1 se ejecuta diariamente a las 03:17 UTC. Usa lotes máximos de 1.000 filas, elimina como máximo 10.000 filas por ejecución y evita ejecuciones concurrentes.</w:t>
      </w:r>
    </w:p>
    <w:p>
      <w:pPr>
        <w:pStyle w:val="ListBullet"/>
      </w:pPr>
      <w:r>
        <w:t>Los bloqueos permanentes requieren revisión después de 365 días y nunca se eliminan automáticamente.</w:t>
      </w:r>
    </w:p>
    <w:p>
      <w:pPr>
        <w:pStyle w:val="ListBullet"/>
      </w:pPr>
      <w:r>
        <w:t>Los callbacks pendientes se cuentan para revisión a los 30 días y como vencidos a los 90 días.</w:t>
      </w:r>
    </w:p>
    <w:p>
      <w:pPr>
        <w:pStyle w:val="ListBullet"/>
      </w:pPr>
      <w:r>
        <w:t>El cron registra cantidades y tiempos; no registra teléfonos, caller keys, tenant, call IDs ni payloads.</w:t>
      </w:r>
    </w:p>
    <w:p>
      <w:pPr>
        <w:pStyle w:val="ListBullet"/>
      </w:pPr>
      <w:r>
        <w:t>La migración se aplica por el canal administrativo de Supabase y no forma parte del despliegue de Worker o Media Edge.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RealTime CenterCall Guía Viva de Seguridad Gemini Fast</dc:title>
  <dc:subject>Arquitectura, controles y validación de seguridad de Gemini Fast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