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AI Dunning–Kruger (AIDK): Structural Epistemic Limits of Large Language Models</w:t>
      </w:r>
    </w:p>
    <w:p>
      <w:r>
        <w:rPr>
          <w:sz w:val="22"/>
        </w:rPr>
        <w:t>James (JD) Longmire</w:t>
      </w:r>
    </w:p>
    <w:p>
      <w:r>
        <w:rPr>
          <w:sz w:val="20"/>
        </w:rPr>
        <w:t>Northrop Grumman Fellow (unaffiliated research)</w:t>
      </w:r>
    </w:p>
    <w:p>
      <w:r>
        <w:rPr>
          <w:sz w:val="18"/>
        </w:rPr>
        <w:t>ORCID: 0009-0009-1383-7698</w:t>
      </w:r>
    </w:p>
    <w:p>
      <w:r>
        <w:rPr>
          <w:sz w:val="18"/>
        </w:rPr>
        <w:t>Correspondence: jdlongmire@outlook.com</w:t>
      </w:r>
    </w:p>
    <w:p/>
    <w:p>
      <w:r>
        <w:rPr>
          <w:b/>
        </w:rPr>
        <w:t>Abstract</w:t>
      </w:r>
    </w:p>
    <w:p>
      <w:r>
        <w:t>Large language models exhibit a persistent mismatch between fluency and epistemic reliability. They generate outputs that resemble human reasoning while remaining insensitive to truth conditions, error, and normative constraint. This paper articulates the AI Dunning–Kruger effect (AIDK) as a structural epistemic limitation arising from the symbol-first, derivative architecture of such systems. Unlike human overconfidence, which is developmental and corrigible through encounter with reality, AIDK is permanent. The paper grounds this claim in the empirical asymmetry of human cognitive development, where thought precedes language, and contrasts it with the inverted operational trajectory of large language models. It further analyzes the Interactive Dunning–Kruger Effect (IDKE), whereby AI fluency amplifies human epistemic weakness in deployment contexts. As a design response, the paper formalizes the Human-Curated, AI-Enabled (HCAE) framework, which constrains AI use according to human epistemic authority and, at its highest tier, formal validation systems. The result is a principled account of why scaling and alignment techniques cannot resolve AI epistemic failure and why responsibility for truth must remain external to the system.</w:t>
      </w:r>
    </w:p>
    <w:p>
      <w:r>
        <w:rPr>
          <w:i/>
        </w:rPr>
        <w:t>Keywords: artificial intelligence; large language models; epistemology; Dunning–Kruger effect; symbol grounding; AI governance; philosophy of technology</w:t>
      </w:r>
      <w:r>
        <w:br w:type="page"/>
      </w:r>
    </w:p>
    <w:sectPr w:rsidR="00FC693F" w:rsidRPr="0006063C" w:rsidSect="00034616">
      <w:pgSz w:w="12240" w:h="15840"/>
      <w:pgMar w:top="1440" w:right="1800" w:bottom="1440" w:left="1800" w:header="720" w:footer="720" w:gutter="0"/>
      <w:cols w:space="720"/>
      <w:docGrid w:linePitch="360"/>
    </w:sectPr>
    <w:p>
      <w:pPr>
        <w:pStyle w:val="Heading1"/>
      </w:pPr>
      <w:r>
        <w:t>AI Dunning–Kruger (AIDK): Structural Epistemic Limits of Large Language Models</w:t>
      </w:r>
    </w:p>
    <w:p>
      <w:pPr>
        <w:pStyle w:val="Heading2"/>
      </w:pPr>
      <w:r>
        <w:t>Abstract</w:t>
      </w:r>
    </w:p>
    <w:p>
      <w:r>
        <w:t>Large language models exhibit a persistent mismatch between fluency and epistemic reliability. They generate outputs that resemble human reasoning while remaining insensitive to truth conditions, error, and normative constraint. This paper articulates the AI Dunning–Kruger effect (AIDK) as a structural epistemic limitation arising from the symbol-first, derivative architecture of such systems. Unlike human overconfidence, which is developmental and corrigible through encounter with reality, AIDK is permanent. The paper grounds this claim in the empirical asymmetry of human cognitive development, where thought precedes language, and contrasts it with the inverted operational trajectory of large language models. It further analyzes the Interactive Dunning–Kruger Effect (IDKE), whereby AI fluency amplifies human epistemic weakness in deployment contexts. As a design response, the paper formalizes the Human-Curated, AI-Enabled (HCAE) framework, which constrains AI use according to human epistemic authority and, at its highest tier, formal validation systems. The result is a principled account of why scaling and alignment techniques cannot resolve AI epistemic failure and why responsibility for truth must remain external to the system.</w:t>
      </w:r>
    </w:p>
    <w:p>
      <w:pPr>
        <w:pStyle w:val="Heading2"/>
      </w:pPr>
      <w:r>
        <w:t>Keywords</w:t>
      </w:r>
    </w:p>
    <w:p>
      <w:r>
        <w:t>artificial intelligence; large language models; epistemology; Dunning–Kruger effect; symbol grounding; human-in-the-loop; AI governance; philosophy of technology</w:t>
      </w:r>
    </w:p>
    <w:sectPr w:rsidR="00FC693F" w:rsidRPr="0006063C" w:rsidSect="00034616">
      <w:pgSz w:w="12240" w:h="15840"/>
      <w:pgMar w:top="1440" w:right="1800" w:bottom="1440" w:left="1800" w:header="720" w:footer="720" w:gutter="0"/>
      <w:cols w:space="720"/>
      <w:docGrid w:linePitch="360"/>
    </w:sectPr>
    <w:p>
      <w:pPr>
        <w:pStyle w:val="Heading1"/>
      </w:pPr>
      <w:r>
        <w:t>AI Dunning–Kruger (AIDK): Structural Epistemic Limits of Large Language Models</w:t>
      </w:r>
    </w:p>
    <w:p>
      <w:r>
        <w:t>Large language models exhibit a striking combination of impressive fluency and persistent epistemic failure. They generate coherent arguments, solve benchmark problems, and mirror the surface structure of reasoning, yet they also hallucinate confidently, fail to detect their own errors, and display no stable relationship between confidence and correctness. These failures are often treated as contingent defects—bugs to be fixed through scaling, better data, or improved training. This paper introduces the AI Dunning–Kruger effect (AIDK) as an alternative diagnosis: a structural epistemic limitation arising necessarily from the architecture of large language models themselves.</w:t>
      </w:r>
    </w:p>
    <w:p>
      <w:r>
        <w:t>Human epistemic failure is developmental and corrigible. Novices overestimate their competence, encounter resistance from reality, revise their beliefs, and gradually calibrate confidence to warrant. Large language models, by contrast, operate entirely within a closed symbolic space. They have no access to truth conditions, no capacity to register error as error, and no mechanism for confidence recalibration through encounter with the world. The result is a permanent inversion of the human Dunning–Kruger trajectory: uniformly fluent output regardless of underlying reliability.</w:t>
      </w:r>
    </w:p>
    <w:p>
      <w:pPr>
        <w:pStyle w:val="Heading2"/>
      </w:pPr>
      <w:r>
        <w:t>1. Thought First, Symbols Follow</w:t>
      </w:r>
    </w:p>
    <w:p>
      <w:r>
        <w:t>Human cognition is empirically thought-first and symbol-second. Infants acquire concepts, track objects, detect violations of expectation, and respond to normativity prior to language acquisition. Symbols and language emerge later as tools for expressing, compressing, and communicating thought that already exists. Language deprivation and aphasia further confirm this asymmetry: loss of language impairs expression, not thought itself.</w:t>
      </w:r>
    </w:p>
    <w:p>
      <w:r>
        <w:t>Large language models invert this developmental pipeline. They begin with symbols derived from human-produced text and operate exclusively over statistical relations between those symbols. There is no pre-symbolic grasp of concepts, no encounter with reality, and no normative constraint beyond probabilistic likelihood. This inversion explains why scaling improves fluency without improving epistemic grounding.</w:t>
      </w:r>
    </w:p>
    <w:p>
      <w:pPr>
        <w:pStyle w:val="Heading3"/>
      </w:pPr>
      <w:r>
        <w:t>Figure 1. Inverted Developmental Pipelines</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_comparative_infographic_infographic_titled_&quot;Deve.png"/>
                    <pic:cNvPicPr/>
                  </pic:nvPicPr>
                  <pic:blipFill>
                    <a:blip r:embed="rId9"/>
                    <a:stretch>
                      <a:fillRect/>
                    </a:stretch>
                  </pic:blipFill>
                  <pic:spPr>
                    <a:xfrm>
                      <a:off x="0" y="0"/>
                      <a:ext cx="5029200" cy="3352800"/>
                    </a:xfrm>
                    <a:prstGeom prst="rect"/>
                  </pic:spPr>
                </pic:pic>
              </a:graphicData>
            </a:graphic>
          </wp:inline>
        </w:drawing>
      </w:r>
    </w:p>
    <w:p>
      <w:r>
        <w:t>This figure contrasts the human developmental trajectory—reality to thought to symbols—with the inverted LLM trajectory, which begins and ends with symbols. The absence of a reality-facing constraint explains why LLMs can simulate reasoning while lacking error awareness.</w:t>
      </w:r>
    </w:p>
    <w:p>
      <w:pPr>
        <w:pStyle w:val="Heading2"/>
      </w:pPr>
      <w:r>
        <w:t>2. Origination and Derivation</w:t>
      </w:r>
    </w:p>
    <w:p>
      <w:r>
        <w:t>The AIDK diagnosis rests on a categorical distinction between origination and derivation. Origination involves judgment, goal formation, truth evaluation, and norm-sensitive error correction. Derivation involves the transformation of representations according to learned or programmed rules. No amount of derivation yields origination, because the latter presupposes access to normative constraint.</w:t>
      </w:r>
    </w:p>
    <w:p>
      <w:pPr>
        <w:pStyle w:val="Heading3"/>
      </w:pPr>
      <w:r>
        <w:t>Figure 2. Origination–Derivation Boundary</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A_diagram_in_the_image_visually_distinguishes_orig.png"/>
                    <pic:cNvPicPr/>
                  </pic:nvPicPr>
                  <pic:blipFill>
                    <a:blip r:embed="rId10"/>
                    <a:stretch>
                      <a:fillRect/>
                    </a:stretch>
                  </pic:blipFill>
                  <pic:spPr>
                    <a:xfrm>
                      <a:off x="0" y="0"/>
                      <a:ext cx="5029200" cy="3352800"/>
                    </a:xfrm>
                    <a:prstGeom prst="rect"/>
                  </pic:spPr>
                </pic:pic>
              </a:graphicData>
            </a:graphic>
          </wp:inline>
        </w:drawing>
      </w:r>
    </w:p>
    <w:p>
      <w:r>
        <w:t>This diagram illustrates the categorical boundary between origination-level capacities and derivation-level computation. Scaling within derivation cannot cross this boundary.</w:t>
      </w:r>
    </w:p>
    <w:p>
      <w:pPr>
        <w:pStyle w:val="Heading2"/>
      </w:pPr>
      <w:r>
        <w:t>3. AI Dunning–Kruger and Interaction Effects</w:t>
      </w:r>
    </w:p>
    <w:p>
      <w:r>
        <w:t>Because LLMs lack access to truth conditions, their outputs exhibit structurally invariant confidence. Fluency does not track correctness. When such systems are deployed in human contexts, this invariance interacts with human epistemic weakness to produce the Interactive Dunning–Kruger Effect (IDKE): confidence laundering through fluent but ungrounded output.</w:t>
      </w:r>
    </w:p>
    <w:p>
      <w:pPr>
        <w:pStyle w:val="Heading3"/>
      </w:pPr>
      <w:r>
        <w:t>Figure 3. Human vs. AI Dunning–Kruger Profiles</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A_two-part_comparison_graph_in_the_image_illustrat.png"/>
                    <pic:cNvPicPr/>
                  </pic:nvPicPr>
                  <pic:blipFill>
                    <a:blip r:embed="rId11"/>
                    <a:stretch>
                      <a:fillRect/>
                    </a:stretch>
                  </pic:blipFill>
                  <pic:spPr>
                    <a:xfrm>
                      <a:off x="0" y="0"/>
                      <a:ext cx="5029200" cy="3352800"/>
                    </a:xfrm>
                    <a:prstGeom prst="rect"/>
                  </pic:spPr>
                </pic:pic>
              </a:graphicData>
            </a:graphic>
          </wp:inline>
        </w:drawing>
      </w:r>
    </w:p>
    <w:p>
      <w:r>
        <w:t>Human confidence is corrigible through feedback and error. AI confidence remains flat and fluent regardless of competence, defining AIDK.</w:t>
      </w:r>
    </w:p>
    <w:p>
      <w:pPr>
        <w:pStyle w:val="Heading3"/>
      </w:pPr>
      <w:r>
        <w:t>Figure 4. Interactive Dunning–Kruger Effect</w:t>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A_flowchart_titled_&quot;Interactive_Dunning-Kruger_Eff.png"/>
                    <pic:cNvPicPr/>
                  </pic:nvPicPr>
                  <pic:blipFill>
                    <a:blip r:embed="rId12"/>
                    <a:stretch>
                      <a:fillRect/>
                    </a:stretch>
                  </pic:blipFill>
                  <pic:spPr>
                    <a:xfrm>
                      <a:off x="0" y="0"/>
                      <a:ext cx="5029200" cy="3352800"/>
                    </a:xfrm>
                    <a:prstGeom prst="rect"/>
                  </pic:spPr>
                </pic:pic>
              </a:graphicData>
            </a:graphic>
          </wp:inline>
        </w:drawing>
      </w:r>
    </w:p>
    <w:p>
      <w:r>
        <w:t>This feedback loop shows how AI fluency amplifies human overconfidence. The cycle can be interrupted only by external epistemic authority.</w:t>
      </w:r>
    </w:p>
    <w:p>
      <w:pPr>
        <w:pStyle w:val="Heading2"/>
      </w:pPr>
      <w:r>
        <w:t>4. Human-Curated, AI-Enabled Deployment</w:t>
      </w:r>
    </w:p>
    <w:p>
      <w:r>
        <w:t>The correct response to AIDK is not better calibration signals but correct system design. The Human-Curated, AI-Enabled (HCAE) framework stratifies AI use by epistemic authority, distinguishing user, professional, expert, and synthesis modes. Safety and reliability scale with authority and validation, not model capability.</w:t>
      </w:r>
    </w:p>
    <w:p>
      <w:pPr>
        <w:pStyle w:val="Heading3"/>
      </w:pPr>
      <w:r>
        <w:t>Figure 5. HCAE Epistemic Authority Ladder</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A_flowchart_in_the_digital_illustration_titled_&quot;Hu.png"/>
                    <pic:cNvPicPr/>
                  </pic:nvPicPr>
                  <pic:blipFill>
                    <a:blip r:embed="rId13"/>
                    <a:stretch>
                      <a:fillRect/>
                    </a:stretch>
                  </pic:blipFill>
                  <pic:spPr>
                    <a:xfrm>
                      <a:off x="0" y="0"/>
                      <a:ext cx="5029200" cy="3352800"/>
                    </a:xfrm>
                    <a:prstGeom prst="rect"/>
                  </pic:spPr>
                </pic:pic>
              </a:graphicData>
            </a:graphic>
          </wp:inline>
        </w:drawing>
      </w:r>
    </w:p>
    <w:p>
      <w:r>
        <w:t>At the highest tier, synthesis combines expert judgment with formal validation systems, replacing trust with proof.</w:t>
      </w:r>
    </w:p>
    <w:p>
      <w:pPr>
        <w:pStyle w:val="Heading2"/>
      </w:pPr>
      <w:r>
        <w:t>5. Why Scaling Cannot Fix AIDK</w:t>
      </w:r>
    </w:p>
    <w:p>
      <w:r>
        <w:t>The persistence of AIDK follows from the nature of token-based computation. Tokens are compression units, not truth-bearing contents. Their relations are statistical correlations, not logical entailments. Processing over such primitives cannot generate the normativity they lack.</w:t>
      </w:r>
    </w:p>
    <w:p>
      <w:pPr>
        <w:pStyle w:val="Heading3"/>
      </w:pPr>
      <w:r>
        <w:t>Figure 6. Logical Entailment vs. Statistical Correlation</w:t>
      </w:r>
    </w:p>
    <w:p>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An_infographic_titled_&quot;Deductions_as_Semantic_Norm.png"/>
                    <pic:cNvPicPr/>
                  </pic:nvPicPr>
                  <pic:blipFill>
                    <a:blip r:embed="rId14"/>
                    <a:stretch>
                      <a:fillRect/>
                    </a:stretch>
                  </pic:blipFill>
                  <pic:spPr>
                    <a:xfrm>
                      <a:off x="0" y="0"/>
                      <a:ext cx="5029200" cy="3352800"/>
                    </a:xfrm>
                    <a:prstGeom prst="rect"/>
                  </pic:spPr>
                </pic:pic>
              </a:graphicData>
            </a:graphic>
          </wp:inline>
        </w:drawing>
      </w:r>
    </w:p>
    <w:p>
      <w:r>
        <w:t>Human deduction is governed by necessity; LLM outputs follow likelihood. The difference explains why reasoning can be mirrored without being instantiated.</w:t>
      </w:r>
    </w:p>
    <w:p>
      <w:pPr>
        <w:pStyle w:val="Heading2"/>
      </w:pPr>
      <w:r>
        <w:t>Clarification: Human-Curated, AI-Enabled (HCAE) Framework</w:t>
      </w:r>
    </w:p>
    <w:p>
      <w:r>
        <w:t>The correct response to AIDK is not improved calibration signals or confidence heuristics, but correct system design. This paper introduces the Human-Curated, AI-Enabled (HCAE) framework, which classifies AI deployment according to the level of human epistemic authority responsible for validation.</w:t>
      </w:r>
    </w:p>
    <w:p>
      <w:r>
        <w:t>HCAE explicitly rejects the undifferentiated notion of 'human-in-the-loop.' Not all humans are epistemically equivalent, and placing the wrong human in the loop fails to mitigate AIDK. The framework distinguishes four roles:</w:t>
      </w:r>
    </w:p>
    <w:p>
      <w:r>
        <w:t>User-Curated, AI-Enabled (UCAE): The user supplies prompts and consumes outputs but lacks the domain expertise required to independently evaluate correctness. Validation is intuitive or stylistic rather than truth-directed. This tier carries the highest risk of confidence laundering and is suitable only for low-stakes drafting, brainstorming, and expression.</w:t>
      </w:r>
    </w:p>
    <w:p>
      <w:r>
        <w:t>Professional-Curated, AI-Enabled (PCAE): A trained professional reviews AI output within their domain but under time, scope, or institutional constraints. Plausibility checks are possible, but subtle or edge-case errors may pass undetected. This tier mitigates some AIDK risk while remaining vulnerable to quiet failure.</w:t>
      </w:r>
    </w:p>
    <w:p>
      <w:r>
        <w:t>Expert-Curated, AI-Enabled (ECAE): A domain expert with the capacity to independently evaluate truth conditions curates AI output. Here, confidence flows from the human to the system rather than the reverse. AI functions as a force multiplier for derivation under judgmental control.</w:t>
      </w:r>
    </w:p>
    <w:p>
      <w:r>
        <w:t>Synthesis-Curated, AI-Enabled (SCAE): Expert judgment is combined with a formal validation system such as a proof assistant, compiler, or test harness. AI proposes candidate solutions; validation systems enforce non-negotiable constraints. Trust is replaced by proof. This is the only tier in which AI outputs can be safely chained or reused.</w:t>
      </w:r>
    </w:p>
    <w:p>
      <w:r>
        <w:br w:type="page"/>
      </w:r>
    </w:p>
    <w:p>
      <w:pPr>
        <w:pStyle w:val="Heading1"/>
      </w:pPr>
      <w:r>
        <w:t>Human-Curated, AI-Enabled (HCAE): Deployment by Epistemic Authority</w:t>
      </w:r>
    </w:p>
    <w:p>
      <w:r>
        <w:t>The Human-Curated, AI-Enabled (HCAE) framework specifies how AI systems should be deployed based on the epistemic authority of the human responsible for validation. It rejects the undifferentiated notion of 'human-in-the-loop' by recognizing that not all humans are capable of evaluating truth claims. AIDK risk is mitigated not by model calibration but by correct placement of judgment.</w:t>
      </w:r>
    </w:p>
    <w:p>
      <w:r>
        <w:t>User-Curated, AI-Enabled (UCAE): The user provides prompts and consumes output without possessing the domain expertise required to independently assess correctness. Validation is intuitive or stylistic rather than truth-directed. This tier is appropriate only for low-stakes drafting, ideation, and expression. AIDK and IDKE risk is maximal.</w:t>
      </w:r>
    </w:p>
    <w:p>
      <w:r>
        <w:t>Professional-Curated, AI-Enabled (PCAE): A trained professional reviews AI output within their field under time, scope, or institutional constraints. Plausibility checks are possible, but subtle or edge-case errors may escape detection. This tier mitigates some AIDK risk while remaining vulnerable to quiet failure.</w:t>
      </w:r>
    </w:p>
    <w:p>
      <w:r>
        <w:t>Expert-Curated, AI-Enabled (ECAE): A domain expert capable of independently evaluating truth conditions curates AI output. Here, confidence flows from the human to the system rather than the reverse. AI functions as a derivation accelerator under judgmental control.</w:t>
      </w:r>
    </w:p>
    <w:p>
      <w:r>
        <w:t>Synthesis-Curated, AI-Enabled (SCAE): Expert judgment is combined with a formal validation system such as a proof assistant, compiler, or test harness. AI proposes candidate solutions; validation systems enforce non-negotiable constraints. Trust is replaced by proof. This is the only tier in which AI outputs can be safely chained or reused.</w:t>
      </w:r>
    </w:p>
    <w:p>
      <w:pPr>
        <w:pStyle w:val="Heading2"/>
      </w:pPr>
      <w:r>
        <w:t>HCAE Is Not Alignment or RLHF</w:t>
      </w:r>
    </w:p>
    <w:p>
      <w:r>
        <w:t>HCAE should not be confused with alignment techniques such as Reinforcement Learning from Human Feedback (RLHF). RLHF modifies model behavior by shaping output preferences based on aggregate human ratings, but it does not alter the system’s epistemic status. RLHF optimizes for perceived helpfulness or acceptability, not truth. HCAE, by contrast, operates at the deployment level. It constrains where and how AI systems may be used based on who is capable of validating outputs and whether formal constraints are present. RLHF attempts to make models behave better; HCAE ensures that responsibility and judgment remain correctly located outside the model.</w:t>
      </w:r>
    </w:p>
    <w:p>
      <w:pPr>
        <w:pStyle w:val="Heading2"/>
      </w:pPr>
      <w:r>
        <w:t>Table X. HCAE Tiers, Risk, and Permitted Use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HCAE Tier</w:t>
            </w:r>
          </w:p>
        </w:tc>
        <w:tc>
          <w:tcPr>
            <w:tcW w:type="dxa" w:w="1728"/>
          </w:tcPr>
          <w:p>
            <w:r>
              <w:t>Validator</w:t>
            </w:r>
          </w:p>
        </w:tc>
        <w:tc>
          <w:tcPr>
            <w:tcW w:type="dxa" w:w="1728"/>
          </w:tcPr>
          <w:p>
            <w:r>
              <w:t>Epistemic Capability</w:t>
            </w:r>
          </w:p>
        </w:tc>
        <w:tc>
          <w:tcPr>
            <w:tcW w:type="dxa" w:w="1728"/>
          </w:tcPr>
          <w:p>
            <w:r>
              <w:t>Primary Risk</w:t>
            </w:r>
          </w:p>
        </w:tc>
        <w:tc>
          <w:tcPr>
            <w:tcW w:type="dxa" w:w="1728"/>
          </w:tcPr>
          <w:p>
            <w:r>
              <w:t>Permitted Use</w:t>
            </w:r>
          </w:p>
        </w:tc>
      </w:tr>
      <w:tr>
        <w:tc>
          <w:tcPr>
            <w:tcW w:type="dxa" w:w="1728"/>
          </w:tcPr>
          <w:p>
            <w:r>
              <w:t>UCAE</w:t>
            </w:r>
          </w:p>
        </w:tc>
        <w:tc>
          <w:tcPr>
            <w:tcW w:type="dxa" w:w="1728"/>
          </w:tcPr>
          <w:p>
            <w:r>
              <w:t>End User</w:t>
            </w:r>
          </w:p>
        </w:tc>
        <w:tc>
          <w:tcPr>
            <w:tcW w:type="dxa" w:w="1728"/>
          </w:tcPr>
          <w:p>
            <w:r>
              <w:t>None (stylistic only)</w:t>
            </w:r>
          </w:p>
        </w:tc>
        <w:tc>
          <w:tcPr>
            <w:tcW w:type="dxa" w:w="1728"/>
          </w:tcPr>
          <w:p>
            <w:r>
              <w:t>Confidence laundering</w:t>
            </w:r>
          </w:p>
        </w:tc>
        <w:tc>
          <w:tcPr>
            <w:tcW w:type="dxa" w:w="1728"/>
          </w:tcPr>
          <w:p>
            <w:r>
              <w:t>Drafting, brainstorming</w:t>
            </w:r>
          </w:p>
        </w:tc>
      </w:tr>
      <w:tr>
        <w:tc>
          <w:tcPr>
            <w:tcW w:type="dxa" w:w="1728"/>
          </w:tcPr>
          <w:p>
            <w:r>
              <w:t>PCAE</w:t>
            </w:r>
          </w:p>
        </w:tc>
        <w:tc>
          <w:tcPr>
            <w:tcW w:type="dxa" w:w="1728"/>
          </w:tcPr>
          <w:p>
            <w:r>
              <w:t>Professional</w:t>
            </w:r>
          </w:p>
        </w:tc>
        <w:tc>
          <w:tcPr>
            <w:tcW w:type="dxa" w:w="1728"/>
          </w:tcPr>
          <w:p>
            <w:r>
              <w:t>Plausibility checking</w:t>
            </w:r>
          </w:p>
        </w:tc>
        <w:tc>
          <w:tcPr>
            <w:tcW w:type="dxa" w:w="1728"/>
          </w:tcPr>
          <w:p>
            <w:r>
              <w:t>Silent edge-case failure</w:t>
            </w:r>
          </w:p>
        </w:tc>
        <w:tc>
          <w:tcPr>
            <w:tcW w:type="dxa" w:w="1728"/>
          </w:tcPr>
          <w:p>
            <w:r>
              <w:t>Routine domain work</w:t>
            </w:r>
          </w:p>
        </w:tc>
      </w:tr>
      <w:tr>
        <w:tc>
          <w:tcPr>
            <w:tcW w:type="dxa" w:w="1728"/>
          </w:tcPr>
          <w:p>
            <w:r>
              <w:t>ECAE</w:t>
            </w:r>
          </w:p>
        </w:tc>
        <w:tc>
          <w:tcPr>
            <w:tcW w:type="dxa" w:w="1728"/>
          </w:tcPr>
          <w:p>
            <w:r>
              <w:t>Expert</w:t>
            </w:r>
          </w:p>
        </w:tc>
        <w:tc>
          <w:tcPr>
            <w:tcW w:type="dxa" w:w="1728"/>
          </w:tcPr>
          <w:p>
            <w:r>
              <w:t>Independent truth evaluation</w:t>
            </w:r>
          </w:p>
        </w:tc>
        <w:tc>
          <w:tcPr>
            <w:tcW w:type="dxa" w:w="1728"/>
          </w:tcPr>
          <w:p>
            <w:r>
              <w:t>Fatigue, over-delegation</w:t>
            </w:r>
          </w:p>
        </w:tc>
        <w:tc>
          <w:tcPr>
            <w:tcW w:type="dxa" w:w="1728"/>
          </w:tcPr>
          <w:p>
            <w:r>
              <w:t>High-stakes analysis</w:t>
            </w:r>
          </w:p>
        </w:tc>
      </w:tr>
      <w:tr>
        <w:tc>
          <w:tcPr>
            <w:tcW w:type="dxa" w:w="1728"/>
          </w:tcPr>
          <w:p>
            <w:r>
              <w:t>SCAE</w:t>
            </w:r>
          </w:p>
        </w:tc>
        <w:tc>
          <w:tcPr>
            <w:tcW w:type="dxa" w:w="1728"/>
          </w:tcPr>
          <w:p>
            <w:r>
              <w:t>Expert + Formal System</w:t>
            </w:r>
          </w:p>
        </w:tc>
        <w:tc>
          <w:tcPr>
            <w:tcW w:type="dxa" w:w="1728"/>
          </w:tcPr>
          <w:p>
            <w:r>
              <w:t>Proof / constraint enforcement</w:t>
            </w:r>
          </w:p>
        </w:tc>
        <w:tc>
          <w:tcPr>
            <w:tcW w:type="dxa" w:w="1728"/>
          </w:tcPr>
          <w:p>
            <w:r>
              <w:t>Minimal</w:t>
            </w:r>
          </w:p>
        </w:tc>
        <w:tc>
          <w:tcPr>
            <w:tcW w:type="dxa" w:w="1728"/>
          </w:tcPr>
          <w:p>
            <w:r>
              <w:t>Reusable artifacts</w:t>
            </w:r>
          </w:p>
        </w:tc>
      </w:tr>
    </w:tbl>
    <w:p>
      <w:r>
        <w:br w:type="page"/>
      </w:r>
    </w:p>
    <w:p>
      <w:pPr>
        <w:pStyle w:val="Heading1"/>
      </w:pPr>
      <w:r>
        <w:t>Bridging AIDK, HCAE, and the Impossibility Argument</w:t>
      </w:r>
    </w:p>
    <w:p>
      <w:r>
        <w:t>The Human-Curated, AI-Enabled (HCAE) framework follows directly from the structural impossibility argument underlying AIDK. If large language models are necessarily derivative systems lacking access to truth conditions, then no internal modification—scaling, alignment, or calibration—can transform them into epistemic agents. Responsibility for truth must therefore remain external to the system. HCAE operationalizes this requirement by ensuring that origination, judgment, and accountability reside with humans or with formal systems capable of enforcing non-negotiable constraints.</w:t>
      </w:r>
    </w:p>
    <w:p>
      <w:pPr>
        <w:pStyle w:val="Heading1"/>
      </w:pPr>
      <w:r>
        <w:t>Anticipated Objections and Replies</w:t>
      </w:r>
    </w:p>
    <w:p>
      <w:pPr>
        <w:pStyle w:val="Heading2"/>
      </w:pPr>
      <w:r>
        <w:t>Objection 1: Better architectures will close the gap</w:t>
      </w:r>
    </w:p>
    <w:p>
      <w:r>
        <w:t>Reply: Architectural improvements may expand derivational capacity but do not alter the category of the system. Origination requires norm-sensitive judgment and truth-directed evaluation, neither of which can be implemented as statistical optimization over symbols. The gap is ontological, not engineering.</w:t>
      </w:r>
    </w:p>
    <w:p>
      <w:pPr>
        <w:pStyle w:val="Heading2"/>
      </w:pPr>
      <w:r>
        <w:t>Objection 2: Tool use and grounding solve the problem</w:t>
      </w:r>
    </w:p>
    <w:p>
      <w:r>
        <w:t>Reply: Tools and sensors introduce additional symbols, not epistemic grounding. Causal coupling to the world does not constitute access to truth conditions. The system still lacks the capacity to experience error as binding constraint.</w:t>
      </w:r>
    </w:p>
    <w:p>
      <w:pPr>
        <w:pStyle w:val="Heading2"/>
      </w:pPr>
      <w:r>
        <w:t>Objection 3: RLHF already addresses these risks</w:t>
      </w:r>
    </w:p>
    <w:p>
      <w:r>
        <w:t>Reply: RLHF optimizes for human approval signals, not truth. It can suppress visibly bad behavior while leaving the underlying epistemic limitation untouched. HCAE addresses deployment responsibility, not behavioral polish.</w:t>
      </w:r>
    </w:p>
    <w:p>
      <w:pPr>
        <w:pStyle w:val="Heading1"/>
      </w:pPr>
      <w:r>
        <w:t>Journal Submission Readiness</w:t>
      </w:r>
    </w:p>
    <w:p>
      <w:r>
        <w:t>This companion paper is structured to support submission to philosophy of technology and AI ethics venues such as Minds &amp; Machines or Synthese. Figures are conceptually independent, captions are argumentative, and the HCAE framework is formalized sufficiently for policy and governance discussion. Minimal changes are required to align with house style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