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4"/>
        </w:rPr>
        <w:t>David Williams — Complete Basic Outline + Basic Thesis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4"/>
        </w:rPr>
        <w:t>Source PDF:</w:t>
      </w:r>
      <w:r>
        <w:rPr>
          <w:rFonts w:ascii="Times New Roman" w:hAnsi="Times New Roman"/>
          <w:color w:val="000000"/>
          <w:sz w:val="24"/>
        </w:rPr>
        <w:t xml:space="preserve"> `2026-09-23-complete-basic-outline-and-thesis.pdf` (3 pages, Genius Scan)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4"/>
        </w:rPr>
        <w:t>Date:</w:t>
      </w:r>
      <w:r>
        <w:rPr>
          <w:rFonts w:ascii="Times New Roman" w:hAnsi="Times New Roman"/>
          <w:color w:val="000000"/>
          <w:sz w:val="24"/>
        </w:rPr>
        <w:t xml:space="preserve"> 2026-09-23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4"/>
        </w:rPr>
        <w:t>Author:</w:t>
      </w:r>
      <w:r>
        <w:rPr>
          <w:rFonts w:ascii="Times New Roman" w:hAnsi="Times New Roman"/>
          <w:color w:val="000000"/>
          <w:sz w:val="24"/>
        </w:rPr>
        <w:t xml:space="preserve"> David Williams</w:t>
      </w:r>
    </w:p>
    <w:p>
      <w:pPr>
        <w:pStyle w:val="ListBullet"/>
      </w:pPr>
      <w:r>
        <w:rPr>
          <w:rFonts w:ascii="Times New Roman" w:hAnsi="Times New Roman"/>
          <w:b/>
          <w:color w:val="000000"/>
          <w:sz w:val="24"/>
        </w:rPr>
        <w:t>Note:</w:t>
      </w:r>
      <w:r>
        <w:rPr>
          <w:rFonts w:ascii="Times New Roman" w:hAnsi="Times New Roman"/>
          <w:color w:val="000000"/>
          <w:sz w:val="24"/>
        </w:rPr>
        <w:t xml:space="preserve"> Faithful transcription of David's handwriting. Transcribed, not paraphrased; shorthand and spellings kept verbatim. Unreadable words marked [illegible]; struck-through text marked [struck: ...].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Complete Basic Outline</w:t>
      </w:r>
    </w:p>
    <w:p>
      <w:r>
        <w:rPr>
          <w:rFonts w:ascii="Times New Roman" w:hAnsi="Times New Roman"/>
          <w:color w:val="000000"/>
          <w:sz w:val="24"/>
        </w:rPr>
        <w:t>I) Hydrocarbons That Had To Form In Place</w:t>
      </w:r>
    </w:p>
    <w:p>
      <w:r>
        <w:rPr>
          <w:rFonts w:ascii="Times New Roman" w:hAnsi="Times New Roman"/>
          <w:color w:val="000000"/>
          <w:sz w:val="24"/>
        </w:rPr>
        <w:t>A) Hydrocarbon Source Rocks That Are Now Reservoir Rocks (Low Permeability)</w:t>
      </w:r>
    </w:p>
    <w:p>
      <w:r>
        <w:rPr>
          <w:rFonts w:ascii="Times New Roman" w:hAnsi="Times New Roman"/>
          <w:color w:val="000000"/>
          <w:sz w:val="24"/>
        </w:rPr>
        <w:t>B) Isolated Sand Lenses - Completely Encased In Shales</w:t>
      </w:r>
    </w:p>
    <w:p>
      <w:r>
        <w:rPr>
          <w:rFonts w:ascii="Times New Roman" w:hAnsi="Times New Roman"/>
          <w:color w:val="000000"/>
          <w:sz w:val="24"/>
        </w:rPr>
        <w:t>II) Migrated Hydrocarbons That Come From Tight Source Rocks - That Still Contain Large Volumes of Hydrocarbons</w:t>
      </w:r>
    </w:p>
    <w:p>
      <w:r>
        <w:rPr>
          <w:rFonts w:ascii="Times New Roman" w:hAnsi="Times New Roman"/>
          <w:color w:val="000000"/>
          <w:sz w:val="24"/>
        </w:rPr>
        <w:t>III) Major Sand Injectites And Re-Mobilization</w:t>
      </w:r>
    </w:p>
    <w:p>
      <w:r>
        <w:rPr>
          <w:rFonts w:ascii="Times New Roman" w:hAnsi="Times New Roman"/>
          <w:color w:val="000000"/>
          <w:sz w:val="24"/>
        </w:rPr>
        <w:t>A) Associated With Hydrocarbons</w:t>
      </w:r>
    </w:p>
    <w:p>
      <w:r>
        <w:rPr>
          <w:rFonts w:ascii="Times New Roman" w:hAnsi="Times New Roman"/>
          <w:color w:val="000000"/>
          <w:sz w:val="24"/>
        </w:rPr>
        <w:t>B) Large Sand Injectites Not Directly Associated With Oil and Gas.</w:t>
      </w:r>
    </w:p>
    <w:p>
      <w:r>
        <w:rPr>
          <w:rFonts w:ascii="Times New Roman" w:hAnsi="Times New Roman"/>
          <w:color w:val="000000"/>
          <w:sz w:val="24"/>
        </w:rPr>
        <w:t>C) Mud Volcanoes</w:t>
      </w:r>
    </w:p>
    <w:p>
      <w:r>
        <w:rPr>
          <w:rFonts w:ascii="Times New Roman" w:hAnsi="Times New Roman"/>
          <w:color w:val="000000"/>
          <w:sz w:val="24"/>
        </w:rPr>
        <w:t>IV) Long Distance Lateral Migration</w:t>
      </w:r>
    </w:p>
    <w:p>
      <w:r>
        <w:rPr>
          <w:rFonts w:ascii="Times New Roman" w:hAnsi="Times New Roman"/>
          <w:color w:val="000000"/>
          <w:sz w:val="24"/>
        </w:rPr>
        <w:t>V) Large Vertical Migration From Deep Sources</w:t>
      </w:r>
    </w:p>
    <w:p>
      <w:r>
        <w:rPr>
          <w:rFonts w:ascii="Times New Roman" w:hAnsi="Times New Roman"/>
          <w:color w:val="000000"/>
          <w:sz w:val="24"/>
        </w:rPr>
        <w:t>VI) Hydrocarbons Sourced By Too Ancient of Source Rocks</w:t>
      </w:r>
    </w:p>
    <w:p>
      <w:r>
        <w:rPr>
          <w:rFonts w:ascii="Times New Roman" w:hAnsi="Times New Roman"/>
          <w:color w:val="000000"/>
          <w:sz w:val="24"/>
        </w:rPr>
        <w:t>VII) Evidences of Early Oil Migration</w:t>
      </w:r>
    </w:p>
    <w:p>
      <w:r>
        <w:rPr>
          <w:rFonts w:ascii="Times New Roman" w:hAnsi="Times New Roman"/>
          <w:color w:val="000000"/>
          <w:sz w:val="24"/>
        </w:rPr>
        <w:t>A) Diagenetic Traps (Qd K decrease below O/w)</w:t>
      </w:r>
    </w:p>
    <w:p>
      <w:r>
        <w:rPr>
          <w:rFonts w:ascii="Times New Roman" w:hAnsi="Times New Roman"/>
          <w:color w:val="000000"/>
          <w:sz w:val="24"/>
        </w:rPr>
        <w:t>B) Compaction Inhibition From Early Hydrocarbon Migration</w:t>
      </w:r>
    </w:p>
    <w:p>
      <w:r>
        <w:rPr>
          <w:rFonts w:ascii="Times New Roman" w:hAnsi="Times New Roman"/>
          <w:color w:val="000000"/>
          <w:sz w:val="24"/>
        </w:rPr>
        <w:t>C) Basal Tar Mats</w:t>
      </w:r>
    </w:p>
    <w:p>
      <w:r>
        <w:rPr>
          <w:rFonts w:ascii="Times New Roman" w:hAnsi="Times New Roman"/>
          <w:color w:val="000000"/>
          <w:sz w:val="24"/>
        </w:rPr>
        <w:t>D) Closed Systems - Isolated From Migration Paths.</w:t>
      </w:r>
    </w:p>
    <w:p>
      <w:r>
        <w:rPr>
          <w:rFonts w:ascii="Times New Roman" w:hAnsi="Times New Roman"/>
          <w:color w:val="000000"/>
          <w:sz w:val="24"/>
        </w:rPr>
        <w:t>E) Traps That Are Barren Only Because Of Late Trap Formation (Near To Older Productive Traps)</w:t>
      </w:r>
    </w:p>
    <w:p>
      <w:r>
        <w:rPr>
          <w:rFonts w:ascii="Times New Roman" w:hAnsi="Times New Roman"/>
          <w:color w:val="000000"/>
          <w:sz w:val="24"/>
        </w:rPr>
        <w:t>VIII - Proofs of Fast HC Migration And Diffusion Rates</w:t>
      </w:r>
    </w:p>
    <w:p>
      <w:r>
        <w:rPr>
          <w:rFonts w:ascii="Times New Roman" w:hAnsi="Times New Roman"/>
          <w:color w:val="000000"/>
          <w:sz w:val="24"/>
        </w:rPr>
        <w:t>A) Oil And Gas Seeps</w:t>
      </w:r>
    </w:p>
    <w:p>
      <w:r>
        <w:rPr>
          <w:rFonts w:ascii="Times New Roman" w:hAnsi="Times New Roman"/>
          <w:color w:val="000000"/>
          <w:sz w:val="24"/>
        </w:rPr>
        <w:t>B) Hydrocarbon Microseepage &amp; Geochemical Exploration</w:t>
      </w:r>
    </w:p>
    <w:p>
      <w:r>
        <w:rPr>
          <w:rFonts w:ascii="Times New Roman" w:hAnsi="Times New Roman"/>
          <w:color w:val="000000"/>
          <w:sz w:val="24"/>
        </w:rPr>
        <w:t>C) Diffusion Models And Rates</w:t>
      </w:r>
    </w:p>
    <w:p>
      <w:r>
        <w:rPr>
          <w:rFonts w:ascii="Times New Roman" w:hAnsi="Times New Roman"/>
          <w:color w:val="000000"/>
          <w:sz w:val="24"/>
        </w:rPr>
        <w:t>IX - Proofs of Rapid Formation of Oil</w:t>
      </w:r>
    </w:p>
    <w:p>
      <w:r>
        <w:rPr>
          <w:rFonts w:ascii="Times New Roman" w:hAnsi="Times New Roman"/>
          <w:color w:val="000000"/>
          <w:sz w:val="24"/>
        </w:rPr>
        <w:t>A) Laboratory Pyrolysis</w:t>
      </w:r>
    </w:p>
    <w:p>
      <w:r>
        <w:rPr>
          <w:rFonts w:ascii="Times New Roman" w:hAnsi="Times New Roman"/>
          <w:color w:val="000000"/>
          <w:sz w:val="24"/>
        </w:rPr>
        <w:t>B) Renewable (Synthetic)</w:t>
      </w:r>
    </w:p>
    <w:p>
      <w:r>
        <w:rPr>
          <w:rFonts w:ascii="Times New Roman" w:hAnsi="Times New Roman"/>
          <w:color w:val="000000"/>
          <w:sz w:val="24"/>
        </w:rPr>
        <w:t>C) Recent Sediments</w:t>
      </w:r>
    </w:p>
    <w:p>
      <w:r>
        <w:rPr>
          <w:rFonts w:ascii="Times New Roman" w:hAnsi="Times New Roman"/>
          <w:color w:val="000000"/>
          <w:sz w:val="24"/>
        </w:rPr>
        <w:t>D) Hydrothermal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My Thesis</w:t>
      </w:r>
    </w:p>
    <w:p>
      <w:r>
        <w:rPr>
          <w:rFonts w:ascii="Times New Roman" w:hAnsi="Times New Roman"/>
          <w:color w:val="000000"/>
          <w:sz w:val="24"/>
        </w:rPr>
        <w:t>My Thesis: After more than 150 Years of Hydrocarbon Exploration and production, the petroleum industry still does not have a reasonable explanation of Primary Migration (Hydrocarbon migration out of the source rocks into carrier beds).</w:t>
      </w:r>
    </w:p>
    <w:p>
      <w:r>
        <w:rPr>
          <w:rFonts w:ascii="Times New Roman" w:hAnsi="Times New Roman"/>
          <w:color w:val="000000"/>
          <w:sz w:val="24"/>
        </w:rPr>
        <w:t>My Thesis: The totality of data available both, geological and engineering, fits better into a GFS (Global Flood Scenario) or RCS (Rapid Catastrophic Sedementation Scenario) than the current [struck: a convention] Old Earth (un:formitarianism) where must processes are Slow and exactly what we see today.</w:t>
      </w:r>
    </w:p>
    <w:p>
      <w:pPr>
        <w:pStyle w:val="Heading2"/>
      </w:pPr>
      <w:r>
        <w:rPr>
          <w:rFonts w:ascii="Times New Roman" w:hAnsi="Times New Roman"/>
          <w:color w:val="000000"/>
          <w:sz w:val="24"/>
        </w:rPr>
        <w:t>Oil Window Reference Notes</w:t>
      </w:r>
    </w:p>
    <w:p>
      <w:r>
        <w:rPr>
          <w:rFonts w:ascii="Times New Roman" w:hAnsi="Times New Roman"/>
          <w:color w:val="000000"/>
          <w:sz w:val="24"/>
        </w:rPr>
        <w:t>Oil window: 60°C to 120°C (140°F to 250°F)</w:t>
      </w:r>
    </w:p>
    <w:p>
      <w:r>
        <w:rPr>
          <w:rFonts w:ascii="Times New Roman" w:hAnsi="Times New Roman"/>
          <w:color w:val="000000"/>
          <w:sz w:val="24"/>
        </w:rPr>
        <w:t>2 to 4 KM (6500 ft to 13000 ft)</w:t>
      </w:r>
    </w:p>
    <w:p>
      <w:r>
        <w:rPr>
          <w:rFonts w:ascii="Times New Roman" w:hAnsi="Times New Roman"/>
          <w:color w:val="000000"/>
          <w:sz w:val="24"/>
        </w:rPr>
        <w:t>Early Oil: 60°C to 90°C (140°F to 200°F)</w:t>
      </w:r>
    </w:p>
    <w:p>
      <w:r>
        <w:rPr>
          <w:rFonts w:ascii="Times New Roman" w:hAnsi="Times New Roman"/>
          <w:color w:val="000000"/>
          <w:sz w:val="24"/>
        </w:rPr>
        <w:t>Peak Oil: 90°C to 120°C (200°F to 250°F)</w:t>
      </w:r>
    </w:p>
    <w:p>
      <w:r>
        <w:rPr>
          <w:rFonts w:ascii="Times New Roman" w:hAnsi="Times New Roman"/>
          <w:color w:val="000000"/>
          <w:sz w:val="24"/>
        </w:rPr>
        <w:t>Late Oil: 120°C to 150°C (250°F to 300°F)</w:t>
      </w:r>
    </w:p>
    <w:p>
      <w:r>
        <w:rPr>
          <w:rFonts w:ascii="Times New Roman" w:hAnsi="Times New Roman"/>
          <w:color w:val="000000"/>
          <w:sz w:val="24"/>
        </w:rPr>
        <w:t>Early Gas</w:t>
      </w:r>
    </w:p>
    <w:p>
      <w:r>
        <w:rPr>
          <w:rFonts w:ascii="Times New Roman" w:hAnsi="Times New Roman"/>
          <w:color w:val="000000"/>
          <w:sz w:val="24"/>
        </w:rPr>
        <w:t>Gas window: &gt;150°C (&gt;300°F)</w:t>
      </w:r>
    </w:p>
    <w:p>
      <w:r>
        <w:rPr>
          <w:rFonts w:ascii="Times New Roman" w:hAnsi="Times New Roman"/>
          <w:color w:val="000000"/>
          <w:sz w:val="24"/>
        </w:rPr>
        <w:t>2008 Paper (Energy Exploration &amp; Exploitation) Shenjun Qin</w:t>
      </w:r>
    </w:p>
    <w:p>
      <w:r>
        <w:rPr>
          <w:rFonts w:ascii="Times New Roman" w:hAnsi="Times New Roman"/>
          <w:color w:val="000000"/>
          <w:sz w:val="24"/>
        </w:rPr>
        <w:t>Showed immature generation of oil in 5 years at 80°C (170°F)</w:t>
      </w:r>
    </w:p>
    <w:p>
      <w:r>
        <w:rPr>
          <w:rFonts w:ascii="Times New Roman" w:hAnsi="Times New Roman"/>
          <w:color w:val="000000"/>
          <w:sz w:val="24"/>
        </w:rPr>
        <w:t>Equivalent to the Early Oil Window.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8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ind w:firstLine="0" w:left="720"/>
      <w:contextualSpacing/>
    </w:pPr>
    <w:rPr>
      <w:rFonts w:ascii="Times New Roman" w:hAnsi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after="0"/>
      <w:ind w:firstLine="0" w:left="720"/>
      <w:contextualSpacing/>
    </w:pPr>
    <w:rPr>
      <w:rFonts w:ascii="Times New Roman" w:hAnsi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