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B2F" w:rsidRPr="00334D75" w:rsidRDefault="000F0B2F" w:rsidP="00AB3B59">
      <w:pPr>
        <w:spacing w:line="360" w:lineRule="auto"/>
        <w:rPr>
          <w:rFonts w:ascii="Times New Roman" w:hAnsi="Times New Roman"/>
          <w:b/>
          <w:sz w:val="28"/>
          <w:szCs w:val="28"/>
        </w:rPr>
      </w:pPr>
      <w:r w:rsidRPr="00334D75">
        <w:rPr>
          <w:rFonts w:ascii="Times New Roman" w:hAnsi="Times New Roman"/>
          <w:b/>
          <w:sz w:val="28"/>
          <w:szCs w:val="28"/>
        </w:rPr>
        <w:t xml:space="preserve">ASKEY </w:t>
      </w:r>
      <w:r w:rsidRPr="00334D75">
        <w:rPr>
          <w:rFonts w:ascii="Times New Roman" w:hAnsi="Times New Roman"/>
          <w:b/>
          <w:sz w:val="28"/>
          <w:szCs w:val="28"/>
        </w:rPr>
        <w:softHyphen/>
        <w:t>— Queen</w:t>
      </w:r>
    </w:p>
    <w:p w:rsidR="00EE40D7" w:rsidRPr="00AB3B59" w:rsidRDefault="00EE40D7" w:rsidP="00EE40D7">
      <w:pPr>
        <w:spacing w:line="360" w:lineRule="auto"/>
        <w:rPr>
          <w:rFonts w:ascii="Times New Roman" w:hAnsi="Times New Roman"/>
        </w:rPr>
      </w:pPr>
      <w:r w:rsidRPr="00AB3B59">
        <w:rPr>
          <w:rFonts w:ascii="Times New Roman" w:hAnsi="Times New Roman"/>
        </w:rPr>
        <w:t>&lt;0 figures&gt;</w:t>
      </w:r>
    </w:p>
    <w:p w:rsidR="000F0B2F" w:rsidRPr="00AB3B59" w:rsidRDefault="000F0B2F" w:rsidP="00AB3B59">
      <w:pPr>
        <w:spacing w:line="360" w:lineRule="auto"/>
        <w:rPr>
          <w:rFonts w:ascii="Times New Roman" w:hAnsi="Times New Roman"/>
        </w:rPr>
      </w:pPr>
    </w:p>
    <w:p w:rsidR="000F0B2F" w:rsidRPr="00AB3B59" w:rsidRDefault="000F0B2F" w:rsidP="00AB3B59">
      <w:pPr>
        <w:spacing w:line="360" w:lineRule="auto"/>
        <w:rPr>
          <w:rFonts w:ascii="Times New Roman" w:hAnsi="Times New Roman"/>
          <w:b/>
        </w:rPr>
      </w:pPr>
      <w:r w:rsidRPr="00AB3B59">
        <w:rPr>
          <w:rFonts w:ascii="Times New Roman" w:hAnsi="Times New Roman"/>
          <w:b/>
        </w:rPr>
        <w:t xml:space="preserve">Queen </w:t>
      </w:r>
      <w:proofErr w:type="spellStart"/>
      <w:r w:rsidRPr="00AB3B59">
        <w:rPr>
          <w:rFonts w:ascii="Times New Roman" w:hAnsi="Times New Roman"/>
          <w:b/>
        </w:rPr>
        <w:t>Luise</w:t>
      </w:r>
      <w:proofErr w:type="spellEnd"/>
      <w:r w:rsidRPr="00AB3B59">
        <w:rPr>
          <w:rFonts w:ascii="Times New Roman" w:hAnsi="Times New Roman"/>
          <w:b/>
        </w:rPr>
        <w:t xml:space="preserve"> of Prussia, a Digital Hagiography</w:t>
      </w:r>
    </w:p>
    <w:p w:rsidR="000F0B2F" w:rsidRPr="00AB3B59" w:rsidRDefault="000F0B2F" w:rsidP="00AB3B59">
      <w:pPr>
        <w:spacing w:line="360" w:lineRule="auto"/>
        <w:rPr>
          <w:rFonts w:ascii="Times New Roman" w:hAnsi="Times New Roman"/>
        </w:rPr>
      </w:pPr>
      <w:r w:rsidRPr="00AB3B59">
        <w:rPr>
          <w:rFonts w:ascii="Times New Roman" w:hAnsi="Times New Roman"/>
        </w:rPr>
        <w:t>Askey, J.</w:t>
      </w:r>
    </w:p>
    <w:p w:rsidR="000F0B2F" w:rsidRPr="00AB3B59" w:rsidRDefault="000F0B2F" w:rsidP="00AB3B59">
      <w:pPr>
        <w:spacing w:line="360" w:lineRule="auto"/>
        <w:rPr>
          <w:rFonts w:ascii="Times New Roman" w:hAnsi="Times New Roman"/>
        </w:rPr>
      </w:pPr>
    </w:p>
    <w:p w:rsidR="000F0B2F" w:rsidRPr="00AB3B59" w:rsidRDefault="000F0B2F" w:rsidP="00AB3B59">
      <w:pPr>
        <w:spacing w:line="360" w:lineRule="auto"/>
        <w:rPr>
          <w:rFonts w:ascii="Times New Roman" w:hAnsi="Times New Roman"/>
        </w:rPr>
      </w:pPr>
      <w:r w:rsidRPr="00AB3B59">
        <w:rPr>
          <w:rFonts w:ascii="Times New Roman" w:hAnsi="Times New Roman"/>
        </w:rPr>
        <w:t xml:space="preserve">Popular biographies </w:t>
      </w:r>
      <w:r>
        <w:rPr>
          <w:rFonts w:ascii="Times New Roman" w:hAnsi="Times New Roman"/>
        </w:rPr>
        <w:t xml:space="preserve">of Queen </w:t>
      </w:r>
      <w:proofErr w:type="spellStart"/>
      <w:r>
        <w:rPr>
          <w:rFonts w:ascii="Times New Roman" w:hAnsi="Times New Roman"/>
        </w:rPr>
        <w:t>Luise</w:t>
      </w:r>
      <w:proofErr w:type="spellEnd"/>
      <w:r>
        <w:rPr>
          <w:rFonts w:ascii="Times New Roman" w:hAnsi="Times New Roman"/>
        </w:rPr>
        <w:t xml:space="preserve"> of Prussia (1776–</w:t>
      </w:r>
      <w:r w:rsidRPr="00AB3B59">
        <w:rPr>
          <w:rFonts w:ascii="Times New Roman" w:hAnsi="Times New Roman"/>
        </w:rPr>
        <w:t>1810, r</w:t>
      </w:r>
      <w:r>
        <w:rPr>
          <w:rFonts w:ascii="Times New Roman" w:hAnsi="Times New Roman"/>
        </w:rPr>
        <w:t>. 1797–</w:t>
      </w:r>
      <w:r w:rsidRPr="00AB3B59">
        <w:rPr>
          <w:rFonts w:ascii="Times New Roman" w:hAnsi="Times New Roman"/>
        </w:rPr>
        <w:t xml:space="preserve">1810) written in the second half of the nineteenth century uniformly adhere to what </w:t>
      </w:r>
      <w:proofErr w:type="spellStart"/>
      <w:r w:rsidRPr="00AB3B59">
        <w:rPr>
          <w:rFonts w:ascii="Times New Roman" w:hAnsi="Times New Roman"/>
        </w:rPr>
        <w:t>Wulf</w:t>
      </w:r>
      <w:proofErr w:type="spellEnd"/>
      <w:r w:rsidRPr="00AB3B59">
        <w:rPr>
          <w:rFonts w:ascii="Times New Roman" w:hAnsi="Times New Roman"/>
        </w:rPr>
        <w:t xml:space="preserve"> </w:t>
      </w:r>
      <w:proofErr w:type="spellStart"/>
      <w:r w:rsidRPr="00AB3B59">
        <w:rPr>
          <w:rFonts w:ascii="Times New Roman" w:hAnsi="Times New Roman"/>
        </w:rPr>
        <w:t>Wülfing</w:t>
      </w:r>
      <w:proofErr w:type="spellEnd"/>
      <w:r w:rsidRPr="00AB3B59">
        <w:rPr>
          <w:rFonts w:ascii="Times New Roman" w:hAnsi="Times New Roman"/>
        </w:rPr>
        <w:t xml:space="preserve"> has called a </w:t>
      </w:r>
      <w:r>
        <w:rPr>
          <w:rFonts w:ascii="Times New Roman" w:hAnsi="Times New Roman"/>
        </w:rPr>
        <w:t>‘</w:t>
      </w:r>
      <w:r w:rsidRPr="00AB3B59">
        <w:rPr>
          <w:rFonts w:ascii="Times New Roman" w:hAnsi="Times New Roman"/>
        </w:rPr>
        <w:t>stations of the cross</w:t>
      </w:r>
      <w:r>
        <w:rPr>
          <w:rFonts w:ascii="Times New Roman" w:hAnsi="Times New Roman"/>
        </w:rPr>
        <w:t>’</w:t>
      </w:r>
      <w:r w:rsidRPr="00AB3B59">
        <w:rPr>
          <w:rFonts w:ascii="Times New Roman" w:hAnsi="Times New Roman"/>
        </w:rPr>
        <w:t xml:space="preserve"> structure (</w:t>
      </w:r>
      <w:proofErr w:type="spellStart"/>
      <w:r w:rsidRPr="00AB3B59">
        <w:rPr>
          <w:rFonts w:ascii="Times New Roman" w:hAnsi="Times New Roman"/>
        </w:rPr>
        <w:t>Wülfing</w:t>
      </w:r>
      <w:proofErr w:type="spellEnd"/>
      <w:r w:rsidRPr="00AB3B59">
        <w:rPr>
          <w:rFonts w:ascii="Times New Roman" w:hAnsi="Times New Roman"/>
        </w:rPr>
        <w:t xml:space="preserve">, 1984). Independent of whether the biography focuses on her domestic life, her personal character and temperament, or her influence at court, it relates and pays homage to canonical moments in </w:t>
      </w:r>
      <w:proofErr w:type="spellStart"/>
      <w:r w:rsidRPr="00AB3B59">
        <w:rPr>
          <w:rFonts w:ascii="Times New Roman" w:hAnsi="Times New Roman"/>
        </w:rPr>
        <w:t>Luise’s</w:t>
      </w:r>
      <w:proofErr w:type="spellEnd"/>
      <w:r w:rsidRPr="00AB3B59">
        <w:rPr>
          <w:rFonts w:ascii="Times New Roman" w:hAnsi="Times New Roman"/>
        </w:rPr>
        <w:t xml:space="preserve"> life story: her childhood</w:t>
      </w:r>
      <w:r>
        <w:rPr>
          <w:rFonts w:ascii="Times New Roman" w:hAnsi="Times New Roman"/>
        </w:rPr>
        <w:t xml:space="preserve"> encounter with Goethe’s mother,</w:t>
      </w:r>
      <w:r w:rsidRPr="00AB3B59">
        <w:rPr>
          <w:rFonts w:ascii="Times New Roman" w:hAnsi="Times New Roman"/>
        </w:rPr>
        <w:t xml:space="preserve"> her presence at the coronation of the last Holy Roman Emperor</w:t>
      </w:r>
      <w:r>
        <w:rPr>
          <w:rFonts w:ascii="Times New Roman" w:hAnsi="Times New Roman"/>
        </w:rPr>
        <w:t>,</w:t>
      </w:r>
      <w:r w:rsidRPr="00AB3B59">
        <w:rPr>
          <w:rFonts w:ascii="Times New Roman" w:hAnsi="Times New Roman"/>
        </w:rPr>
        <w:t xml:space="preserve"> her meeting with her future husband</w:t>
      </w:r>
      <w:r>
        <w:rPr>
          <w:rFonts w:ascii="Times New Roman" w:hAnsi="Times New Roman"/>
        </w:rPr>
        <w:t>,</w:t>
      </w:r>
      <w:r w:rsidRPr="00AB3B59">
        <w:rPr>
          <w:rFonts w:ascii="Times New Roman" w:hAnsi="Times New Roman"/>
        </w:rPr>
        <w:t xml:space="preserve"> and several instances of informal, uncourtly conduct upon becoming princess. Biographies written for a variety of intended audiences (the German people, young Germans, young ladies, etc.) all adhere to the same narrative thread. While biographies on the same subject might be expected to follow a similar time line, popular treatments of </w:t>
      </w:r>
      <w:proofErr w:type="spellStart"/>
      <w:r w:rsidRPr="00AB3B59">
        <w:rPr>
          <w:rFonts w:ascii="Times New Roman" w:hAnsi="Times New Roman"/>
        </w:rPr>
        <w:t>Luise’s</w:t>
      </w:r>
      <w:proofErr w:type="spellEnd"/>
      <w:r w:rsidRPr="00AB3B59">
        <w:rPr>
          <w:rFonts w:ascii="Times New Roman" w:hAnsi="Times New Roman"/>
        </w:rPr>
        <w:t xml:space="preserve"> life and times tend to treat the same set of life anecdotes using the same language (Askey, 2013). While </w:t>
      </w:r>
      <w:proofErr w:type="spellStart"/>
      <w:r w:rsidRPr="00AB3B59">
        <w:rPr>
          <w:rFonts w:ascii="Times New Roman" w:hAnsi="Times New Roman"/>
        </w:rPr>
        <w:t>Luise’s</w:t>
      </w:r>
      <w:proofErr w:type="spellEnd"/>
      <w:r w:rsidRPr="00AB3B59">
        <w:rPr>
          <w:rFonts w:ascii="Times New Roman" w:hAnsi="Times New Roman"/>
        </w:rPr>
        <w:t xml:space="preserve"> function as a secular Prussian saint is one reason for the similarity of these biographies, another is their grounding in the same foundational texts. After </w:t>
      </w:r>
      <w:proofErr w:type="spellStart"/>
      <w:r w:rsidRPr="00AB3B59">
        <w:rPr>
          <w:rFonts w:ascii="Times New Roman" w:hAnsi="Times New Roman"/>
        </w:rPr>
        <w:t>Luise’s</w:t>
      </w:r>
      <w:proofErr w:type="spellEnd"/>
      <w:r w:rsidRPr="00AB3B59">
        <w:rPr>
          <w:rFonts w:ascii="Times New Roman" w:hAnsi="Times New Roman"/>
        </w:rPr>
        <w:t xml:space="preserve"> death in 1810, two biographies written by members of the Prussian court reached the public. King Friedrich Wilhelm III’s court pastor, </w:t>
      </w:r>
      <w:proofErr w:type="spellStart"/>
      <w:r w:rsidRPr="00AB3B59">
        <w:rPr>
          <w:rFonts w:ascii="Times New Roman" w:hAnsi="Times New Roman"/>
        </w:rPr>
        <w:t>Ruleman</w:t>
      </w:r>
      <w:proofErr w:type="spellEnd"/>
      <w:r w:rsidRPr="00AB3B59">
        <w:rPr>
          <w:rFonts w:ascii="Times New Roman" w:hAnsi="Times New Roman"/>
        </w:rPr>
        <w:t xml:space="preserve"> Friedrich </w:t>
      </w:r>
      <w:proofErr w:type="spellStart"/>
      <w:r w:rsidRPr="00AB3B59">
        <w:rPr>
          <w:rFonts w:ascii="Times New Roman" w:eastAsia="Times New Roman" w:hAnsi="Times New Roman"/>
        </w:rPr>
        <w:t>Eylert</w:t>
      </w:r>
      <w:proofErr w:type="spellEnd"/>
      <w:r w:rsidRPr="00AB3B59">
        <w:rPr>
          <w:rFonts w:ascii="Times New Roman" w:eastAsia="Times New Roman" w:hAnsi="Times New Roman"/>
        </w:rPr>
        <w:t xml:space="preserve">, published </w:t>
      </w:r>
      <w:proofErr w:type="spellStart"/>
      <w:r w:rsidRPr="00AB3B59">
        <w:rPr>
          <w:rFonts w:ascii="Times New Roman" w:eastAsia="Times New Roman" w:hAnsi="Times New Roman"/>
          <w:i/>
          <w:iCs/>
        </w:rPr>
        <w:t>Charakter-Züge</w:t>
      </w:r>
      <w:proofErr w:type="spellEnd"/>
      <w:r w:rsidRPr="00AB3B59">
        <w:rPr>
          <w:rFonts w:ascii="Times New Roman" w:eastAsia="Times New Roman" w:hAnsi="Times New Roman"/>
          <w:i/>
          <w:iCs/>
        </w:rPr>
        <w:t xml:space="preserve"> </w:t>
      </w:r>
      <w:r>
        <w:rPr>
          <w:rFonts w:ascii="Times New Roman" w:eastAsia="Times New Roman" w:hAnsi="Times New Roman"/>
          <w:i/>
          <w:iCs/>
        </w:rPr>
        <w:t>u</w:t>
      </w:r>
      <w:r w:rsidRPr="00AB3B59">
        <w:rPr>
          <w:rFonts w:ascii="Times New Roman" w:eastAsia="Times New Roman" w:hAnsi="Times New Roman"/>
          <w:i/>
          <w:iCs/>
        </w:rPr>
        <w:t xml:space="preserve">nd </w:t>
      </w:r>
      <w:proofErr w:type="spellStart"/>
      <w:r>
        <w:rPr>
          <w:rFonts w:ascii="Times New Roman" w:eastAsia="Times New Roman" w:hAnsi="Times New Roman"/>
          <w:i/>
          <w:iCs/>
        </w:rPr>
        <w:t>h</w:t>
      </w:r>
      <w:r w:rsidRPr="00AB3B59">
        <w:rPr>
          <w:rFonts w:ascii="Times New Roman" w:eastAsia="Times New Roman" w:hAnsi="Times New Roman"/>
          <w:i/>
          <w:iCs/>
        </w:rPr>
        <w:t>istorische</w:t>
      </w:r>
      <w:proofErr w:type="spellEnd"/>
      <w:r w:rsidRPr="00AB3B59">
        <w:rPr>
          <w:rFonts w:ascii="Times New Roman" w:eastAsia="Times New Roman" w:hAnsi="Times New Roman"/>
          <w:i/>
          <w:iCs/>
        </w:rPr>
        <w:t xml:space="preserve"> </w:t>
      </w:r>
      <w:proofErr w:type="spellStart"/>
      <w:r w:rsidRPr="00AB3B59">
        <w:rPr>
          <w:rFonts w:ascii="Times New Roman" w:eastAsia="Times New Roman" w:hAnsi="Times New Roman"/>
          <w:i/>
          <w:iCs/>
        </w:rPr>
        <w:t>Fragmente</w:t>
      </w:r>
      <w:proofErr w:type="spellEnd"/>
      <w:r w:rsidRPr="00AB3B59">
        <w:rPr>
          <w:rFonts w:ascii="Times New Roman" w:eastAsia="Times New Roman" w:hAnsi="Times New Roman"/>
          <w:i/>
          <w:iCs/>
        </w:rPr>
        <w:t xml:space="preserve"> </w:t>
      </w:r>
      <w:proofErr w:type="spellStart"/>
      <w:r w:rsidRPr="00AB3B59">
        <w:rPr>
          <w:rFonts w:ascii="Times New Roman" w:eastAsia="Times New Roman" w:hAnsi="Times New Roman"/>
          <w:i/>
          <w:iCs/>
        </w:rPr>
        <w:t>aus</w:t>
      </w:r>
      <w:proofErr w:type="spellEnd"/>
      <w:r w:rsidRPr="00AB3B59">
        <w:rPr>
          <w:rFonts w:ascii="Times New Roman" w:eastAsia="Times New Roman" w:hAnsi="Times New Roman"/>
          <w:i/>
          <w:iCs/>
        </w:rPr>
        <w:t xml:space="preserve"> </w:t>
      </w:r>
      <w:proofErr w:type="spellStart"/>
      <w:r w:rsidRPr="00AB3B59">
        <w:rPr>
          <w:rFonts w:ascii="Times New Roman" w:eastAsia="Times New Roman" w:hAnsi="Times New Roman"/>
          <w:i/>
          <w:iCs/>
        </w:rPr>
        <w:t>dem</w:t>
      </w:r>
      <w:proofErr w:type="spellEnd"/>
      <w:r w:rsidRPr="00AB3B59">
        <w:rPr>
          <w:rFonts w:ascii="Times New Roman" w:eastAsia="Times New Roman" w:hAnsi="Times New Roman"/>
          <w:i/>
          <w:iCs/>
        </w:rPr>
        <w:t xml:space="preserve"> </w:t>
      </w:r>
      <w:proofErr w:type="spellStart"/>
      <w:r w:rsidRPr="00AB3B59">
        <w:rPr>
          <w:rFonts w:ascii="Times New Roman" w:eastAsia="Times New Roman" w:hAnsi="Times New Roman"/>
          <w:i/>
          <w:iCs/>
        </w:rPr>
        <w:t>Leben</w:t>
      </w:r>
      <w:proofErr w:type="spellEnd"/>
      <w:r w:rsidRPr="00AB3B59">
        <w:rPr>
          <w:rFonts w:ascii="Times New Roman" w:eastAsia="Times New Roman" w:hAnsi="Times New Roman"/>
          <w:i/>
          <w:iCs/>
        </w:rPr>
        <w:t xml:space="preserve"> des </w:t>
      </w:r>
      <w:proofErr w:type="spellStart"/>
      <w:r w:rsidRPr="00AB3B59">
        <w:rPr>
          <w:rFonts w:ascii="Times New Roman" w:eastAsia="Times New Roman" w:hAnsi="Times New Roman"/>
          <w:i/>
          <w:iCs/>
        </w:rPr>
        <w:t>Königs</w:t>
      </w:r>
      <w:proofErr w:type="spellEnd"/>
      <w:r w:rsidRPr="00AB3B59">
        <w:rPr>
          <w:rFonts w:ascii="Times New Roman" w:eastAsia="Times New Roman" w:hAnsi="Times New Roman"/>
          <w:i/>
          <w:iCs/>
        </w:rPr>
        <w:t xml:space="preserve"> von Preussen Friedrich Wilhelm III </w:t>
      </w:r>
      <w:r w:rsidRPr="00AB3B59">
        <w:rPr>
          <w:rFonts w:ascii="Times New Roman" w:eastAsia="Times New Roman" w:hAnsi="Times New Roman"/>
          <w:iCs/>
        </w:rPr>
        <w:t xml:space="preserve">(Characteristics and Historical Fragments form the Life of King Friedrich Wilhelm III of Prussia), a multivolume court history that contained over one volume of information on Queen </w:t>
      </w:r>
      <w:proofErr w:type="spellStart"/>
      <w:r w:rsidRPr="00AB3B59">
        <w:rPr>
          <w:rFonts w:ascii="Times New Roman" w:eastAsia="Times New Roman" w:hAnsi="Times New Roman"/>
          <w:iCs/>
        </w:rPr>
        <w:t>Luise</w:t>
      </w:r>
      <w:proofErr w:type="spellEnd"/>
      <w:r w:rsidRPr="00AB3B59">
        <w:rPr>
          <w:rFonts w:ascii="Times New Roman" w:eastAsia="Times New Roman" w:hAnsi="Times New Roman"/>
          <w:iCs/>
        </w:rPr>
        <w:t xml:space="preserve">. And </w:t>
      </w:r>
      <w:proofErr w:type="spellStart"/>
      <w:r w:rsidRPr="00AB3B59">
        <w:rPr>
          <w:rFonts w:ascii="Times New Roman" w:eastAsia="Times New Roman" w:hAnsi="Times New Roman"/>
          <w:iCs/>
        </w:rPr>
        <w:t>Luise’s</w:t>
      </w:r>
      <w:proofErr w:type="spellEnd"/>
      <w:r w:rsidRPr="00AB3B59">
        <w:rPr>
          <w:rFonts w:ascii="Times New Roman" w:eastAsia="Times New Roman" w:hAnsi="Times New Roman"/>
          <w:iCs/>
        </w:rPr>
        <w:t xml:space="preserve"> lady in waiting, Countess Sophie Marie von </w:t>
      </w:r>
      <w:r w:rsidRPr="00AB3B59">
        <w:rPr>
          <w:rFonts w:ascii="Times New Roman" w:eastAsia="Times New Roman" w:hAnsi="Times New Roman"/>
        </w:rPr>
        <w:t xml:space="preserve">Voss, published </w:t>
      </w:r>
      <w:proofErr w:type="spellStart"/>
      <w:r w:rsidRPr="00AB3B59">
        <w:rPr>
          <w:rFonts w:ascii="Times New Roman" w:eastAsia="Times New Roman" w:hAnsi="Times New Roman"/>
          <w:i/>
          <w:iCs/>
        </w:rPr>
        <w:t>Neunundsechzig</w:t>
      </w:r>
      <w:proofErr w:type="spellEnd"/>
      <w:r w:rsidRPr="00AB3B59">
        <w:rPr>
          <w:rFonts w:ascii="Times New Roman" w:eastAsia="Times New Roman" w:hAnsi="Times New Roman"/>
          <w:i/>
          <w:iCs/>
        </w:rPr>
        <w:t xml:space="preserve"> </w:t>
      </w:r>
      <w:proofErr w:type="spellStart"/>
      <w:r w:rsidRPr="00AB3B59">
        <w:rPr>
          <w:rFonts w:ascii="Times New Roman" w:eastAsia="Times New Roman" w:hAnsi="Times New Roman"/>
          <w:i/>
          <w:iCs/>
        </w:rPr>
        <w:t>Jahre</w:t>
      </w:r>
      <w:proofErr w:type="spellEnd"/>
      <w:r w:rsidRPr="00AB3B59">
        <w:rPr>
          <w:rFonts w:ascii="Times New Roman" w:eastAsia="Times New Roman" w:hAnsi="Times New Roman"/>
          <w:i/>
          <w:iCs/>
        </w:rPr>
        <w:t xml:space="preserve"> am </w:t>
      </w:r>
      <w:proofErr w:type="spellStart"/>
      <w:r w:rsidRPr="00AB3B59">
        <w:rPr>
          <w:rFonts w:ascii="Times New Roman" w:eastAsia="Times New Roman" w:hAnsi="Times New Roman"/>
          <w:i/>
          <w:iCs/>
        </w:rPr>
        <w:t>preussischen</w:t>
      </w:r>
      <w:proofErr w:type="spellEnd"/>
      <w:r w:rsidRPr="00AB3B59">
        <w:rPr>
          <w:rFonts w:ascii="Times New Roman" w:eastAsia="Times New Roman" w:hAnsi="Times New Roman"/>
          <w:i/>
          <w:iCs/>
        </w:rPr>
        <w:t xml:space="preserve"> </w:t>
      </w:r>
      <w:proofErr w:type="spellStart"/>
      <w:r w:rsidRPr="00AB3B59">
        <w:rPr>
          <w:rFonts w:ascii="Times New Roman" w:eastAsia="Times New Roman" w:hAnsi="Times New Roman"/>
          <w:i/>
          <w:iCs/>
        </w:rPr>
        <w:t>Hofe</w:t>
      </w:r>
      <w:proofErr w:type="spellEnd"/>
      <w:r w:rsidRPr="00AB3B59">
        <w:rPr>
          <w:rFonts w:ascii="Times New Roman" w:eastAsia="Times New Roman" w:hAnsi="Times New Roman"/>
          <w:i/>
          <w:iCs/>
        </w:rPr>
        <w:t xml:space="preserve">; </w:t>
      </w:r>
      <w:proofErr w:type="spellStart"/>
      <w:r w:rsidRPr="00AB3B59">
        <w:rPr>
          <w:rFonts w:ascii="Times New Roman" w:eastAsia="Times New Roman" w:hAnsi="Times New Roman"/>
          <w:i/>
          <w:iCs/>
        </w:rPr>
        <w:t>aus</w:t>
      </w:r>
      <w:proofErr w:type="spellEnd"/>
      <w:r w:rsidRPr="00AB3B59">
        <w:rPr>
          <w:rFonts w:ascii="Times New Roman" w:eastAsia="Times New Roman" w:hAnsi="Times New Roman"/>
          <w:i/>
          <w:iCs/>
        </w:rPr>
        <w:t xml:space="preserve"> den </w:t>
      </w:r>
      <w:proofErr w:type="spellStart"/>
      <w:r w:rsidRPr="00AB3B59">
        <w:rPr>
          <w:rFonts w:ascii="Times New Roman" w:eastAsia="Times New Roman" w:hAnsi="Times New Roman"/>
          <w:i/>
          <w:iCs/>
        </w:rPr>
        <w:t>Erinnerungen</w:t>
      </w:r>
      <w:proofErr w:type="spellEnd"/>
      <w:r w:rsidRPr="00AB3B59">
        <w:rPr>
          <w:rFonts w:ascii="Times New Roman" w:eastAsia="Times New Roman" w:hAnsi="Times New Roman"/>
          <w:i/>
          <w:iCs/>
        </w:rPr>
        <w:t xml:space="preserve"> der </w:t>
      </w:r>
      <w:proofErr w:type="spellStart"/>
      <w:r w:rsidRPr="00AB3B59">
        <w:rPr>
          <w:rFonts w:ascii="Times New Roman" w:eastAsia="Times New Roman" w:hAnsi="Times New Roman"/>
          <w:i/>
          <w:iCs/>
        </w:rPr>
        <w:t>Oberhofmeisterin</w:t>
      </w:r>
      <w:proofErr w:type="spellEnd"/>
      <w:r w:rsidRPr="00AB3B59">
        <w:rPr>
          <w:rFonts w:ascii="Times New Roman" w:eastAsia="Times New Roman" w:hAnsi="Times New Roman"/>
          <w:i/>
          <w:iCs/>
        </w:rPr>
        <w:t xml:space="preserve"> Sophie Marie </w:t>
      </w:r>
      <w:proofErr w:type="spellStart"/>
      <w:r w:rsidRPr="00AB3B59">
        <w:rPr>
          <w:rFonts w:ascii="Times New Roman" w:eastAsia="Times New Roman" w:hAnsi="Times New Roman"/>
          <w:i/>
          <w:iCs/>
        </w:rPr>
        <w:t>Gräfin</w:t>
      </w:r>
      <w:proofErr w:type="spellEnd"/>
      <w:r w:rsidRPr="00AB3B59">
        <w:rPr>
          <w:rFonts w:ascii="Times New Roman" w:eastAsia="Times New Roman" w:hAnsi="Times New Roman"/>
          <w:i/>
          <w:iCs/>
        </w:rPr>
        <w:t xml:space="preserve"> von Voss </w:t>
      </w:r>
      <w:r w:rsidRPr="00AB3B59">
        <w:rPr>
          <w:rFonts w:ascii="Times New Roman" w:eastAsia="Times New Roman" w:hAnsi="Times New Roman"/>
          <w:iCs/>
        </w:rPr>
        <w:t>(Sixty-Nine Years at the Prussian Court</w:t>
      </w:r>
      <w:r>
        <w:rPr>
          <w:rFonts w:ascii="Times New Roman" w:eastAsia="Times New Roman" w:hAnsi="Times New Roman"/>
          <w:iCs/>
        </w:rPr>
        <w:t>:</w:t>
      </w:r>
      <w:r w:rsidRPr="00AB3B59">
        <w:rPr>
          <w:rFonts w:ascii="Times New Roman" w:eastAsia="Times New Roman" w:hAnsi="Times New Roman"/>
          <w:iCs/>
        </w:rPr>
        <w:t xml:space="preserve"> The Memories of the Senior Lady in Waiting Countess Sophie Marie von Voss)</w:t>
      </w:r>
      <w:r w:rsidRPr="00AB3B59">
        <w:rPr>
          <w:rFonts w:ascii="Times New Roman" w:eastAsia="Times New Roman" w:hAnsi="Times New Roman"/>
          <w:i/>
          <w:iCs/>
        </w:rPr>
        <w:t>.</w:t>
      </w:r>
      <w:r w:rsidRPr="00AB3B59">
        <w:rPr>
          <w:rFonts w:ascii="Times New Roman" w:hAnsi="Times New Roman"/>
        </w:rPr>
        <w:t xml:space="preserve"> This poster will introduce a digitization and textual analysis project that brings court and popular biographies into conversation with one another. </w:t>
      </w:r>
    </w:p>
    <w:p w:rsidR="000F0B2F" w:rsidRPr="00AB3B59" w:rsidRDefault="000F0B2F" w:rsidP="00AB3B59">
      <w:pPr>
        <w:spacing w:line="360" w:lineRule="auto"/>
        <w:rPr>
          <w:rFonts w:ascii="Times New Roman" w:hAnsi="Times New Roman"/>
        </w:rPr>
      </w:pPr>
      <w:r>
        <w:rPr>
          <w:rFonts w:ascii="Times New Roman" w:hAnsi="Times New Roman"/>
        </w:rPr>
        <w:lastRenderedPageBreak/>
        <w:tab/>
      </w:r>
      <w:r w:rsidRPr="00AB3B59">
        <w:rPr>
          <w:rFonts w:ascii="Times New Roman" w:hAnsi="Times New Roman"/>
        </w:rPr>
        <w:t xml:space="preserve">While the court biographies are available digitally, most of the popular biographies, especially those for children, are not. Libraries in the nineteenth century did not generally collect children’s literature, and so my personal collection of around a dozen </w:t>
      </w:r>
      <w:proofErr w:type="spellStart"/>
      <w:r w:rsidRPr="00AB3B59">
        <w:rPr>
          <w:rFonts w:ascii="Times New Roman" w:hAnsi="Times New Roman"/>
        </w:rPr>
        <w:t>Luise</w:t>
      </w:r>
      <w:proofErr w:type="spellEnd"/>
      <w:r w:rsidRPr="00AB3B59">
        <w:rPr>
          <w:rFonts w:ascii="Times New Roman" w:hAnsi="Times New Roman"/>
        </w:rPr>
        <w:t xml:space="preserve"> biographies for young readers will be digitized. Our team at the Sherman Centre for Digital Scholarship will OCR the biographies, experimenting with ABBYY, </w:t>
      </w:r>
      <w:proofErr w:type="spellStart"/>
      <w:r w:rsidRPr="00AB3B59">
        <w:rPr>
          <w:rFonts w:ascii="Times New Roman" w:hAnsi="Times New Roman"/>
        </w:rPr>
        <w:t>OmniPage</w:t>
      </w:r>
      <w:proofErr w:type="spellEnd"/>
      <w:r w:rsidRPr="00AB3B59">
        <w:rPr>
          <w:rFonts w:ascii="Times New Roman" w:hAnsi="Times New Roman"/>
        </w:rPr>
        <w:t xml:space="preserve">, and Tesseract to achieve optimal results with the notoriously difficult German </w:t>
      </w:r>
      <w:proofErr w:type="spellStart"/>
      <w:r w:rsidRPr="00AB3B59">
        <w:rPr>
          <w:rFonts w:ascii="Times New Roman" w:hAnsi="Times New Roman"/>
          <w:i/>
        </w:rPr>
        <w:t>Fraktur</w:t>
      </w:r>
      <w:proofErr w:type="spellEnd"/>
      <w:r w:rsidRPr="00AB3B59">
        <w:rPr>
          <w:rFonts w:ascii="Times New Roman" w:hAnsi="Times New Roman"/>
        </w:rPr>
        <w:t xml:space="preserve"> typescript. Once the corpus of official court and popular biographies has been created, we will perform standard text mining on the body of texts for young people to confirm or refute personal close readings. Our text mining queries will focus on the frequency of selected key terms relating to </w:t>
      </w:r>
      <w:proofErr w:type="spellStart"/>
      <w:r w:rsidRPr="00AB3B59">
        <w:rPr>
          <w:rFonts w:ascii="Times New Roman" w:hAnsi="Times New Roman"/>
        </w:rPr>
        <w:t>Luise’s</w:t>
      </w:r>
      <w:proofErr w:type="spellEnd"/>
      <w:r w:rsidRPr="00AB3B59">
        <w:rPr>
          <w:rFonts w:ascii="Times New Roman" w:hAnsi="Times New Roman"/>
        </w:rPr>
        <w:t xml:space="preserve"> life story, as well as the frequency of certain gendered textual markers (such as the word </w:t>
      </w:r>
      <w:proofErr w:type="spellStart"/>
      <w:r w:rsidRPr="00AB3B59">
        <w:rPr>
          <w:rFonts w:ascii="Times New Roman" w:hAnsi="Times New Roman"/>
          <w:i/>
        </w:rPr>
        <w:t>Gemüt</w:t>
      </w:r>
      <w:proofErr w:type="spellEnd"/>
      <w:r w:rsidRPr="00AB3B59">
        <w:rPr>
          <w:rFonts w:ascii="Times New Roman" w:hAnsi="Times New Roman"/>
        </w:rPr>
        <w:t xml:space="preserve">—temperament, or words associated with clothing or fashion). The information gleaned from text mining will contribute to a scholarly discussion not only </w:t>
      </w:r>
      <w:r>
        <w:rPr>
          <w:rFonts w:ascii="Times New Roman" w:hAnsi="Times New Roman"/>
        </w:rPr>
        <w:t xml:space="preserve">on </w:t>
      </w:r>
      <w:r w:rsidRPr="00AB3B59">
        <w:rPr>
          <w:rFonts w:ascii="Times New Roman" w:hAnsi="Times New Roman"/>
        </w:rPr>
        <w:t xml:space="preserve">the queen but on exemplarity, female childhood, and the gender discourse of the public sphere in the long nineteenth century. </w:t>
      </w:r>
    </w:p>
    <w:p w:rsidR="000F0B2F" w:rsidRPr="00AB3B59" w:rsidRDefault="000F0B2F" w:rsidP="00AB3B59">
      <w:pPr>
        <w:spacing w:line="360" w:lineRule="auto"/>
        <w:rPr>
          <w:rFonts w:ascii="Times New Roman" w:hAnsi="Times New Roman"/>
        </w:rPr>
      </w:pPr>
      <w:r>
        <w:rPr>
          <w:rFonts w:ascii="Times New Roman" w:hAnsi="Times New Roman"/>
        </w:rPr>
        <w:tab/>
      </w:r>
      <w:r w:rsidRPr="00AB3B59">
        <w:rPr>
          <w:rFonts w:ascii="Times New Roman" w:hAnsi="Times New Roman"/>
        </w:rPr>
        <w:t xml:space="preserve">The final step involves running subsets of the popular biographies (for the general public, for young people) and the court biographies through a comparison engine such as </w:t>
      </w:r>
      <w:proofErr w:type="spellStart"/>
      <w:r w:rsidRPr="00AB3B59">
        <w:rPr>
          <w:rFonts w:ascii="Times New Roman" w:hAnsi="Times New Roman"/>
        </w:rPr>
        <w:t>Juxta</w:t>
      </w:r>
      <w:proofErr w:type="spellEnd"/>
      <w:r w:rsidRPr="00AB3B59">
        <w:rPr>
          <w:rFonts w:ascii="Times New Roman" w:hAnsi="Times New Roman"/>
        </w:rPr>
        <w:t xml:space="preserve"> to determine adherence or deviation from a supposed ur</w:t>
      </w:r>
      <w:r>
        <w:rPr>
          <w:rFonts w:ascii="Times New Roman" w:hAnsi="Times New Roman"/>
        </w:rPr>
        <w:t>-</w:t>
      </w:r>
      <w:r w:rsidRPr="00AB3B59">
        <w:rPr>
          <w:rFonts w:ascii="Times New Roman" w:hAnsi="Times New Roman"/>
        </w:rPr>
        <w:t xml:space="preserve">text. In the context of my previous work on Queen </w:t>
      </w:r>
      <w:proofErr w:type="spellStart"/>
      <w:r w:rsidRPr="00AB3B59">
        <w:rPr>
          <w:rFonts w:ascii="Times New Roman" w:hAnsi="Times New Roman"/>
        </w:rPr>
        <w:t>Luise</w:t>
      </w:r>
      <w:proofErr w:type="spellEnd"/>
      <w:r w:rsidRPr="00AB3B59">
        <w:rPr>
          <w:rFonts w:ascii="Times New Roman" w:hAnsi="Times New Roman"/>
        </w:rPr>
        <w:t xml:space="preserve"> and her literary function as exemplar for young German women, my hopes for the comparison step of the process are quite high. I use </w:t>
      </w:r>
      <w:proofErr w:type="spellStart"/>
      <w:r w:rsidRPr="00AB3B59">
        <w:rPr>
          <w:rFonts w:ascii="Times New Roman" w:hAnsi="Times New Roman"/>
        </w:rPr>
        <w:t>Voyant</w:t>
      </w:r>
      <w:proofErr w:type="spellEnd"/>
      <w:r w:rsidRPr="00AB3B59">
        <w:rPr>
          <w:rFonts w:ascii="Times New Roman" w:hAnsi="Times New Roman"/>
        </w:rPr>
        <w:t xml:space="preserve"> and </w:t>
      </w:r>
      <w:proofErr w:type="spellStart"/>
      <w:r w:rsidRPr="00AB3B59">
        <w:rPr>
          <w:rFonts w:ascii="Times New Roman" w:hAnsi="Times New Roman"/>
        </w:rPr>
        <w:t>Juxta</w:t>
      </w:r>
      <w:proofErr w:type="spellEnd"/>
      <w:r w:rsidRPr="00AB3B59">
        <w:rPr>
          <w:rFonts w:ascii="Times New Roman" w:hAnsi="Times New Roman"/>
        </w:rPr>
        <w:t xml:space="preserve"> to focus on specific language tokens that provide insight into gender norms and expectations, references to </w:t>
      </w:r>
      <w:proofErr w:type="spellStart"/>
      <w:r w:rsidRPr="00AB3B59">
        <w:rPr>
          <w:rFonts w:ascii="Times New Roman" w:hAnsi="Times New Roman"/>
        </w:rPr>
        <w:t>Luise’s</w:t>
      </w:r>
      <w:proofErr w:type="spellEnd"/>
      <w:r w:rsidRPr="00AB3B59">
        <w:rPr>
          <w:rFonts w:ascii="Times New Roman" w:hAnsi="Times New Roman"/>
        </w:rPr>
        <w:t xml:space="preserve"> physicality, and the development of nationalist</w:t>
      </w:r>
      <w:r>
        <w:rPr>
          <w:rFonts w:ascii="Times New Roman" w:hAnsi="Times New Roman"/>
        </w:rPr>
        <w:t xml:space="preserve"> discourse (apparent where the q</w:t>
      </w:r>
      <w:r w:rsidRPr="00AB3B59">
        <w:rPr>
          <w:rFonts w:ascii="Times New Roman" w:hAnsi="Times New Roman"/>
        </w:rPr>
        <w:t>ueen’s use of French a</w:t>
      </w:r>
      <w:r>
        <w:rPr>
          <w:rFonts w:ascii="Times New Roman" w:hAnsi="Times New Roman"/>
        </w:rPr>
        <w:t>t</w:t>
      </w:r>
      <w:r w:rsidRPr="00AB3B59">
        <w:rPr>
          <w:rFonts w:ascii="Times New Roman" w:hAnsi="Times New Roman"/>
        </w:rPr>
        <w:t xml:space="preserve"> the court is set against her domestic use of German). </w:t>
      </w:r>
    </w:p>
    <w:p w:rsidR="000F0B2F" w:rsidRPr="00AB3B59" w:rsidRDefault="000F0B2F" w:rsidP="00AB3B59">
      <w:pPr>
        <w:spacing w:line="360" w:lineRule="auto"/>
        <w:rPr>
          <w:rFonts w:ascii="Times New Roman" w:hAnsi="Times New Roman"/>
        </w:rPr>
      </w:pPr>
      <w:r>
        <w:rPr>
          <w:rFonts w:ascii="Times New Roman" w:hAnsi="Times New Roman"/>
        </w:rPr>
        <w:tab/>
      </w:r>
      <w:r w:rsidRPr="00AB3B59">
        <w:rPr>
          <w:rFonts w:ascii="Times New Roman" w:hAnsi="Times New Roman"/>
        </w:rPr>
        <w:t xml:space="preserve">The poster will illustrate the resource creation process (digitization and OCR of </w:t>
      </w:r>
      <w:proofErr w:type="spellStart"/>
      <w:r w:rsidRPr="00AB3B59">
        <w:rPr>
          <w:rFonts w:ascii="Times New Roman" w:hAnsi="Times New Roman"/>
        </w:rPr>
        <w:t>Fraktur</w:t>
      </w:r>
      <w:proofErr w:type="spellEnd"/>
      <w:r w:rsidRPr="00AB3B59">
        <w:rPr>
          <w:rFonts w:ascii="Times New Roman" w:hAnsi="Times New Roman"/>
        </w:rPr>
        <w:t xml:space="preserve"> texts, accessibility of that corpus for other scholars) as well as the first stages of textual analysis using the corpus. </w:t>
      </w:r>
    </w:p>
    <w:p w:rsidR="000F0B2F" w:rsidRPr="00AB3B59" w:rsidRDefault="000F0B2F" w:rsidP="00AB3B59">
      <w:pPr>
        <w:spacing w:line="360" w:lineRule="auto"/>
        <w:rPr>
          <w:rFonts w:ascii="Times New Roman" w:hAnsi="Times New Roman"/>
        </w:rPr>
      </w:pPr>
    </w:p>
    <w:p w:rsidR="000F0B2F" w:rsidRPr="00AB3B59" w:rsidRDefault="000F0B2F" w:rsidP="00AB3B59">
      <w:pPr>
        <w:spacing w:line="360" w:lineRule="auto"/>
        <w:rPr>
          <w:rFonts w:ascii="Times New Roman" w:hAnsi="Times New Roman"/>
        </w:rPr>
      </w:pPr>
      <w:r w:rsidRPr="00AB3B59">
        <w:rPr>
          <w:rFonts w:ascii="Times New Roman" w:hAnsi="Times New Roman"/>
          <w:b/>
        </w:rPr>
        <w:t>References</w:t>
      </w:r>
    </w:p>
    <w:p w:rsidR="000F0B2F" w:rsidRPr="00AB3B59" w:rsidRDefault="000F0B2F" w:rsidP="00AB3B59">
      <w:pPr>
        <w:spacing w:line="360" w:lineRule="auto"/>
        <w:rPr>
          <w:rFonts w:ascii="Times New Roman" w:hAnsi="Times New Roman"/>
        </w:rPr>
      </w:pPr>
      <w:r w:rsidRPr="00AB3B59">
        <w:rPr>
          <w:rFonts w:ascii="Times New Roman" w:hAnsi="Times New Roman"/>
          <w:b/>
        </w:rPr>
        <w:t>Askey, J.</w:t>
      </w:r>
      <w:r w:rsidRPr="00AB3B59">
        <w:rPr>
          <w:rFonts w:ascii="Times New Roman" w:hAnsi="Times New Roman"/>
        </w:rPr>
        <w:t xml:space="preserve"> (2013). </w:t>
      </w:r>
      <w:r w:rsidRPr="00AB3B59">
        <w:rPr>
          <w:rFonts w:ascii="Times New Roman" w:hAnsi="Times New Roman"/>
          <w:i/>
        </w:rPr>
        <w:t>Good Girls, Good Germans: Girls</w:t>
      </w:r>
      <w:r w:rsidR="00EE40D7">
        <w:rPr>
          <w:rFonts w:ascii="Times New Roman" w:hAnsi="Times New Roman"/>
          <w:i/>
        </w:rPr>
        <w:t>’</w:t>
      </w:r>
      <w:r w:rsidRPr="00AB3B59">
        <w:rPr>
          <w:rFonts w:ascii="Times New Roman" w:hAnsi="Times New Roman"/>
          <w:i/>
        </w:rPr>
        <w:t xml:space="preserve"> Education and Emotional Nationalism in </w:t>
      </w:r>
      <w:proofErr w:type="spellStart"/>
      <w:r w:rsidRPr="00AB3B59">
        <w:rPr>
          <w:rFonts w:ascii="Times New Roman" w:hAnsi="Times New Roman"/>
          <w:i/>
        </w:rPr>
        <w:t>Wilhelminan</w:t>
      </w:r>
      <w:proofErr w:type="spellEnd"/>
      <w:r w:rsidRPr="00AB3B59">
        <w:rPr>
          <w:rFonts w:ascii="Times New Roman" w:hAnsi="Times New Roman"/>
          <w:i/>
        </w:rPr>
        <w:t xml:space="preserve"> Germany</w:t>
      </w:r>
      <w:r w:rsidRPr="00AB3B59">
        <w:rPr>
          <w:rFonts w:ascii="Times New Roman" w:hAnsi="Times New Roman"/>
        </w:rPr>
        <w:t xml:space="preserve">. </w:t>
      </w:r>
      <w:r w:rsidR="00EE40D7">
        <w:rPr>
          <w:rFonts w:ascii="Times New Roman" w:hAnsi="Times New Roman"/>
        </w:rPr>
        <w:t xml:space="preserve">Camden House, </w:t>
      </w:r>
      <w:r w:rsidRPr="00AB3B59">
        <w:rPr>
          <w:rFonts w:ascii="Times New Roman" w:hAnsi="Times New Roman"/>
        </w:rPr>
        <w:t xml:space="preserve">Rochester, NY. </w:t>
      </w:r>
    </w:p>
    <w:p w:rsidR="000F0B2F" w:rsidRPr="00AB3B59" w:rsidRDefault="000F0B2F" w:rsidP="00AB3B59">
      <w:pPr>
        <w:spacing w:line="360" w:lineRule="auto"/>
        <w:rPr>
          <w:rFonts w:ascii="Times New Roman" w:hAnsi="Times New Roman"/>
        </w:rPr>
      </w:pPr>
      <w:proofErr w:type="spellStart"/>
      <w:r w:rsidRPr="00AB3B59">
        <w:rPr>
          <w:rFonts w:ascii="Times New Roman" w:hAnsi="Times New Roman"/>
          <w:b/>
        </w:rPr>
        <w:lastRenderedPageBreak/>
        <w:t>Eylert</w:t>
      </w:r>
      <w:proofErr w:type="spellEnd"/>
      <w:r w:rsidRPr="00AB3B59">
        <w:rPr>
          <w:rFonts w:ascii="Times New Roman" w:hAnsi="Times New Roman"/>
          <w:b/>
        </w:rPr>
        <w:t>, R.</w:t>
      </w:r>
      <w:r w:rsidRPr="00AB3B59">
        <w:rPr>
          <w:rFonts w:ascii="Times New Roman" w:hAnsi="Times New Roman"/>
        </w:rPr>
        <w:t xml:space="preserve"> (1844). </w:t>
      </w:r>
      <w:proofErr w:type="spellStart"/>
      <w:r w:rsidRPr="00AB3B59">
        <w:rPr>
          <w:rFonts w:ascii="Times New Roman" w:hAnsi="Times New Roman"/>
          <w:i/>
        </w:rPr>
        <w:t>Charakter-Züge</w:t>
      </w:r>
      <w:proofErr w:type="spellEnd"/>
      <w:r w:rsidRPr="00AB3B59">
        <w:rPr>
          <w:rFonts w:ascii="Times New Roman" w:hAnsi="Times New Roman"/>
          <w:i/>
        </w:rPr>
        <w:t xml:space="preserve"> und </w:t>
      </w:r>
      <w:proofErr w:type="spellStart"/>
      <w:r w:rsidRPr="00AB3B59">
        <w:rPr>
          <w:rFonts w:ascii="Times New Roman" w:hAnsi="Times New Roman"/>
          <w:i/>
        </w:rPr>
        <w:t>historische</w:t>
      </w:r>
      <w:proofErr w:type="spellEnd"/>
      <w:r w:rsidRPr="00AB3B59">
        <w:rPr>
          <w:rFonts w:ascii="Times New Roman" w:hAnsi="Times New Roman"/>
          <w:i/>
        </w:rPr>
        <w:t xml:space="preserve"> </w:t>
      </w:r>
      <w:proofErr w:type="spellStart"/>
      <w:r w:rsidRPr="00AB3B59">
        <w:rPr>
          <w:rFonts w:ascii="Times New Roman" w:hAnsi="Times New Roman"/>
          <w:i/>
        </w:rPr>
        <w:t>Fragmente</w:t>
      </w:r>
      <w:proofErr w:type="spellEnd"/>
      <w:r w:rsidRPr="00AB3B59">
        <w:rPr>
          <w:rFonts w:ascii="Times New Roman" w:hAnsi="Times New Roman"/>
          <w:i/>
        </w:rPr>
        <w:t xml:space="preserve"> </w:t>
      </w:r>
      <w:proofErr w:type="spellStart"/>
      <w:r w:rsidRPr="00AB3B59">
        <w:rPr>
          <w:rFonts w:ascii="Times New Roman" w:hAnsi="Times New Roman"/>
          <w:i/>
        </w:rPr>
        <w:t>aus</w:t>
      </w:r>
      <w:proofErr w:type="spellEnd"/>
      <w:r w:rsidRPr="00AB3B59">
        <w:rPr>
          <w:rFonts w:ascii="Times New Roman" w:hAnsi="Times New Roman"/>
          <w:i/>
        </w:rPr>
        <w:t xml:space="preserve"> </w:t>
      </w:r>
      <w:proofErr w:type="spellStart"/>
      <w:r w:rsidRPr="00AB3B59">
        <w:rPr>
          <w:rFonts w:ascii="Times New Roman" w:hAnsi="Times New Roman"/>
          <w:i/>
        </w:rPr>
        <w:t>dem</w:t>
      </w:r>
      <w:proofErr w:type="spellEnd"/>
      <w:r w:rsidRPr="00AB3B59">
        <w:rPr>
          <w:rFonts w:ascii="Times New Roman" w:hAnsi="Times New Roman"/>
          <w:i/>
        </w:rPr>
        <w:t xml:space="preserve"> </w:t>
      </w:r>
      <w:proofErr w:type="spellStart"/>
      <w:r w:rsidRPr="00AB3B59">
        <w:rPr>
          <w:rFonts w:ascii="Times New Roman" w:hAnsi="Times New Roman"/>
          <w:i/>
        </w:rPr>
        <w:t>Leben</w:t>
      </w:r>
      <w:proofErr w:type="spellEnd"/>
      <w:r w:rsidRPr="00AB3B59">
        <w:rPr>
          <w:rFonts w:ascii="Times New Roman" w:hAnsi="Times New Roman"/>
          <w:i/>
        </w:rPr>
        <w:t xml:space="preserve"> des </w:t>
      </w:r>
      <w:proofErr w:type="spellStart"/>
      <w:r w:rsidRPr="00AB3B59">
        <w:rPr>
          <w:rFonts w:ascii="Times New Roman" w:hAnsi="Times New Roman"/>
          <w:i/>
        </w:rPr>
        <w:t>Königs</w:t>
      </w:r>
      <w:proofErr w:type="spellEnd"/>
      <w:r w:rsidRPr="00AB3B59">
        <w:rPr>
          <w:rFonts w:ascii="Times New Roman" w:hAnsi="Times New Roman"/>
          <w:i/>
        </w:rPr>
        <w:t xml:space="preserve"> von </w:t>
      </w:r>
      <w:proofErr w:type="spellStart"/>
      <w:r w:rsidRPr="00AB3B59">
        <w:rPr>
          <w:rFonts w:ascii="Times New Roman" w:hAnsi="Times New Roman"/>
          <w:i/>
        </w:rPr>
        <w:t>Preußen</w:t>
      </w:r>
      <w:proofErr w:type="spellEnd"/>
      <w:r w:rsidRPr="00AB3B59">
        <w:rPr>
          <w:rFonts w:ascii="Times New Roman" w:hAnsi="Times New Roman"/>
          <w:i/>
        </w:rPr>
        <w:t xml:space="preserve"> Friedrich Wilhelm III: </w:t>
      </w:r>
      <w:proofErr w:type="spellStart"/>
      <w:r w:rsidRPr="00AB3B59">
        <w:rPr>
          <w:rFonts w:ascii="Times New Roman" w:hAnsi="Times New Roman"/>
          <w:i/>
        </w:rPr>
        <w:t>Gesammelt</w:t>
      </w:r>
      <w:proofErr w:type="spellEnd"/>
      <w:r w:rsidRPr="00AB3B59">
        <w:rPr>
          <w:rFonts w:ascii="Times New Roman" w:hAnsi="Times New Roman"/>
          <w:i/>
        </w:rPr>
        <w:t xml:space="preserve"> </w:t>
      </w:r>
      <w:proofErr w:type="spellStart"/>
      <w:r w:rsidRPr="00AB3B59">
        <w:rPr>
          <w:rFonts w:ascii="Times New Roman" w:hAnsi="Times New Roman"/>
          <w:i/>
        </w:rPr>
        <w:t>nach</w:t>
      </w:r>
      <w:proofErr w:type="spellEnd"/>
      <w:r w:rsidRPr="00AB3B59">
        <w:rPr>
          <w:rFonts w:ascii="Times New Roman" w:hAnsi="Times New Roman"/>
          <w:i/>
        </w:rPr>
        <w:t xml:space="preserve"> </w:t>
      </w:r>
      <w:proofErr w:type="spellStart"/>
      <w:r w:rsidRPr="00AB3B59">
        <w:rPr>
          <w:rFonts w:ascii="Times New Roman" w:hAnsi="Times New Roman"/>
          <w:i/>
        </w:rPr>
        <w:t>eigenen</w:t>
      </w:r>
      <w:proofErr w:type="spellEnd"/>
      <w:r w:rsidRPr="00AB3B59">
        <w:rPr>
          <w:rFonts w:ascii="Times New Roman" w:hAnsi="Times New Roman"/>
          <w:i/>
        </w:rPr>
        <w:t xml:space="preserve"> </w:t>
      </w:r>
      <w:proofErr w:type="spellStart"/>
      <w:r w:rsidRPr="00AB3B59">
        <w:rPr>
          <w:rFonts w:ascii="Times New Roman" w:hAnsi="Times New Roman"/>
          <w:i/>
        </w:rPr>
        <w:t>Beobachtungen</w:t>
      </w:r>
      <w:proofErr w:type="spellEnd"/>
      <w:r w:rsidRPr="00AB3B59">
        <w:rPr>
          <w:rFonts w:ascii="Times New Roman" w:hAnsi="Times New Roman"/>
          <w:i/>
        </w:rPr>
        <w:t xml:space="preserve"> und </w:t>
      </w:r>
      <w:proofErr w:type="spellStart"/>
      <w:r w:rsidRPr="00AB3B59">
        <w:rPr>
          <w:rFonts w:ascii="Times New Roman" w:hAnsi="Times New Roman"/>
          <w:i/>
        </w:rPr>
        <w:t>selbstgemachten</w:t>
      </w:r>
      <w:proofErr w:type="spellEnd"/>
      <w:r w:rsidRPr="00AB3B59">
        <w:rPr>
          <w:rFonts w:ascii="Times New Roman" w:hAnsi="Times New Roman"/>
          <w:i/>
        </w:rPr>
        <w:t xml:space="preserve"> </w:t>
      </w:r>
      <w:proofErr w:type="spellStart"/>
      <w:r w:rsidRPr="00AB3B59">
        <w:rPr>
          <w:rFonts w:ascii="Times New Roman" w:hAnsi="Times New Roman"/>
          <w:i/>
        </w:rPr>
        <w:t>Erfarhungen</w:t>
      </w:r>
      <w:proofErr w:type="spellEnd"/>
      <w:r w:rsidRPr="00AB3B59">
        <w:rPr>
          <w:rFonts w:ascii="Times New Roman" w:hAnsi="Times New Roman"/>
          <w:i/>
        </w:rPr>
        <w:t xml:space="preserve">; </w:t>
      </w:r>
      <w:proofErr w:type="spellStart"/>
      <w:r w:rsidRPr="00AB3B59">
        <w:rPr>
          <w:rFonts w:ascii="Times New Roman" w:hAnsi="Times New Roman"/>
          <w:i/>
        </w:rPr>
        <w:t>wohlfeile</w:t>
      </w:r>
      <w:proofErr w:type="spellEnd"/>
      <w:r w:rsidRPr="00AB3B59">
        <w:rPr>
          <w:rFonts w:ascii="Times New Roman" w:hAnsi="Times New Roman"/>
          <w:i/>
        </w:rPr>
        <w:t xml:space="preserve"> </w:t>
      </w:r>
      <w:proofErr w:type="spellStart"/>
      <w:r w:rsidRPr="00AB3B59">
        <w:rPr>
          <w:rFonts w:ascii="Times New Roman" w:hAnsi="Times New Roman"/>
          <w:i/>
        </w:rPr>
        <w:t>Ausgabe</w:t>
      </w:r>
      <w:proofErr w:type="spellEnd"/>
      <w:r w:rsidRPr="00AB3B59">
        <w:rPr>
          <w:rFonts w:ascii="Times New Roman" w:hAnsi="Times New Roman"/>
          <w:i/>
        </w:rPr>
        <w:t xml:space="preserve"> </w:t>
      </w:r>
      <w:proofErr w:type="spellStart"/>
      <w:r w:rsidRPr="00AB3B59">
        <w:rPr>
          <w:rFonts w:ascii="Times New Roman" w:hAnsi="Times New Roman"/>
          <w:i/>
        </w:rPr>
        <w:t>für</w:t>
      </w:r>
      <w:proofErr w:type="spellEnd"/>
      <w:r w:rsidRPr="00AB3B59">
        <w:rPr>
          <w:rFonts w:ascii="Times New Roman" w:hAnsi="Times New Roman"/>
          <w:i/>
        </w:rPr>
        <w:t xml:space="preserve"> das Volk</w:t>
      </w:r>
      <w:r w:rsidRPr="00AB3B59">
        <w:rPr>
          <w:rFonts w:ascii="Times New Roman" w:hAnsi="Times New Roman"/>
        </w:rPr>
        <w:t>.</w:t>
      </w:r>
      <w:r w:rsidR="00EE40D7">
        <w:rPr>
          <w:rFonts w:ascii="Times New Roman" w:hAnsi="Times New Roman"/>
        </w:rPr>
        <w:t xml:space="preserve"> </w:t>
      </w:r>
      <w:proofErr w:type="spellStart"/>
      <w:r w:rsidRPr="00AB3B59">
        <w:rPr>
          <w:rFonts w:ascii="Times New Roman" w:hAnsi="Times New Roman"/>
        </w:rPr>
        <w:t>Heinrichshofenschen</w:t>
      </w:r>
      <w:proofErr w:type="spellEnd"/>
      <w:r w:rsidRPr="00AB3B59">
        <w:rPr>
          <w:rFonts w:ascii="Times New Roman" w:hAnsi="Times New Roman"/>
        </w:rPr>
        <w:t xml:space="preserve"> </w:t>
      </w:r>
      <w:proofErr w:type="spellStart"/>
      <w:r w:rsidRPr="00AB3B59">
        <w:rPr>
          <w:rFonts w:ascii="Times New Roman" w:hAnsi="Times New Roman"/>
        </w:rPr>
        <w:t>Buchhandlung</w:t>
      </w:r>
      <w:proofErr w:type="spellEnd"/>
      <w:r w:rsidR="00EE40D7">
        <w:rPr>
          <w:rFonts w:ascii="Times New Roman" w:hAnsi="Times New Roman"/>
        </w:rPr>
        <w:t>, Magdeburg.</w:t>
      </w:r>
    </w:p>
    <w:p w:rsidR="000F0B2F" w:rsidRPr="00AB3B59" w:rsidRDefault="000F0B2F" w:rsidP="00AB3B59">
      <w:pPr>
        <w:spacing w:line="360" w:lineRule="auto"/>
        <w:rPr>
          <w:rFonts w:ascii="Times New Roman" w:hAnsi="Times New Roman"/>
        </w:rPr>
      </w:pPr>
      <w:proofErr w:type="spellStart"/>
      <w:r w:rsidRPr="00AB3B59">
        <w:rPr>
          <w:rFonts w:ascii="Times New Roman" w:hAnsi="Times New Roman"/>
          <w:b/>
        </w:rPr>
        <w:t>Voß</w:t>
      </w:r>
      <w:proofErr w:type="spellEnd"/>
      <w:r w:rsidRPr="00AB3B59">
        <w:rPr>
          <w:rFonts w:ascii="Times New Roman" w:hAnsi="Times New Roman"/>
          <w:b/>
        </w:rPr>
        <w:t>, S.</w:t>
      </w:r>
      <w:r w:rsidRPr="00AB3B59">
        <w:rPr>
          <w:rFonts w:ascii="Times New Roman" w:hAnsi="Times New Roman"/>
        </w:rPr>
        <w:t xml:space="preserve"> (1876). </w:t>
      </w:r>
      <w:proofErr w:type="spellStart"/>
      <w:r w:rsidRPr="00AB3B59">
        <w:rPr>
          <w:rFonts w:ascii="Times New Roman" w:hAnsi="Times New Roman"/>
          <w:i/>
        </w:rPr>
        <w:t>Neunundsechsig</w:t>
      </w:r>
      <w:proofErr w:type="spellEnd"/>
      <w:r w:rsidRPr="00AB3B59">
        <w:rPr>
          <w:rFonts w:ascii="Times New Roman" w:hAnsi="Times New Roman"/>
          <w:i/>
        </w:rPr>
        <w:t xml:space="preserve"> </w:t>
      </w:r>
      <w:proofErr w:type="spellStart"/>
      <w:r w:rsidRPr="00AB3B59">
        <w:rPr>
          <w:rFonts w:ascii="Times New Roman" w:hAnsi="Times New Roman"/>
          <w:i/>
        </w:rPr>
        <w:t>Jahre</w:t>
      </w:r>
      <w:proofErr w:type="spellEnd"/>
      <w:r w:rsidRPr="00AB3B59">
        <w:rPr>
          <w:rFonts w:ascii="Times New Roman" w:hAnsi="Times New Roman"/>
          <w:i/>
        </w:rPr>
        <w:t xml:space="preserve"> am </w:t>
      </w:r>
      <w:proofErr w:type="spellStart"/>
      <w:r w:rsidRPr="00AB3B59">
        <w:rPr>
          <w:rFonts w:ascii="Times New Roman" w:hAnsi="Times New Roman"/>
          <w:i/>
        </w:rPr>
        <w:t>Preußischem</w:t>
      </w:r>
      <w:proofErr w:type="spellEnd"/>
      <w:r w:rsidRPr="00AB3B59">
        <w:rPr>
          <w:rFonts w:ascii="Times New Roman" w:hAnsi="Times New Roman"/>
          <w:i/>
        </w:rPr>
        <w:t xml:space="preserve"> </w:t>
      </w:r>
      <w:proofErr w:type="spellStart"/>
      <w:r w:rsidRPr="00AB3B59">
        <w:rPr>
          <w:rFonts w:ascii="Times New Roman" w:hAnsi="Times New Roman"/>
          <w:i/>
        </w:rPr>
        <w:t>Hofe</w:t>
      </w:r>
      <w:proofErr w:type="spellEnd"/>
      <w:r w:rsidRPr="00AB3B59">
        <w:rPr>
          <w:rFonts w:ascii="Times New Roman" w:hAnsi="Times New Roman"/>
          <w:i/>
        </w:rPr>
        <w:t xml:space="preserve">: </w:t>
      </w:r>
      <w:proofErr w:type="spellStart"/>
      <w:r w:rsidRPr="00AB3B59">
        <w:rPr>
          <w:rFonts w:ascii="Times New Roman" w:hAnsi="Times New Roman"/>
          <w:i/>
        </w:rPr>
        <w:t>Aus</w:t>
      </w:r>
      <w:proofErr w:type="spellEnd"/>
      <w:r w:rsidRPr="00AB3B59">
        <w:rPr>
          <w:rFonts w:ascii="Times New Roman" w:hAnsi="Times New Roman"/>
          <w:i/>
        </w:rPr>
        <w:t xml:space="preserve"> den </w:t>
      </w:r>
      <w:proofErr w:type="spellStart"/>
      <w:r w:rsidRPr="00AB3B59">
        <w:rPr>
          <w:rFonts w:ascii="Times New Roman" w:hAnsi="Times New Roman"/>
          <w:i/>
        </w:rPr>
        <w:t>Erinnerungen</w:t>
      </w:r>
      <w:proofErr w:type="spellEnd"/>
      <w:r w:rsidRPr="00AB3B59">
        <w:rPr>
          <w:rFonts w:ascii="Times New Roman" w:hAnsi="Times New Roman"/>
          <w:i/>
        </w:rPr>
        <w:t xml:space="preserve"> der </w:t>
      </w:r>
      <w:proofErr w:type="spellStart"/>
      <w:r w:rsidRPr="00AB3B59">
        <w:rPr>
          <w:rFonts w:ascii="Times New Roman" w:hAnsi="Times New Roman"/>
          <w:i/>
        </w:rPr>
        <w:t>Oberhofmeisterin</w:t>
      </w:r>
      <w:proofErr w:type="spellEnd"/>
      <w:r w:rsidRPr="00AB3B59">
        <w:rPr>
          <w:rFonts w:ascii="Times New Roman" w:hAnsi="Times New Roman"/>
          <w:i/>
        </w:rPr>
        <w:t xml:space="preserve"> Sophie Marie </w:t>
      </w:r>
      <w:proofErr w:type="spellStart"/>
      <w:r w:rsidRPr="00AB3B59">
        <w:rPr>
          <w:rFonts w:ascii="Times New Roman" w:hAnsi="Times New Roman"/>
          <w:i/>
        </w:rPr>
        <w:t>Gräfin</w:t>
      </w:r>
      <w:proofErr w:type="spellEnd"/>
      <w:r w:rsidRPr="00AB3B59">
        <w:rPr>
          <w:rFonts w:ascii="Times New Roman" w:hAnsi="Times New Roman"/>
          <w:i/>
        </w:rPr>
        <w:t xml:space="preserve"> von </w:t>
      </w:r>
      <w:proofErr w:type="spellStart"/>
      <w:r w:rsidRPr="00AB3B59">
        <w:rPr>
          <w:rFonts w:ascii="Times New Roman" w:hAnsi="Times New Roman"/>
          <w:i/>
        </w:rPr>
        <w:t>Voß</w:t>
      </w:r>
      <w:proofErr w:type="spellEnd"/>
      <w:r w:rsidRPr="00AB3B59">
        <w:rPr>
          <w:rFonts w:ascii="Times New Roman" w:hAnsi="Times New Roman"/>
        </w:rPr>
        <w:t>.</w:t>
      </w:r>
      <w:r w:rsidR="00EE40D7">
        <w:rPr>
          <w:rFonts w:ascii="Times New Roman" w:hAnsi="Times New Roman"/>
        </w:rPr>
        <w:t xml:space="preserve"> </w:t>
      </w:r>
      <w:r w:rsidRPr="00AB3B59">
        <w:rPr>
          <w:rFonts w:ascii="Times New Roman" w:hAnsi="Times New Roman"/>
        </w:rPr>
        <w:t xml:space="preserve">Dunker und </w:t>
      </w:r>
      <w:proofErr w:type="spellStart"/>
      <w:r w:rsidRPr="00AB3B59">
        <w:rPr>
          <w:rFonts w:ascii="Times New Roman" w:hAnsi="Times New Roman"/>
        </w:rPr>
        <w:t>Humbolt</w:t>
      </w:r>
      <w:proofErr w:type="spellEnd"/>
      <w:r w:rsidR="00EE40D7">
        <w:rPr>
          <w:rFonts w:ascii="Times New Roman" w:hAnsi="Times New Roman"/>
        </w:rPr>
        <w:t>, Leipzig.</w:t>
      </w:r>
    </w:p>
    <w:p w:rsidR="000F0B2F" w:rsidRPr="00AB3B59" w:rsidRDefault="000F0B2F" w:rsidP="00AB3B59">
      <w:pPr>
        <w:spacing w:line="360" w:lineRule="auto"/>
        <w:rPr>
          <w:rFonts w:ascii="Times New Roman" w:hAnsi="Times New Roman"/>
        </w:rPr>
      </w:pPr>
      <w:proofErr w:type="spellStart"/>
      <w:r w:rsidRPr="00AB3B59">
        <w:rPr>
          <w:rFonts w:ascii="Times New Roman" w:hAnsi="Times New Roman"/>
          <w:b/>
        </w:rPr>
        <w:t>Wülfing</w:t>
      </w:r>
      <w:proofErr w:type="spellEnd"/>
      <w:r w:rsidRPr="00AB3B59">
        <w:rPr>
          <w:rFonts w:ascii="Times New Roman" w:hAnsi="Times New Roman"/>
          <w:b/>
        </w:rPr>
        <w:t>, W.</w:t>
      </w:r>
      <w:r w:rsidRPr="00AB3B59">
        <w:rPr>
          <w:rFonts w:ascii="Times New Roman" w:hAnsi="Times New Roman"/>
        </w:rPr>
        <w:t xml:space="preserve"> (1984). </w:t>
      </w:r>
      <w:r>
        <w:rPr>
          <w:rFonts w:ascii="Times New Roman" w:hAnsi="Times New Roman"/>
        </w:rPr>
        <w:t>‘</w:t>
      </w:r>
      <w:r w:rsidRPr="00AB3B59">
        <w:rPr>
          <w:rFonts w:ascii="Times New Roman" w:hAnsi="Times New Roman"/>
        </w:rPr>
        <w:t xml:space="preserve">Die </w:t>
      </w:r>
      <w:proofErr w:type="spellStart"/>
      <w:r w:rsidRPr="00AB3B59">
        <w:rPr>
          <w:rFonts w:ascii="Times New Roman" w:hAnsi="Times New Roman"/>
        </w:rPr>
        <w:t>Heilige</w:t>
      </w:r>
      <w:proofErr w:type="spellEnd"/>
      <w:r w:rsidRPr="00AB3B59">
        <w:rPr>
          <w:rFonts w:ascii="Times New Roman" w:hAnsi="Times New Roman"/>
        </w:rPr>
        <w:t xml:space="preserve"> </w:t>
      </w:r>
      <w:proofErr w:type="spellStart"/>
      <w:r w:rsidRPr="00AB3B59">
        <w:rPr>
          <w:rFonts w:ascii="Times New Roman" w:hAnsi="Times New Roman"/>
        </w:rPr>
        <w:t>Luise</w:t>
      </w:r>
      <w:proofErr w:type="spellEnd"/>
      <w:r w:rsidRPr="00AB3B59">
        <w:rPr>
          <w:rFonts w:ascii="Times New Roman" w:hAnsi="Times New Roman"/>
        </w:rPr>
        <w:t xml:space="preserve"> von </w:t>
      </w:r>
      <w:proofErr w:type="spellStart"/>
      <w:r w:rsidRPr="00AB3B59">
        <w:rPr>
          <w:rFonts w:ascii="Times New Roman" w:hAnsi="Times New Roman"/>
        </w:rPr>
        <w:t>Preußen</w:t>
      </w:r>
      <w:proofErr w:type="spellEnd"/>
      <w:r w:rsidRPr="00AB3B59">
        <w:rPr>
          <w:rFonts w:ascii="Times New Roman" w:hAnsi="Times New Roman"/>
        </w:rPr>
        <w:t xml:space="preserve">: </w:t>
      </w:r>
      <w:proofErr w:type="spellStart"/>
      <w:r w:rsidRPr="00AB3B59">
        <w:rPr>
          <w:rFonts w:ascii="Times New Roman" w:hAnsi="Times New Roman"/>
        </w:rPr>
        <w:t>Zur</w:t>
      </w:r>
      <w:proofErr w:type="spellEnd"/>
      <w:r w:rsidRPr="00AB3B59">
        <w:rPr>
          <w:rFonts w:ascii="Times New Roman" w:hAnsi="Times New Roman"/>
        </w:rPr>
        <w:t xml:space="preserve"> </w:t>
      </w:r>
      <w:proofErr w:type="spellStart"/>
      <w:r w:rsidRPr="00AB3B59">
        <w:rPr>
          <w:rFonts w:ascii="Times New Roman" w:hAnsi="Times New Roman"/>
        </w:rPr>
        <w:t>Mythisierung</w:t>
      </w:r>
      <w:proofErr w:type="spellEnd"/>
      <w:r w:rsidRPr="00AB3B59">
        <w:rPr>
          <w:rFonts w:ascii="Times New Roman" w:hAnsi="Times New Roman"/>
        </w:rPr>
        <w:t xml:space="preserve"> </w:t>
      </w:r>
      <w:proofErr w:type="spellStart"/>
      <w:r w:rsidRPr="00AB3B59">
        <w:rPr>
          <w:rFonts w:ascii="Times New Roman" w:hAnsi="Times New Roman"/>
        </w:rPr>
        <w:t>einer</w:t>
      </w:r>
      <w:proofErr w:type="spellEnd"/>
      <w:r w:rsidRPr="00AB3B59">
        <w:rPr>
          <w:rFonts w:ascii="Times New Roman" w:hAnsi="Times New Roman"/>
        </w:rPr>
        <w:t xml:space="preserve"> figure der Geschichte in der </w:t>
      </w:r>
      <w:proofErr w:type="spellStart"/>
      <w:r w:rsidRPr="00AB3B59">
        <w:rPr>
          <w:rFonts w:ascii="Times New Roman" w:hAnsi="Times New Roman"/>
        </w:rPr>
        <w:t>deutschen</w:t>
      </w:r>
      <w:proofErr w:type="spellEnd"/>
      <w:r w:rsidRPr="00AB3B59">
        <w:rPr>
          <w:rFonts w:ascii="Times New Roman" w:hAnsi="Times New Roman"/>
        </w:rPr>
        <w:t xml:space="preserve"> </w:t>
      </w:r>
      <w:proofErr w:type="spellStart"/>
      <w:r w:rsidRPr="00AB3B59">
        <w:rPr>
          <w:rFonts w:ascii="Times New Roman" w:hAnsi="Times New Roman"/>
        </w:rPr>
        <w:t>Literatur</w:t>
      </w:r>
      <w:proofErr w:type="spellEnd"/>
      <w:r w:rsidRPr="00AB3B59">
        <w:rPr>
          <w:rFonts w:ascii="Times New Roman" w:hAnsi="Times New Roman"/>
        </w:rPr>
        <w:t xml:space="preserve"> des 19. </w:t>
      </w:r>
      <w:proofErr w:type="spellStart"/>
      <w:r w:rsidRPr="00AB3B59">
        <w:rPr>
          <w:rFonts w:ascii="Times New Roman" w:hAnsi="Times New Roman"/>
        </w:rPr>
        <w:t>Jahrhunderts</w:t>
      </w:r>
      <w:proofErr w:type="spellEnd"/>
      <w:r>
        <w:rPr>
          <w:rFonts w:ascii="Times New Roman" w:hAnsi="Times New Roman"/>
        </w:rPr>
        <w:t>’:</w:t>
      </w:r>
      <w:r w:rsidRPr="00AB3B59">
        <w:rPr>
          <w:rFonts w:ascii="Times New Roman" w:hAnsi="Times New Roman"/>
        </w:rPr>
        <w:t xml:space="preserve"> </w:t>
      </w:r>
      <w:proofErr w:type="spellStart"/>
      <w:r w:rsidRPr="00AB3B59">
        <w:rPr>
          <w:rFonts w:ascii="Times New Roman" w:hAnsi="Times New Roman"/>
        </w:rPr>
        <w:t>Bewegung</w:t>
      </w:r>
      <w:proofErr w:type="spellEnd"/>
      <w:r w:rsidRPr="00AB3B59">
        <w:rPr>
          <w:rFonts w:ascii="Times New Roman" w:hAnsi="Times New Roman"/>
        </w:rPr>
        <w:t xml:space="preserve"> und </w:t>
      </w:r>
      <w:proofErr w:type="spellStart"/>
      <w:r w:rsidRPr="00AB3B59">
        <w:rPr>
          <w:rFonts w:ascii="Times New Roman" w:hAnsi="Times New Roman"/>
        </w:rPr>
        <w:t>Stillstand</w:t>
      </w:r>
      <w:proofErr w:type="spellEnd"/>
      <w:r w:rsidRPr="00AB3B59">
        <w:rPr>
          <w:rFonts w:ascii="Times New Roman" w:hAnsi="Times New Roman"/>
        </w:rPr>
        <w:t xml:space="preserve"> in </w:t>
      </w:r>
      <w:proofErr w:type="spellStart"/>
      <w:r w:rsidRPr="00AB3B59">
        <w:rPr>
          <w:rFonts w:ascii="Times New Roman" w:hAnsi="Times New Roman"/>
        </w:rPr>
        <w:t>Metaphern</w:t>
      </w:r>
      <w:proofErr w:type="spellEnd"/>
      <w:r w:rsidRPr="00AB3B59">
        <w:rPr>
          <w:rFonts w:ascii="Times New Roman" w:hAnsi="Times New Roman"/>
        </w:rPr>
        <w:t xml:space="preserve"> und </w:t>
      </w:r>
      <w:proofErr w:type="spellStart"/>
      <w:r w:rsidRPr="00AB3B59">
        <w:rPr>
          <w:rFonts w:ascii="Times New Roman" w:hAnsi="Times New Roman"/>
        </w:rPr>
        <w:t>Mythen</w:t>
      </w:r>
      <w:proofErr w:type="spellEnd"/>
      <w:r w:rsidRPr="00AB3B59">
        <w:rPr>
          <w:rFonts w:ascii="Times New Roman" w:hAnsi="Times New Roman"/>
        </w:rPr>
        <w:t xml:space="preserve">: </w:t>
      </w:r>
      <w:proofErr w:type="spellStart"/>
      <w:r w:rsidRPr="00AB3B59">
        <w:rPr>
          <w:rFonts w:ascii="Times New Roman" w:hAnsi="Times New Roman"/>
        </w:rPr>
        <w:t>Fallstudien</w:t>
      </w:r>
      <w:proofErr w:type="spellEnd"/>
      <w:r w:rsidRPr="00AB3B59">
        <w:rPr>
          <w:rFonts w:ascii="Times New Roman" w:hAnsi="Times New Roman"/>
        </w:rPr>
        <w:t xml:space="preserve"> </w:t>
      </w:r>
      <w:proofErr w:type="spellStart"/>
      <w:r w:rsidRPr="00AB3B59">
        <w:rPr>
          <w:rFonts w:ascii="Times New Roman" w:hAnsi="Times New Roman"/>
        </w:rPr>
        <w:t>zum</w:t>
      </w:r>
      <w:proofErr w:type="spellEnd"/>
      <w:r w:rsidRPr="00AB3B59">
        <w:rPr>
          <w:rFonts w:ascii="Times New Roman" w:hAnsi="Times New Roman"/>
        </w:rPr>
        <w:t xml:space="preserve"> </w:t>
      </w:r>
      <w:proofErr w:type="spellStart"/>
      <w:r w:rsidRPr="00AB3B59">
        <w:rPr>
          <w:rFonts w:ascii="Times New Roman" w:hAnsi="Times New Roman"/>
        </w:rPr>
        <w:t>Verhältnis</w:t>
      </w:r>
      <w:proofErr w:type="spellEnd"/>
      <w:r w:rsidRPr="00AB3B59">
        <w:rPr>
          <w:rFonts w:ascii="Times New Roman" w:hAnsi="Times New Roman"/>
        </w:rPr>
        <w:t xml:space="preserve"> von </w:t>
      </w:r>
      <w:proofErr w:type="spellStart"/>
      <w:r w:rsidRPr="00AB3B59">
        <w:rPr>
          <w:rFonts w:ascii="Times New Roman" w:hAnsi="Times New Roman"/>
        </w:rPr>
        <w:t>elementarem</w:t>
      </w:r>
      <w:proofErr w:type="spellEnd"/>
      <w:r w:rsidRPr="00AB3B59">
        <w:rPr>
          <w:rFonts w:ascii="Times New Roman" w:hAnsi="Times New Roman"/>
        </w:rPr>
        <w:t xml:space="preserve"> </w:t>
      </w:r>
      <w:proofErr w:type="spellStart"/>
      <w:r w:rsidRPr="00AB3B59">
        <w:rPr>
          <w:rFonts w:ascii="Times New Roman" w:hAnsi="Times New Roman"/>
        </w:rPr>
        <w:t>Wissen</w:t>
      </w:r>
      <w:proofErr w:type="spellEnd"/>
      <w:r w:rsidRPr="00AB3B59">
        <w:rPr>
          <w:rFonts w:ascii="Times New Roman" w:hAnsi="Times New Roman"/>
        </w:rPr>
        <w:t xml:space="preserve"> und </w:t>
      </w:r>
      <w:proofErr w:type="spellStart"/>
      <w:r w:rsidRPr="00AB3B59">
        <w:rPr>
          <w:rFonts w:ascii="Times New Roman" w:hAnsi="Times New Roman"/>
        </w:rPr>
        <w:t>Literatur</w:t>
      </w:r>
      <w:proofErr w:type="spellEnd"/>
      <w:r w:rsidRPr="00AB3B59">
        <w:rPr>
          <w:rFonts w:ascii="Times New Roman" w:hAnsi="Times New Roman"/>
        </w:rPr>
        <w:t xml:space="preserve"> </w:t>
      </w:r>
      <w:proofErr w:type="spellStart"/>
      <w:r w:rsidRPr="00AB3B59">
        <w:rPr>
          <w:rFonts w:ascii="Times New Roman" w:hAnsi="Times New Roman"/>
        </w:rPr>
        <w:t>im</w:t>
      </w:r>
      <w:proofErr w:type="spellEnd"/>
      <w:r w:rsidRPr="00AB3B59">
        <w:rPr>
          <w:rFonts w:ascii="Times New Roman" w:hAnsi="Times New Roman"/>
        </w:rPr>
        <w:t xml:space="preserve"> 19. </w:t>
      </w:r>
      <w:proofErr w:type="spellStart"/>
      <w:r w:rsidRPr="00AB3B59">
        <w:rPr>
          <w:rFonts w:ascii="Times New Roman" w:hAnsi="Times New Roman"/>
        </w:rPr>
        <w:t>Jahrhundert</w:t>
      </w:r>
      <w:proofErr w:type="spellEnd"/>
      <w:r w:rsidRPr="00AB3B59">
        <w:rPr>
          <w:rFonts w:ascii="Times New Roman" w:hAnsi="Times New Roman"/>
        </w:rPr>
        <w:t>. Stut</w:t>
      </w:r>
      <w:r>
        <w:rPr>
          <w:rFonts w:ascii="Times New Roman" w:hAnsi="Times New Roman"/>
        </w:rPr>
        <w:t>t</w:t>
      </w:r>
      <w:r w:rsidRPr="00AB3B59">
        <w:rPr>
          <w:rFonts w:ascii="Times New Roman" w:hAnsi="Times New Roman"/>
        </w:rPr>
        <w:t xml:space="preserve">gart: </w:t>
      </w:r>
      <w:proofErr w:type="spellStart"/>
      <w:r w:rsidRPr="00AB3B59">
        <w:rPr>
          <w:rFonts w:ascii="Times New Roman" w:hAnsi="Times New Roman"/>
        </w:rPr>
        <w:t>Klett</w:t>
      </w:r>
      <w:proofErr w:type="spellEnd"/>
      <w:r w:rsidRPr="00AB3B59">
        <w:rPr>
          <w:rFonts w:ascii="Times New Roman" w:hAnsi="Times New Roman"/>
        </w:rPr>
        <w:t xml:space="preserve">-Cotta. </w:t>
      </w:r>
      <w:r w:rsidR="00D21820">
        <w:rPr>
          <w:rFonts w:ascii="Times New Roman" w:hAnsi="Times New Roman"/>
        </w:rPr>
        <w:t xml:space="preserve"> </w:t>
      </w:r>
      <w:bookmarkStart w:id="0" w:name="_GoBack"/>
      <w:bookmarkEnd w:id="0"/>
    </w:p>
    <w:sectPr w:rsidR="000F0B2F" w:rsidRPr="00AB3B59" w:rsidSect="00AD45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F9"/>
    <w:rsid w:val="000E1A59"/>
    <w:rsid w:val="000F0B2F"/>
    <w:rsid w:val="00174E2B"/>
    <w:rsid w:val="001D2088"/>
    <w:rsid w:val="001D760C"/>
    <w:rsid w:val="002B430B"/>
    <w:rsid w:val="00334D75"/>
    <w:rsid w:val="00486C8A"/>
    <w:rsid w:val="00577EAC"/>
    <w:rsid w:val="00590F6B"/>
    <w:rsid w:val="005E53EC"/>
    <w:rsid w:val="006E0FA5"/>
    <w:rsid w:val="00704BE6"/>
    <w:rsid w:val="00953663"/>
    <w:rsid w:val="00970DA8"/>
    <w:rsid w:val="00AB3B59"/>
    <w:rsid w:val="00AD45B3"/>
    <w:rsid w:val="00AE2479"/>
    <w:rsid w:val="00BC0A0A"/>
    <w:rsid w:val="00BE2DB0"/>
    <w:rsid w:val="00C27D6A"/>
    <w:rsid w:val="00CC0258"/>
    <w:rsid w:val="00D21820"/>
    <w:rsid w:val="00DA43E7"/>
    <w:rsid w:val="00E56CBB"/>
    <w:rsid w:val="00EE40D7"/>
    <w:rsid w:val="00F51970"/>
    <w:rsid w:val="00F71DF9"/>
    <w:rsid w:val="00FD0EF2"/>
    <w:rsid w:val="00FE0EC4"/>
    <w:rsid w:val="00FF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2AE6ADF-7DDB-4733-A645-477BED0F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ngs"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E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CC025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400772">
      <w:marLeft w:val="0"/>
      <w:marRight w:val="0"/>
      <w:marTop w:val="0"/>
      <w:marBottom w:val="0"/>
      <w:divBdr>
        <w:top w:val="none" w:sz="0" w:space="0" w:color="auto"/>
        <w:left w:val="none" w:sz="0" w:space="0" w:color="auto"/>
        <w:bottom w:val="none" w:sz="0" w:space="0" w:color="auto"/>
        <w:right w:val="none" w:sz="0" w:space="0" w:color="auto"/>
      </w:divBdr>
      <w:divsChild>
        <w:div w:id="1202400775">
          <w:marLeft w:val="0"/>
          <w:marRight w:val="0"/>
          <w:marTop w:val="0"/>
          <w:marBottom w:val="0"/>
          <w:divBdr>
            <w:top w:val="none" w:sz="0" w:space="0" w:color="auto"/>
            <w:left w:val="none" w:sz="0" w:space="0" w:color="auto"/>
            <w:bottom w:val="none" w:sz="0" w:space="0" w:color="auto"/>
            <w:right w:val="none" w:sz="0" w:space="0" w:color="auto"/>
          </w:divBdr>
          <w:divsChild>
            <w:div w:id="12024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0773">
      <w:marLeft w:val="0"/>
      <w:marRight w:val="0"/>
      <w:marTop w:val="0"/>
      <w:marBottom w:val="0"/>
      <w:divBdr>
        <w:top w:val="none" w:sz="0" w:space="0" w:color="auto"/>
        <w:left w:val="none" w:sz="0" w:space="0" w:color="auto"/>
        <w:bottom w:val="none" w:sz="0" w:space="0" w:color="auto"/>
        <w:right w:val="none" w:sz="0" w:space="0" w:color="auto"/>
      </w:divBdr>
      <w:divsChild>
        <w:div w:id="1202400771">
          <w:marLeft w:val="0"/>
          <w:marRight w:val="0"/>
          <w:marTop w:val="0"/>
          <w:marBottom w:val="0"/>
          <w:divBdr>
            <w:top w:val="none" w:sz="0" w:space="0" w:color="auto"/>
            <w:left w:val="none" w:sz="0" w:space="0" w:color="auto"/>
            <w:bottom w:val="none" w:sz="0" w:space="0" w:color="auto"/>
            <w:right w:val="none" w:sz="0" w:space="0" w:color="auto"/>
          </w:divBdr>
          <w:divsChild>
            <w:div w:id="12024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07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Jennifer Askey—DH2015 poster submission abstract</dc:title>
  <dc:subject/>
  <dc:creator>Jennifer Askey</dc:creator>
  <cp:keywords/>
  <dc:description/>
  <cp:lastModifiedBy>Bob2</cp:lastModifiedBy>
  <cp:revision>4</cp:revision>
  <cp:lastPrinted>2015-03-21T23:40:00Z</cp:lastPrinted>
  <dcterms:created xsi:type="dcterms:W3CDTF">2015-04-20T18:35:00Z</dcterms:created>
  <dcterms:modified xsi:type="dcterms:W3CDTF">2015-05-03T21:24:00Z</dcterms:modified>
</cp:coreProperties>
</file>