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C2C91" w:rsidRPr="006C2C91" w:rsidRDefault="006C2C91" w:rsidP="00BE0D3E">
      <w:pPr>
        <w:pStyle w:val="BodyText"/>
        <w:rPr>
          <w:rStyle w:val="Caracteresdanotaderodap"/>
          <w:b/>
        </w:rPr>
      </w:pPr>
      <w:r w:rsidRPr="006C2C91">
        <w:rPr>
          <w:rStyle w:val="Caracteresdanotaderodap"/>
          <w:b/>
        </w:rPr>
        <w:t>BERMUDEZ — Using</w:t>
      </w:r>
    </w:p>
    <w:p w:rsidR="00F6173E" w:rsidRPr="006C2C91" w:rsidRDefault="00F6173E" w:rsidP="00F6173E">
      <w:pPr>
        <w:pStyle w:val="BodyText"/>
        <w:rPr>
          <w:rFonts w:cs="Times New Roman"/>
        </w:rPr>
      </w:pPr>
      <w:r>
        <w:rPr>
          <w:rFonts w:cs="Times New Roman"/>
          <w:bCs/>
        </w:rPr>
        <w:t>&lt;0 figures&gt;</w:t>
      </w:r>
    </w:p>
    <w:p w:rsidR="006C2C91" w:rsidRDefault="006C2C91" w:rsidP="00BE0D3E">
      <w:pPr>
        <w:pStyle w:val="BodyText"/>
        <w:rPr>
          <w:rStyle w:val="Caracteresdanotaderodap"/>
        </w:rPr>
      </w:pPr>
    </w:p>
    <w:p w:rsidR="00A63530" w:rsidRPr="006C2C91" w:rsidRDefault="00A63530" w:rsidP="00BE0D3E">
      <w:pPr>
        <w:pStyle w:val="BodyText"/>
        <w:rPr>
          <w:rStyle w:val="Caracteresdanotaderodap"/>
          <w:b/>
        </w:rPr>
      </w:pPr>
      <w:r w:rsidRPr="006C2C91">
        <w:rPr>
          <w:rStyle w:val="Caracteresdanotaderodap"/>
          <w:b/>
        </w:rPr>
        <w:t xml:space="preserve">Using Feature Structures for the </w:t>
      </w:r>
      <w:r w:rsidR="006C2C91">
        <w:rPr>
          <w:rStyle w:val="Caracteresdanotaderodap"/>
          <w:b/>
        </w:rPr>
        <w:t>S</w:t>
      </w:r>
      <w:r w:rsidRPr="006C2C91">
        <w:rPr>
          <w:rStyle w:val="Caracteresdanotaderodap"/>
          <w:b/>
        </w:rPr>
        <w:t xml:space="preserve">tudy of </w:t>
      </w:r>
      <w:r w:rsidR="006C2C91">
        <w:rPr>
          <w:rStyle w:val="Caracteresdanotaderodap"/>
          <w:b/>
        </w:rPr>
        <w:t>M</w:t>
      </w:r>
      <w:r w:rsidRPr="006C2C91">
        <w:rPr>
          <w:rStyle w:val="Caracteresdanotaderodap"/>
          <w:b/>
        </w:rPr>
        <w:t xml:space="preserve">edieval </w:t>
      </w:r>
      <w:r w:rsidR="006C2C91">
        <w:rPr>
          <w:rStyle w:val="Caracteresdanotaderodap"/>
          <w:b/>
        </w:rPr>
        <w:t>M</w:t>
      </w:r>
      <w:r w:rsidRPr="006C2C91">
        <w:rPr>
          <w:rStyle w:val="Caracteresdanotaderodap"/>
          <w:b/>
        </w:rPr>
        <w:t>anuscripts</w:t>
      </w:r>
    </w:p>
    <w:p w:rsidR="00A63530" w:rsidRPr="006C2C91" w:rsidRDefault="00A63530" w:rsidP="00BE0D3E">
      <w:pPr>
        <w:pStyle w:val="BodyText"/>
        <w:rPr>
          <w:rFonts w:cs="Times New Roman"/>
        </w:rPr>
      </w:pPr>
      <w:r w:rsidRPr="006C2C91">
        <w:rPr>
          <w:rFonts w:cs="Times New Roman"/>
          <w:bCs/>
        </w:rPr>
        <w:t>Sabel</w:t>
      </w:r>
      <w:r w:rsidR="00B82D7B">
        <w:rPr>
          <w:rFonts w:cs="Times New Roman"/>
          <w:bCs/>
        </w:rPr>
        <w:t>, H. B.</w:t>
      </w:r>
    </w:p>
    <w:p w:rsidR="006C2C91" w:rsidRDefault="006C2C91" w:rsidP="00BE0D3E">
      <w:pPr>
        <w:pStyle w:val="BodyText"/>
        <w:rPr>
          <w:rFonts w:cs="Times New Roman"/>
        </w:rPr>
      </w:pPr>
    </w:p>
    <w:p w:rsidR="00A63530" w:rsidRPr="006C2C91" w:rsidRDefault="006C2C91" w:rsidP="00F6173E">
      <w:pPr>
        <w:pStyle w:val="BodyText"/>
        <w:rPr>
          <w:rFonts w:cs="Times New Roman"/>
        </w:rPr>
      </w:pPr>
      <w:r>
        <w:rPr>
          <w:rFonts w:cs="Times New Roman"/>
        </w:rPr>
        <w:t>Scholars</w:t>
      </w:r>
      <w:r w:rsidR="00A63530" w:rsidRPr="006C2C91">
        <w:rPr>
          <w:rFonts w:cs="Times New Roman"/>
        </w:rPr>
        <w:t xml:space="preserve"> would agree on the importance of doing a comprehensive linguistic study of every witness that integrates a manuscript tradition. However, such a detailed research on large traditions can be rather laborious. </w:t>
      </w:r>
    </w:p>
    <w:p w:rsidR="00A63530" w:rsidRPr="006C2C91" w:rsidRDefault="00A63530" w:rsidP="006C2C91">
      <w:pPr>
        <w:pStyle w:val="BodyText"/>
        <w:ind w:firstLine="720"/>
        <w:rPr>
          <w:rFonts w:cs="Times New Roman"/>
          <w:b/>
        </w:rPr>
      </w:pPr>
      <w:r w:rsidRPr="006C2C91">
        <w:rPr>
          <w:rFonts w:cs="Times New Roman"/>
        </w:rPr>
        <w:t xml:space="preserve">A possible alternative to limit the object of study is, to my mind, to examine the most important linguistic phenomenon, namely linguistic variation. By focusing on all the language variants found after collating every witness, we report on the distinctive linguistic features of every manuscript, thus making the study of a manuscript tradition much more practicable </w:t>
      </w:r>
      <w:r w:rsidR="00C31140" w:rsidRPr="00C31140">
        <w:rPr>
          <w:rFonts w:cs="Times New Roman"/>
        </w:rPr>
        <w:t>(Roudil, 1986</w:t>
      </w:r>
      <w:r w:rsidRPr="00C31140">
        <w:rPr>
          <w:rFonts w:cs="Times New Roman"/>
        </w:rPr>
        <w:t>).</w:t>
      </w:r>
      <w:r w:rsidR="006C2C91" w:rsidRPr="00C31140">
        <w:rPr>
          <w:rFonts w:cs="Times New Roman"/>
          <w:b/>
        </w:rPr>
        <w:t xml:space="preserve"> </w:t>
      </w:r>
    </w:p>
    <w:p w:rsidR="00A63530" w:rsidRPr="006C2C91" w:rsidRDefault="00A63530" w:rsidP="006C2C91">
      <w:pPr>
        <w:pStyle w:val="BodyText"/>
        <w:ind w:firstLine="720"/>
        <w:rPr>
          <w:rFonts w:cs="Times New Roman"/>
        </w:rPr>
      </w:pPr>
      <w:r w:rsidRPr="006C2C91">
        <w:rPr>
          <w:rFonts w:cs="Times New Roman"/>
        </w:rPr>
        <w:t xml:space="preserve">For a period such as the Middle Ages, which featured rather flexible writing codes, textual variation can be very informative. Taking a corpus of formal features as a reference and comparing it with other texts, for which there is a high degree of certainty about the conditions in which they were written, can actually provide useful information regarding their writing standards, that is, the </w:t>
      </w:r>
      <w:r w:rsidRPr="006C2C91">
        <w:rPr>
          <w:rFonts w:cs="Times New Roman"/>
          <w:i/>
          <w:iCs/>
        </w:rPr>
        <w:t>scriptorium</w:t>
      </w:r>
      <w:r w:rsidRPr="006C2C91">
        <w:rPr>
          <w:rFonts w:cs="Times New Roman"/>
        </w:rPr>
        <w:t>.</w:t>
      </w:r>
    </w:p>
    <w:p w:rsidR="00A63530" w:rsidRPr="006C2C91" w:rsidRDefault="00A63530" w:rsidP="006C2C91">
      <w:pPr>
        <w:pStyle w:val="BodyText"/>
        <w:ind w:firstLine="720"/>
        <w:rPr>
          <w:rFonts w:cs="Times New Roman"/>
        </w:rPr>
      </w:pPr>
      <w:r w:rsidRPr="006C2C91">
        <w:rPr>
          <w:rFonts w:cs="Times New Roman"/>
        </w:rPr>
        <w:t xml:space="preserve">Linguistic variants usually occur as a result of the self-dictation </w:t>
      </w:r>
      <w:r w:rsidR="006A0250">
        <w:rPr>
          <w:rFonts w:cs="Times New Roman"/>
        </w:rPr>
        <w:t>that</w:t>
      </w:r>
      <w:r w:rsidRPr="006C2C91">
        <w:rPr>
          <w:rFonts w:cs="Times New Roman"/>
        </w:rPr>
        <w:t xml:space="preserve"> the copyist does after reading and memorizing the extract he intends to copy, hence reflecting features of the his idiolect. The study of those features contributes to gain a better understanding of the witness production, since it provides evidence of the human resources who participated in this production. </w:t>
      </w:r>
    </w:p>
    <w:p w:rsidR="00A63530" w:rsidRPr="006C2C91" w:rsidRDefault="00A63530" w:rsidP="00D57272">
      <w:pPr>
        <w:pStyle w:val="BodyText"/>
        <w:suppressAutoHyphens w:val="0"/>
        <w:ind w:firstLine="720"/>
        <w:rPr>
          <w:rFonts w:cs="Times New Roman"/>
        </w:rPr>
      </w:pPr>
      <w:r w:rsidRPr="006C2C91">
        <w:rPr>
          <w:rFonts w:cs="Times New Roman"/>
        </w:rPr>
        <w:t>Copy errors are another gold mine, and their systematic cla</w:t>
      </w:r>
      <w:r w:rsidR="00CD4D32" w:rsidRPr="006C2C91">
        <w:rPr>
          <w:rFonts w:cs="Times New Roman"/>
        </w:rPr>
        <w:t xml:space="preserve">ssification and study provides </w:t>
      </w:r>
      <w:r w:rsidRPr="006C2C91">
        <w:rPr>
          <w:rFonts w:cs="Times New Roman"/>
        </w:rPr>
        <w:t>information related to the sources, distinctive features of the model (e.g.</w:t>
      </w:r>
      <w:r w:rsidR="006A0250">
        <w:rPr>
          <w:rFonts w:cs="Times New Roman"/>
        </w:rPr>
        <w:t>,</w:t>
      </w:r>
      <w:r w:rsidRPr="006C2C91">
        <w:rPr>
          <w:rFonts w:cs="Times New Roman"/>
        </w:rPr>
        <w:t xml:space="preserve"> a common graphic substitution in the copy means that the two graphemes were very similar in the model), and linguistic data, among others.</w:t>
      </w:r>
    </w:p>
    <w:p w:rsidR="00A63530" w:rsidRPr="006C2C91" w:rsidRDefault="00A63530" w:rsidP="00D57272">
      <w:pPr>
        <w:pStyle w:val="BodyText"/>
        <w:suppressAutoHyphens w:val="0"/>
        <w:ind w:firstLine="720"/>
        <w:rPr>
          <w:rFonts w:cs="Times New Roman"/>
        </w:rPr>
      </w:pPr>
      <w:r w:rsidRPr="006C2C91">
        <w:rPr>
          <w:rFonts w:cs="Times New Roman"/>
        </w:rPr>
        <w:t xml:space="preserve">Therefore, in order to compile all these data I propose a digital edition based on the collation of every reading of every witness an edition </w:t>
      </w:r>
      <w:r w:rsidR="006A0250">
        <w:rPr>
          <w:rFonts w:cs="Times New Roman"/>
        </w:rPr>
        <w:t xml:space="preserve">that </w:t>
      </w:r>
      <w:r w:rsidRPr="006C2C91">
        <w:rPr>
          <w:rFonts w:cs="Times New Roman"/>
        </w:rPr>
        <w:t>is applied to the Galician-Portuguese secular lyric.</w:t>
      </w:r>
      <w:r w:rsidR="004A583B">
        <w:rPr>
          <w:rFonts w:cs="Times New Roman"/>
          <w:vertAlign w:val="superscript"/>
        </w:rPr>
        <w:t>1</w:t>
      </w:r>
    </w:p>
    <w:p w:rsidR="00A63530" w:rsidRPr="006C2C91" w:rsidRDefault="00A63530" w:rsidP="00D57272">
      <w:pPr>
        <w:pStyle w:val="BodyText"/>
        <w:suppressAutoHyphens w:val="0"/>
        <w:ind w:firstLine="720"/>
        <w:rPr>
          <w:rFonts w:cs="Times New Roman"/>
        </w:rPr>
      </w:pPr>
      <w:r w:rsidRPr="006C2C91">
        <w:rPr>
          <w:rFonts w:cs="Times New Roman"/>
        </w:rPr>
        <w:lastRenderedPageBreak/>
        <w:t xml:space="preserve">After using regular expressions and XSLT to create a preliminary interlinear collation, I manually corrected certain elements, such as the </w:t>
      </w:r>
      <w:r w:rsidRPr="006C2C91">
        <w:rPr>
          <w:rFonts w:cs="Times New Roman"/>
          <w:i/>
          <w:iCs/>
        </w:rPr>
        <w:t>scripta continua</w:t>
      </w:r>
      <w:r w:rsidRPr="006C2C91">
        <w:rPr>
          <w:rFonts w:cs="Times New Roman"/>
        </w:rPr>
        <w:t xml:space="preserve"> found in some parts of certain witnesses or the accurate markup of lacunae and transpositions. I then transformed again the transcription, applying for this purpose a collation style</w:t>
      </w:r>
      <w:r w:rsidR="006A0250">
        <w:rPr>
          <w:rFonts w:cs="Times New Roman"/>
        </w:rPr>
        <w:t xml:space="preserve">  </w:t>
      </w:r>
      <w:r w:rsidRPr="006C2C91">
        <w:rPr>
          <w:rFonts w:cs="Times New Roman"/>
        </w:rPr>
        <w:t xml:space="preserve">sheet </w:t>
      </w:r>
      <w:r w:rsidR="006A0250">
        <w:rPr>
          <w:rFonts w:cs="Times New Roman"/>
        </w:rPr>
        <w:t>that</w:t>
      </w:r>
      <w:r w:rsidRPr="006C2C91">
        <w:rPr>
          <w:rFonts w:cs="Times New Roman"/>
        </w:rPr>
        <w:t xml:space="preserve"> I created and </w:t>
      </w:r>
      <w:r w:rsidR="006A0250">
        <w:rPr>
          <w:rFonts w:cs="Times New Roman"/>
        </w:rPr>
        <w:t xml:space="preserve">that </w:t>
      </w:r>
      <w:r w:rsidRPr="006C2C91">
        <w:rPr>
          <w:rFonts w:cs="Times New Roman"/>
        </w:rPr>
        <w:t>tokenizes and compares each element generating an apparatus tagset that records every variant. This encoding is done according to the T</w:t>
      </w:r>
      <w:r w:rsidR="006A0250">
        <w:rPr>
          <w:rFonts w:cs="Times New Roman"/>
        </w:rPr>
        <w:t>ext Encoding Initiative module ‘</w:t>
      </w:r>
      <w:r w:rsidRPr="006C2C91">
        <w:rPr>
          <w:rFonts w:cs="Times New Roman"/>
        </w:rPr>
        <w:t>Parallel Segmentation</w:t>
      </w:r>
      <w:r w:rsidR="006A0250">
        <w:rPr>
          <w:rFonts w:cs="Times New Roman"/>
        </w:rPr>
        <w:t>’</w:t>
      </w:r>
      <w:r w:rsidRPr="006C2C91">
        <w:rPr>
          <w:rFonts w:cs="Times New Roman"/>
        </w:rPr>
        <w:t xml:space="preserve"> method, a feature of the </w:t>
      </w:r>
      <w:r w:rsidRPr="006C2C91">
        <w:rPr>
          <w:rFonts w:cs="Times New Roman"/>
          <w:i/>
          <w:iCs/>
        </w:rPr>
        <w:t>TEI Guidelines</w:t>
      </w:r>
      <w:r w:rsidRPr="006C2C91">
        <w:rPr>
          <w:rFonts w:cs="Times New Roman"/>
        </w:rPr>
        <w:t xml:space="preserve"> that allows multiple versions of a text to be encoded in one document.</w:t>
      </w:r>
    </w:p>
    <w:p w:rsidR="00A63530" w:rsidRPr="006C2C91" w:rsidRDefault="00A63530" w:rsidP="006C2C91">
      <w:pPr>
        <w:pStyle w:val="BodyText"/>
        <w:ind w:firstLine="720"/>
        <w:rPr>
          <w:rFonts w:cs="Times New Roman"/>
        </w:rPr>
      </w:pPr>
      <w:r w:rsidRPr="006C2C91">
        <w:rPr>
          <w:rFonts w:cs="Times New Roman"/>
        </w:rPr>
        <w:t>Once all variants were marked up, I followed th</w:t>
      </w:r>
      <w:r w:rsidR="006A0250">
        <w:rPr>
          <w:rFonts w:cs="Times New Roman"/>
        </w:rPr>
        <w:t>e TEI module ‘</w:t>
      </w:r>
      <w:r w:rsidRPr="006C2C91">
        <w:rPr>
          <w:rFonts w:cs="Times New Roman"/>
        </w:rPr>
        <w:t>Feature Structures</w:t>
      </w:r>
      <w:r w:rsidR="006A0250">
        <w:rPr>
          <w:rFonts w:cs="Times New Roman"/>
        </w:rPr>
        <w:t>’</w:t>
      </w:r>
      <w:r w:rsidRPr="006C2C91">
        <w:rPr>
          <w:rFonts w:cs="Times New Roman"/>
        </w:rPr>
        <w:t xml:space="preserve"> to categorize them. I created a very detailed feature-value library, in which every variant has its correspondent &lt;fs&gt; element defined by five to ten individual features. This kind of combination make it possible to query the corpus with high precision. The retrieval of information is thus very efficient, mainly because I can use the same language, XQuery, to query and transform the data (Siegel </w:t>
      </w:r>
      <w:r w:rsidR="006A0250">
        <w:rPr>
          <w:rFonts w:cs="Times New Roman"/>
        </w:rPr>
        <w:t xml:space="preserve">and </w:t>
      </w:r>
      <w:r w:rsidRPr="006C2C91">
        <w:rPr>
          <w:rFonts w:cs="Times New Roman"/>
        </w:rPr>
        <w:t>Retter, 2015).</w:t>
      </w:r>
    </w:p>
    <w:p w:rsidR="00A63530" w:rsidRPr="006C2C91" w:rsidRDefault="00A63530" w:rsidP="006C2C91">
      <w:pPr>
        <w:pStyle w:val="BodyText"/>
        <w:ind w:firstLine="720"/>
        <w:rPr>
          <w:rFonts w:cs="Times New Roman"/>
        </w:rPr>
      </w:pPr>
      <w:r w:rsidRPr="006C2C91">
        <w:rPr>
          <w:rFonts w:cs="Times New Roman"/>
        </w:rPr>
        <w:t>As has been mentioned, this encoding and its manipulation provides, on one hand, the description of the various graphic systems used, by decoding the spelling rules present in the witnesses. A graphemic analysis will not only help to identify phenomena of language variation, but it will also clarify certain elements of the genesis of these manuscripts, such as graphic substrates, the origin of the copyists</w:t>
      </w:r>
      <w:r w:rsidR="006A0250">
        <w:rPr>
          <w:rFonts w:cs="Times New Roman"/>
        </w:rPr>
        <w:t>,</w:t>
      </w:r>
      <w:r w:rsidRPr="006C2C91">
        <w:rPr>
          <w:rFonts w:cs="Times New Roman"/>
        </w:rPr>
        <w:t xml:space="preserve"> and the textual sources </w:t>
      </w:r>
      <w:r w:rsidR="006A0250">
        <w:rPr>
          <w:rFonts w:cs="Times New Roman"/>
        </w:rPr>
        <w:t xml:space="preserve">that </w:t>
      </w:r>
      <w:r w:rsidRPr="006C2C91">
        <w:rPr>
          <w:rFonts w:cs="Times New Roman"/>
        </w:rPr>
        <w:t>were used.</w:t>
      </w:r>
    </w:p>
    <w:p w:rsidR="00A63530" w:rsidRPr="006C2C91" w:rsidRDefault="00A63530" w:rsidP="006C2C91">
      <w:pPr>
        <w:pStyle w:val="BodyText"/>
        <w:ind w:firstLine="720"/>
        <w:rPr>
          <w:rFonts w:cs="Times New Roman"/>
        </w:rPr>
      </w:pPr>
      <w:r w:rsidRPr="006C2C91">
        <w:rPr>
          <w:rFonts w:cs="Times New Roman"/>
        </w:rPr>
        <w:t>On the other hand, these data will serve to analyse the linguistic variation in the corpus, at the phonetic, phonological, morphological, syntactic, and lexical level</w:t>
      </w:r>
      <w:r w:rsidR="006A0250">
        <w:rPr>
          <w:rFonts w:cs="Times New Roman"/>
        </w:rPr>
        <w:t>s</w:t>
      </w:r>
      <w:r w:rsidRPr="006C2C91">
        <w:rPr>
          <w:rFonts w:cs="Times New Roman"/>
        </w:rPr>
        <w:t>. This information can be subsequently used to conduct a descriptive study, explaining the main features of the Galician-Portuguese grammar of the High and Late Middle Ages, concluding in a general study of historical linguistics, taking drawing examples from this corpus.</w:t>
      </w:r>
    </w:p>
    <w:p w:rsidR="00A63530" w:rsidRPr="006C2C91" w:rsidRDefault="00A63530" w:rsidP="006C2C91">
      <w:pPr>
        <w:pStyle w:val="BodyText"/>
        <w:ind w:firstLine="720"/>
        <w:rPr>
          <w:rFonts w:cs="Times New Roman"/>
        </w:rPr>
      </w:pPr>
      <w:r w:rsidRPr="006C2C91">
        <w:rPr>
          <w:rFonts w:cs="Times New Roman"/>
        </w:rPr>
        <w:t>Finally, scholars specialised in this literary tradition will find a very useful resource to prepare scholarly editions thanks to the thorough linguistic information and the informative collation.</w:t>
      </w:r>
    </w:p>
    <w:p w:rsidR="00A63530" w:rsidRPr="006C2C91" w:rsidRDefault="00A63530" w:rsidP="00BE0D3E">
      <w:pPr>
        <w:pStyle w:val="BodyText"/>
        <w:rPr>
          <w:rFonts w:cs="Times New Roman"/>
        </w:rPr>
      </w:pPr>
    </w:p>
    <w:p w:rsidR="004A583B" w:rsidRDefault="004A583B" w:rsidP="00BE0D3E">
      <w:pPr>
        <w:pStyle w:val="BodyText"/>
        <w:rPr>
          <w:rFonts w:cs="Times New Roman"/>
          <w:b/>
          <w:bCs/>
        </w:rPr>
      </w:pPr>
      <w:r>
        <w:rPr>
          <w:rFonts w:cs="Times New Roman"/>
          <w:b/>
          <w:bCs/>
        </w:rPr>
        <w:t>Note</w:t>
      </w:r>
    </w:p>
    <w:p w:rsidR="004A583B" w:rsidRPr="004A583B" w:rsidRDefault="004A583B" w:rsidP="004A583B">
      <w:pPr>
        <w:pStyle w:val="FootnoteText"/>
        <w:spacing w:line="360" w:lineRule="auto"/>
        <w:ind w:left="0" w:firstLine="0"/>
        <w:rPr>
          <w:sz w:val="24"/>
          <w:szCs w:val="24"/>
        </w:rPr>
      </w:pPr>
      <w:r>
        <w:rPr>
          <w:rFonts w:ascii="Times New Roman" w:hAnsi="Times New Roman" w:cs="Times New Roman"/>
          <w:sz w:val="24"/>
          <w:szCs w:val="24"/>
        </w:rPr>
        <w:t>1. F</w:t>
      </w:r>
      <w:r w:rsidRPr="004A583B">
        <w:rPr>
          <w:rFonts w:ascii="Times New Roman" w:hAnsi="Times New Roman" w:cs="Times New Roman"/>
          <w:sz w:val="24"/>
          <w:szCs w:val="24"/>
        </w:rPr>
        <w:t xml:space="preserve">or an initial approach, the </w:t>
      </w:r>
      <w:r w:rsidRPr="004A583B">
        <w:rPr>
          <w:rFonts w:ascii="Times New Roman" w:hAnsi="Times New Roman" w:cs="Times New Roman"/>
          <w:i/>
          <w:iCs/>
          <w:sz w:val="24"/>
          <w:szCs w:val="24"/>
        </w:rPr>
        <w:t xml:space="preserve">Cantigas Medievais Galego Portuguesas </w:t>
      </w:r>
      <w:r w:rsidRPr="004A583B">
        <w:rPr>
          <w:rFonts w:ascii="Times New Roman" w:hAnsi="Times New Roman" w:cs="Times New Roman"/>
          <w:iCs/>
          <w:sz w:val="24"/>
          <w:szCs w:val="24"/>
        </w:rPr>
        <w:t>[online database]</w:t>
      </w:r>
      <w:r w:rsidRPr="004A583B">
        <w:rPr>
          <w:rFonts w:ascii="Times New Roman" w:hAnsi="Times New Roman" w:cs="Times New Roman"/>
          <w:sz w:val="24"/>
          <w:szCs w:val="24"/>
        </w:rPr>
        <w:t xml:space="preserve"> offers all the</w:t>
      </w:r>
      <w:r w:rsidRPr="004A583B">
        <w:rPr>
          <w:rFonts w:ascii="Times New Roman" w:eastAsia="Liberation Serif" w:hAnsi="Times New Roman" w:cs="Times New Roman"/>
          <w:sz w:val="24"/>
          <w:szCs w:val="24"/>
        </w:rPr>
        <w:t xml:space="preserve"> </w:t>
      </w:r>
      <w:r w:rsidRPr="004A583B">
        <w:rPr>
          <w:rFonts w:ascii="Times New Roman" w:hAnsi="Times New Roman" w:cs="Times New Roman"/>
          <w:i/>
          <w:iCs/>
          <w:sz w:val="24"/>
          <w:szCs w:val="24"/>
        </w:rPr>
        <w:t>cantigas</w:t>
      </w:r>
      <w:r w:rsidRPr="004A583B">
        <w:rPr>
          <w:rFonts w:ascii="Times New Roman" w:hAnsi="Times New Roman" w:cs="Times New Roman"/>
          <w:sz w:val="24"/>
          <w:szCs w:val="24"/>
        </w:rPr>
        <w:t xml:space="preserve"> (songs) contained in the medieval Galician-Portuguese </w:t>
      </w:r>
      <w:r w:rsidRPr="004A583B">
        <w:rPr>
          <w:rFonts w:ascii="Times New Roman" w:hAnsi="Times New Roman" w:cs="Times New Roman"/>
          <w:i/>
          <w:iCs/>
          <w:sz w:val="24"/>
          <w:szCs w:val="24"/>
        </w:rPr>
        <w:t>cancioneiros</w:t>
      </w:r>
      <w:r w:rsidRPr="004A583B">
        <w:rPr>
          <w:rFonts w:ascii="Times New Roman" w:hAnsi="Times New Roman" w:cs="Times New Roman"/>
          <w:sz w:val="24"/>
          <w:szCs w:val="24"/>
        </w:rPr>
        <w:t xml:space="preserve"> </w:t>
      </w:r>
      <w:r w:rsidRPr="004A583B">
        <w:rPr>
          <w:rFonts w:ascii="Times New Roman" w:hAnsi="Times New Roman" w:cs="Times New Roman"/>
          <w:sz w:val="24"/>
          <w:szCs w:val="24"/>
        </w:rPr>
        <w:lastRenderedPageBreak/>
        <w:t>(songbooks), the</w:t>
      </w:r>
      <w:r w:rsidRPr="004A583B">
        <w:rPr>
          <w:rFonts w:ascii="Times New Roman" w:eastAsia="Liberation Serif" w:hAnsi="Times New Roman" w:cs="Times New Roman"/>
          <w:sz w:val="24"/>
          <w:szCs w:val="24"/>
        </w:rPr>
        <w:t xml:space="preserve"> </w:t>
      </w:r>
      <w:r w:rsidRPr="004A583B">
        <w:rPr>
          <w:rFonts w:ascii="Times New Roman" w:hAnsi="Times New Roman" w:cs="Times New Roman"/>
          <w:sz w:val="24"/>
          <w:szCs w:val="24"/>
        </w:rPr>
        <w:t>manuscripts’ images, and also the music—both the medieval and the contemporary versions.</w:t>
      </w:r>
    </w:p>
    <w:p w:rsidR="004A583B" w:rsidRDefault="004A583B" w:rsidP="00BE0D3E">
      <w:pPr>
        <w:pStyle w:val="BodyText"/>
        <w:rPr>
          <w:rFonts w:cs="Times New Roman"/>
          <w:b/>
          <w:bCs/>
        </w:rPr>
      </w:pPr>
    </w:p>
    <w:p w:rsidR="00A63530" w:rsidRPr="006C2C91" w:rsidRDefault="00A63530" w:rsidP="00BE0D3E">
      <w:pPr>
        <w:pStyle w:val="BodyText"/>
        <w:rPr>
          <w:rFonts w:cs="Times New Roman"/>
        </w:rPr>
      </w:pPr>
      <w:r w:rsidRPr="006C2C91">
        <w:rPr>
          <w:rFonts w:cs="Times New Roman"/>
          <w:b/>
          <w:bCs/>
        </w:rPr>
        <w:t>References</w:t>
      </w:r>
    </w:p>
    <w:p w:rsidR="00A63530" w:rsidRPr="006C2C91" w:rsidRDefault="00A63530" w:rsidP="00BE0D3E">
      <w:pPr>
        <w:pStyle w:val="BodyText"/>
        <w:rPr>
          <w:rFonts w:eastAsia="Liberation Serif" w:cs="Times New Roman"/>
          <w:i/>
          <w:iCs/>
        </w:rPr>
      </w:pPr>
      <w:r w:rsidRPr="006C2C91">
        <w:rPr>
          <w:rFonts w:cs="Times New Roman"/>
          <w:b/>
        </w:rPr>
        <w:t>Lopes, G. Videira</w:t>
      </w:r>
      <w:r w:rsidR="002E10C2">
        <w:rPr>
          <w:rFonts w:cs="Times New Roman"/>
          <w:b/>
        </w:rPr>
        <w:t>,</w:t>
      </w:r>
      <w:r w:rsidRPr="006C2C91">
        <w:rPr>
          <w:rFonts w:cs="Times New Roman"/>
          <w:b/>
        </w:rPr>
        <w:t xml:space="preserve"> </w:t>
      </w:r>
      <w:r w:rsidRPr="006C2C91">
        <w:rPr>
          <w:rFonts w:cs="Times New Roman"/>
          <w:b/>
          <w:iCs/>
        </w:rPr>
        <w:t>et al</w:t>
      </w:r>
      <w:r w:rsidRPr="006C2C91">
        <w:rPr>
          <w:rFonts w:cs="Times New Roman"/>
          <w:b/>
        </w:rPr>
        <w:t>.</w:t>
      </w:r>
      <w:r w:rsidRPr="006C2C91">
        <w:rPr>
          <w:rFonts w:cs="Times New Roman"/>
        </w:rPr>
        <w:t xml:space="preserve"> (2011). </w:t>
      </w:r>
      <w:r w:rsidRPr="006C2C91">
        <w:rPr>
          <w:rFonts w:cs="Times New Roman"/>
          <w:i/>
          <w:iCs/>
        </w:rPr>
        <w:t>Cantigas Medievais Galego Portuguesas</w:t>
      </w:r>
      <w:r w:rsidRPr="006C2C91">
        <w:rPr>
          <w:rFonts w:cs="Times New Roman"/>
          <w:iCs/>
        </w:rPr>
        <w:t xml:space="preserve"> [online</w:t>
      </w:r>
      <w:r w:rsidR="006C2C91" w:rsidRPr="006C2C91">
        <w:rPr>
          <w:rFonts w:eastAsia="Liberation Serif" w:cs="Times New Roman"/>
          <w:iCs/>
        </w:rPr>
        <w:t xml:space="preserve"> </w:t>
      </w:r>
      <w:r w:rsidRPr="006C2C91">
        <w:rPr>
          <w:rFonts w:cs="Times New Roman"/>
          <w:iCs/>
        </w:rPr>
        <w:t>database]</w:t>
      </w:r>
      <w:r w:rsidRPr="006C2C91">
        <w:rPr>
          <w:rFonts w:cs="Times New Roman"/>
        </w:rPr>
        <w:t xml:space="preserve">. Lisbon: </w:t>
      </w:r>
      <w:r w:rsidR="006C2C91">
        <w:rPr>
          <w:rFonts w:cs="Times New Roman"/>
        </w:rPr>
        <w:t xml:space="preserve">Instituto de Estudos Medievais, </w:t>
      </w:r>
      <w:r w:rsidRPr="006C2C91">
        <w:rPr>
          <w:rFonts w:cs="Times New Roman"/>
        </w:rPr>
        <w:t>http://cantigas.fcsh.unl.pt.</w:t>
      </w:r>
    </w:p>
    <w:p w:rsidR="00A63530" w:rsidRPr="006C2C91" w:rsidRDefault="00A63530" w:rsidP="00BE0D3E">
      <w:pPr>
        <w:pStyle w:val="BodyText"/>
        <w:rPr>
          <w:rFonts w:cs="Times New Roman"/>
        </w:rPr>
      </w:pPr>
      <w:r w:rsidRPr="006C2C91">
        <w:rPr>
          <w:rFonts w:eastAsia="Times New Roman" w:cs="Times New Roman"/>
          <w:b/>
        </w:rPr>
        <w:t>Roudil, J.</w:t>
      </w:r>
      <w:r w:rsidRPr="006C2C91">
        <w:rPr>
          <w:rFonts w:eastAsia="Times New Roman" w:cs="Times New Roman"/>
        </w:rPr>
        <w:t xml:space="preserve"> (1986). </w:t>
      </w:r>
      <w:r w:rsidRPr="006C2C91">
        <w:rPr>
          <w:rFonts w:eastAsia="Times New Roman" w:cs="Times New Roman"/>
          <w:i/>
          <w:iCs/>
        </w:rPr>
        <w:t xml:space="preserve">Summa de los nueve tiempos de </w:t>
      </w:r>
      <w:r w:rsidR="00547C5E">
        <w:rPr>
          <w:rFonts w:eastAsia="Times New Roman" w:cs="Times New Roman"/>
          <w:i/>
          <w:iCs/>
        </w:rPr>
        <w:t>los pleitos. Édition et étude d’</w:t>
      </w:r>
      <w:r w:rsidRPr="006C2C91">
        <w:rPr>
          <w:rFonts w:eastAsia="Times New Roman" w:cs="Times New Roman"/>
          <w:i/>
          <w:iCs/>
        </w:rPr>
        <w:t>une variation sur un thème par Jean Roudil</w:t>
      </w:r>
      <w:r w:rsidRPr="006C2C91">
        <w:rPr>
          <w:rFonts w:eastAsia="Times New Roman" w:cs="Times New Roman"/>
        </w:rPr>
        <w:t>.</w:t>
      </w:r>
      <w:r w:rsidR="002E10C2">
        <w:rPr>
          <w:rFonts w:eastAsia="Times New Roman" w:cs="Times New Roman"/>
        </w:rPr>
        <w:t xml:space="preserve"> </w:t>
      </w:r>
      <w:r w:rsidRPr="006C2C91">
        <w:rPr>
          <w:rFonts w:eastAsia="Times New Roman" w:cs="Times New Roman"/>
        </w:rPr>
        <w:t>Klincksieck</w:t>
      </w:r>
      <w:r w:rsidR="002E10C2">
        <w:rPr>
          <w:rFonts w:eastAsia="Times New Roman" w:cs="Times New Roman"/>
        </w:rPr>
        <w:t>, Paris.</w:t>
      </w:r>
    </w:p>
    <w:p w:rsidR="00A63530" w:rsidRPr="006C2C91" w:rsidRDefault="00CD4D32" w:rsidP="00BE0D3E">
      <w:pPr>
        <w:pStyle w:val="BodyText"/>
        <w:rPr>
          <w:rFonts w:cs="Times New Roman"/>
        </w:rPr>
      </w:pPr>
      <w:r w:rsidRPr="006C2C91">
        <w:rPr>
          <w:rFonts w:cs="Times New Roman"/>
          <w:b/>
        </w:rPr>
        <w:t xml:space="preserve">Siegel, E. </w:t>
      </w:r>
      <w:r w:rsidR="006C2C91" w:rsidRPr="006C2C91">
        <w:rPr>
          <w:rFonts w:cs="Times New Roman"/>
          <w:b/>
        </w:rPr>
        <w:t>and</w:t>
      </w:r>
      <w:r w:rsidRPr="006C2C91">
        <w:rPr>
          <w:rFonts w:cs="Times New Roman"/>
          <w:b/>
        </w:rPr>
        <w:t xml:space="preserve"> Retter</w:t>
      </w:r>
      <w:r w:rsidR="002E10C2">
        <w:rPr>
          <w:rFonts w:cs="Times New Roman"/>
          <w:b/>
        </w:rPr>
        <w:t>, A</w:t>
      </w:r>
      <w:r w:rsidR="006C2C91" w:rsidRPr="006C2C91">
        <w:rPr>
          <w:rFonts w:cs="Times New Roman"/>
          <w:b/>
        </w:rPr>
        <w:t>.</w:t>
      </w:r>
      <w:r w:rsidRPr="006C2C91">
        <w:rPr>
          <w:rFonts w:cs="Times New Roman"/>
        </w:rPr>
        <w:t xml:space="preserve"> (2015). </w:t>
      </w:r>
      <w:r w:rsidR="00A63530" w:rsidRPr="00D57272">
        <w:rPr>
          <w:rFonts w:cs="Times New Roman"/>
          <w:i/>
        </w:rPr>
        <w:t xml:space="preserve">eXist. A NoSQL </w:t>
      </w:r>
      <w:r w:rsidR="00F6173E">
        <w:rPr>
          <w:rFonts w:cs="Times New Roman"/>
          <w:i/>
        </w:rPr>
        <w:t>D</w:t>
      </w:r>
      <w:r w:rsidR="00A63530" w:rsidRPr="00D57272">
        <w:rPr>
          <w:rFonts w:cs="Times New Roman"/>
          <w:i/>
        </w:rPr>
        <w:t xml:space="preserve">ocument </w:t>
      </w:r>
      <w:r w:rsidR="00F6173E">
        <w:rPr>
          <w:rFonts w:cs="Times New Roman"/>
          <w:i/>
        </w:rPr>
        <w:t>D</w:t>
      </w:r>
      <w:r w:rsidR="00A63530" w:rsidRPr="00D57272">
        <w:rPr>
          <w:rFonts w:cs="Times New Roman"/>
          <w:i/>
        </w:rPr>
        <w:t xml:space="preserve">atabase and </w:t>
      </w:r>
      <w:r w:rsidR="00F6173E">
        <w:rPr>
          <w:rFonts w:cs="Times New Roman"/>
          <w:i/>
        </w:rPr>
        <w:t>A</w:t>
      </w:r>
      <w:r w:rsidR="00A63530" w:rsidRPr="00D57272">
        <w:rPr>
          <w:rFonts w:cs="Times New Roman"/>
          <w:i/>
        </w:rPr>
        <w:t xml:space="preserve">pplication </w:t>
      </w:r>
      <w:r w:rsidR="00F6173E">
        <w:rPr>
          <w:rFonts w:cs="Times New Roman"/>
          <w:i/>
        </w:rPr>
        <w:t>P</w:t>
      </w:r>
      <w:r w:rsidR="006A0250" w:rsidRPr="00D57272">
        <w:rPr>
          <w:rFonts w:cs="Times New Roman"/>
          <w:i/>
        </w:rPr>
        <w:t>latform.</w:t>
      </w:r>
      <w:r w:rsidR="006A0250">
        <w:rPr>
          <w:rFonts w:cs="Times New Roman"/>
        </w:rPr>
        <w:t xml:space="preserve"> O’</w:t>
      </w:r>
      <w:r w:rsidR="00A63530" w:rsidRPr="006C2C91">
        <w:rPr>
          <w:rFonts w:cs="Times New Roman"/>
        </w:rPr>
        <w:t>Reilly</w:t>
      </w:r>
      <w:r w:rsidR="002E10C2">
        <w:rPr>
          <w:rFonts w:cs="Times New Roman"/>
        </w:rPr>
        <w:t>, Sebastopol.</w:t>
      </w:r>
    </w:p>
    <w:p w:rsidR="00A63530" w:rsidRPr="006C2C91" w:rsidRDefault="006C2C91" w:rsidP="00BE0D3E">
      <w:pPr>
        <w:pStyle w:val="BodyText"/>
        <w:rPr>
          <w:rFonts w:cs="Times New Roman"/>
        </w:rPr>
      </w:pPr>
      <w:r w:rsidRPr="006C2C91">
        <w:rPr>
          <w:rFonts w:cs="Times New Roman"/>
          <w:b/>
        </w:rPr>
        <w:t>TEI Consortium</w:t>
      </w:r>
      <w:r w:rsidR="00A63530" w:rsidRPr="006C2C91">
        <w:rPr>
          <w:rFonts w:cs="Times New Roman"/>
          <w:b/>
        </w:rPr>
        <w:t xml:space="preserve"> (eds)</w:t>
      </w:r>
      <w:r w:rsidR="00A63530" w:rsidRPr="006C2C91">
        <w:rPr>
          <w:rFonts w:cs="Times New Roman"/>
        </w:rPr>
        <w:t xml:space="preserve">. </w:t>
      </w:r>
      <w:r w:rsidR="006A0250">
        <w:rPr>
          <w:rFonts w:cs="Times New Roman"/>
        </w:rPr>
        <w:t xml:space="preserve">(n.d.). </w:t>
      </w:r>
      <w:r w:rsidR="00A63530" w:rsidRPr="006C2C91">
        <w:rPr>
          <w:rFonts w:cs="Times New Roman"/>
          <w:i/>
          <w:iCs/>
        </w:rPr>
        <w:t>TEI P5: Guidelines for Electronic Text Encoding and Interchange.</w:t>
      </w:r>
      <w:r w:rsidR="00A63530" w:rsidRPr="006C2C91">
        <w:rPr>
          <w:rFonts w:cs="Times New Roman"/>
        </w:rPr>
        <w:t xml:space="preserve"> 2.7.0.</w:t>
      </w:r>
      <w:r w:rsidR="00A63530" w:rsidRPr="006C2C91">
        <w:rPr>
          <w:rFonts w:eastAsia="Liberation Serif" w:cs="Times New Roman"/>
        </w:rPr>
        <w:t xml:space="preserve"> </w:t>
      </w:r>
      <w:r w:rsidR="00A63530" w:rsidRPr="006C2C91">
        <w:rPr>
          <w:rFonts w:cs="Times New Roman"/>
        </w:rPr>
        <w:t>http://www.tei-c.org/Guidelines/P5</w:t>
      </w:r>
      <w:r w:rsidR="002E10C2">
        <w:rPr>
          <w:rFonts w:cs="Times New Roman"/>
        </w:rPr>
        <w:t xml:space="preserve"> (last modified date: 16 September 2014).</w:t>
      </w:r>
      <w:bookmarkStart w:id="0" w:name="_GoBack"/>
      <w:bookmarkEnd w:id="0"/>
    </w:p>
    <w:sectPr w:rsidR="00A63530" w:rsidRPr="006C2C91">
      <w:headerReference w:type="default" r:id="rId6"/>
      <w:footerReference w:type="default" r:id="rId7"/>
      <w:headerReference w:type="first" r:id="rId8"/>
      <w:footerReference w:type="first" r:id="rId9"/>
      <w:pgSz w:w="11906" w:h="16838"/>
      <w:pgMar w:top="1976" w:right="1417" w:bottom="1976" w:left="1417" w:header="1417" w:footer="141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1D4" w:rsidRDefault="003A71D4">
      <w:r>
        <w:separator/>
      </w:r>
    </w:p>
  </w:endnote>
  <w:endnote w:type="continuationSeparator" w:id="0">
    <w:p w:rsidR="003A71D4" w:rsidRDefault="003A7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Arial"/>
    <w:charset w:val="01"/>
    <w:family w:val="swiss"/>
    <w:pitch w:val="default"/>
  </w:font>
  <w:font w:name="Liberation Sans">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530" w:rsidRDefault="008C2D12">
    <w:pPr>
      <w:pStyle w:val="Footer"/>
      <w:jc w:val="right"/>
    </w:pPr>
    <w:r>
      <w:rPr>
        <w:noProof/>
        <w:lang w:eastAsia="en-US" w:bidi="ar-SA"/>
      </w:rPr>
      <mc:AlternateContent>
        <mc:Choice Requires="wps">
          <w:drawing>
            <wp:anchor distT="72390" distB="72390" distL="72390" distR="72390" simplePos="0" relativeHeight="251656704" behindDoc="0" locked="0" layoutInCell="1" allowOverlap="1">
              <wp:simplePos x="0" y="0"/>
              <wp:positionH relativeFrom="column">
                <wp:posOffset>5751195</wp:posOffset>
              </wp:positionH>
              <wp:positionV relativeFrom="paragraph">
                <wp:posOffset>175260</wp:posOffset>
              </wp:positionV>
              <wp:extent cx="178435" cy="178435"/>
              <wp:effectExtent l="0" t="3810" r="4445" b="0"/>
              <wp:wrapSquare wrapText="bothSides"/>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78435"/>
                      </a:xfrm>
                      <a:prstGeom prst="rect">
                        <a:avLst/>
                      </a:prstGeom>
                      <a:solidFill>
                        <a:srgbClr val="00458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3530" w:rsidRDefault="00A63530">
                          <w:pPr>
                            <w:pStyle w:val="Contedodamoldura"/>
                            <w:jc w:val="righ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52.85pt;margin-top:13.8pt;width:14.05pt;height:14.05pt;z-index:25165670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" fillcolor="#004586" stroked="f">
              <v:textbox inset="0,0,0,0">
                <w:txbxContent>
                  <w:p w:rsidR="00A63530" w:rsidRDefault="00A63530">
                    <w:pPr>
                      <w:pStyle w:val="Contedodamoldura"/>
                      <w:jc w:val="right"/>
                    </w:pPr>
                  </w:p>
                </w:txbxContent>
              </v:textbox>
              <w10:wrap type="square"/>
            </v:shape>
          </w:pict>
        </mc:Fallback>
      </mc:AlternateContent>
    </w:r>
    <w:r>
      <w:rPr>
        <w:noProof/>
        <w:lang w:eastAsia="en-US" w:bidi="ar-SA"/>
      </w:rPr>
      <mc:AlternateContent>
        <mc:Choice Requires="wps">
          <w:drawing>
            <wp:anchor distT="72390" distB="72390" distL="72390" distR="72390" simplePos="0" relativeHeight="251657728" behindDoc="1" locked="0" layoutInCell="1" allowOverlap="1">
              <wp:simplePos x="0" y="0"/>
              <wp:positionH relativeFrom="column">
                <wp:posOffset>5551170</wp:posOffset>
              </wp:positionH>
              <wp:positionV relativeFrom="paragraph">
                <wp:posOffset>25400</wp:posOffset>
              </wp:positionV>
              <wp:extent cx="250825" cy="25082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250825"/>
                      </a:xfrm>
                      <a:prstGeom prst="rect">
                        <a:avLst/>
                      </a:prstGeom>
                      <a:solidFill>
                        <a:srgbClr val="CFE7F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3530" w:rsidRDefault="00A63530">
                          <w:pPr>
                            <w:pStyle w:val="Contedodamoldura"/>
                            <w:jc w:val="righ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437.1pt;margin-top:2pt;width:19.75pt;height:19.75pt;z-index:-25165875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" fillcolor="#cfe7f5" stroked="f">
              <v:textbox inset="0,0,0,0">
                <w:txbxContent>
                  <w:p w:rsidR="00A63530" w:rsidRDefault="00A63530">
                    <w:pPr>
                      <w:pStyle w:val="Contedodamoldura"/>
                      <w:jc w:val="right"/>
                    </w:pPr>
                  </w:p>
                </w:txbxContent>
              </v:textbox>
            </v:shape>
          </w:pict>
        </mc:Fallback>
      </mc:AlternateContent>
    </w:r>
    <w:r w:rsidR="00A63530">
      <w:fldChar w:fldCharType="begin"/>
    </w:r>
    <w:r w:rsidR="00A63530">
      <w:instrText xml:space="preserve"> PAGE </w:instrText>
    </w:r>
    <w:r w:rsidR="00A63530">
      <w:fldChar w:fldCharType="separate"/>
    </w:r>
    <w:r w:rsidR="004A583B">
      <w:rPr>
        <w:noProof/>
      </w:rPr>
      <w:t>3</w:t>
    </w:r>
    <w:r w:rsidR="00A63530">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530" w:rsidRDefault="00A6353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1D4" w:rsidRDefault="003A71D4">
      <w:r>
        <w:separator/>
      </w:r>
    </w:p>
  </w:footnote>
  <w:footnote w:type="continuationSeparator" w:id="0">
    <w:p w:rsidR="003A71D4" w:rsidRDefault="003A71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530" w:rsidRDefault="008C2D12">
    <w:pPr>
      <w:pStyle w:val="Header"/>
    </w:pPr>
    <w:r>
      <w:rPr>
        <w:noProof/>
        <w:lang w:eastAsia="en-US" w:bidi="ar-SA"/>
      </w:rPr>
      <w:drawing>
        <wp:anchor distT="0" distB="0" distL="0" distR="0" simplePos="0" relativeHeight="251658752" behindDoc="0" locked="0" layoutInCell="1" allowOverlap="1">
          <wp:simplePos x="0" y="0"/>
          <wp:positionH relativeFrom="column">
            <wp:posOffset>3810</wp:posOffset>
          </wp:positionH>
          <wp:positionV relativeFrom="paragraph">
            <wp:posOffset>-3175</wp:posOffset>
          </wp:positionV>
          <wp:extent cx="681355" cy="179070"/>
          <wp:effectExtent l="0" t="0" r="0" b="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r="45573" b="53333"/>
                  <a:stretch>
                    <a:fillRect/>
                  </a:stretch>
                </pic:blipFill>
                <pic:spPr bwMode="auto">
                  <a:xfrm>
                    <a:off x="0" y="0"/>
                    <a:ext cx="681355" cy="17907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530" w:rsidRDefault="00A6353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D32"/>
    <w:rsid w:val="002E10C2"/>
    <w:rsid w:val="003A71D4"/>
    <w:rsid w:val="004A583B"/>
    <w:rsid w:val="00547C5E"/>
    <w:rsid w:val="006A0250"/>
    <w:rsid w:val="006C2C91"/>
    <w:rsid w:val="00774A09"/>
    <w:rsid w:val="008C2D12"/>
    <w:rsid w:val="00956E37"/>
    <w:rsid w:val="00A63530"/>
    <w:rsid w:val="00B82D7B"/>
    <w:rsid w:val="00BE0D3E"/>
    <w:rsid w:val="00C31140"/>
    <w:rsid w:val="00CD4D32"/>
    <w:rsid w:val="00D04C7F"/>
    <w:rsid w:val="00D30BF9"/>
    <w:rsid w:val="00D57272"/>
    <w:rsid w:val="00D659AD"/>
    <w:rsid w:val="00F61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544C621E-F831-4D5F-AD6E-F78C72418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decomentario">
    <w:name w:val="Ref. de comentario"/>
    <w:rPr>
      <w:sz w:val="16"/>
      <w:szCs w:val="16"/>
    </w:rPr>
  </w:style>
  <w:style w:type="character" w:customStyle="1" w:styleId="Caracteresdanotaderodap">
    <w:name w:val="Caracteres da nota de rodapé"/>
  </w:style>
  <w:style w:type="character" w:styleId="FootnoteReference">
    <w:name w:val="footnote reference"/>
    <w:rPr>
      <w:vertAlign w:val="superscript"/>
    </w:rPr>
  </w:style>
  <w:style w:type="character" w:styleId="Hyperlink">
    <w:name w:val="Hyperlink"/>
    <w:rPr>
      <w:color w:val="000080"/>
      <w:u w:val="single"/>
    </w:rPr>
  </w:style>
  <w:style w:type="character" w:customStyle="1" w:styleId="Caracteresdenotafinal">
    <w:name w:val="Caracteres de nota final"/>
    <w:rPr>
      <w:vertAlign w:val="superscript"/>
    </w:rPr>
  </w:style>
  <w:style w:type="character" w:customStyle="1" w:styleId="WW-Caracteresdenotafinal">
    <w:name w:val="WW-Caracteres de nota final"/>
  </w:style>
  <w:style w:type="character" w:styleId="EndnoteReference">
    <w:name w:val="endnote reference"/>
    <w:rPr>
      <w:vertAlign w:val="superscript"/>
    </w:rPr>
  </w:style>
  <w:style w:type="paragraph" w:customStyle="1" w:styleId="Ttulo">
    <w:name w:val="Título"/>
    <w:basedOn w:val="Normal"/>
    <w:next w:val="BodyText"/>
    <w:pPr>
      <w:keepNext/>
      <w:spacing w:before="240" w:after="120"/>
    </w:pPr>
    <w:rPr>
      <w:rFonts w:ascii="Liberation Sans" w:hAnsi="Liberation Sans"/>
      <w:sz w:val="28"/>
      <w:szCs w:val="28"/>
    </w:rPr>
  </w:style>
  <w:style w:type="paragraph" w:styleId="BodyText">
    <w:name w:val="Body Text"/>
    <w:basedOn w:val="Normal"/>
    <w:rsid w:val="00BE0D3E"/>
    <w:pPr>
      <w:spacing w:line="360" w:lineRule="auto"/>
    </w:pPr>
    <w:rPr>
      <w:rFonts w:ascii="Times New Roman" w:hAnsi="Times New Roman"/>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styleId="FootnoteText">
    <w:name w:val="footnote text"/>
    <w:basedOn w:val="Normal"/>
    <w:pPr>
      <w:suppressLineNumbers/>
      <w:ind w:left="339" w:hanging="339"/>
    </w:pPr>
    <w:rPr>
      <w:sz w:val="20"/>
      <w:szCs w:val="20"/>
    </w:rPr>
  </w:style>
  <w:style w:type="paragraph" w:customStyle="1" w:styleId="Contedodamoldura">
    <w:name w:val="Conteúdo da moldura"/>
    <w:basedOn w:val="Normal"/>
  </w:style>
  <w:style w:type="paragraph" w:styleId="Footer">
    <w:name w:val="footer"/>
    <w:basedOn w:val="Normal"/>
    <w:pPr>
      <w:suppressLineNumbers/>
      <w:tabs>
        <w:tab w:val="center" w:pos="4536"/>
        <w:tab w:val="right" w:pos="9072"/>
      </w:tabs>
    </w:pPr>
  </w:style>
  <w:style w:type="paragraph" w:styleId="Header">
    <w:name w:val="header"/>
    <w:basedOn w:val="Normal"/>
    <w:pPr>
      <w:suppressLineNumbers/>
      <w:tabs>
        <w:tab w:val="center" w:pos="4536"/>
        <w:tab w:val="right" w:pos="9072"/>
      </w:tabs>
    </w:pPr>
  </w:style>
  <w:style w:type="paragraph" w:customStyle="1" w:styleId="Default">
    <w:name w:val="Default"/>
    <w:pPr>
      <w:widowControl w:val="0"/>
      <w:suppressAutoHyphens/>
      <w:autoSpaceDE w:val="0"/>
    </w:pPr>
    <w:rPr>
      <w:rFonts w:ascii="Arial" w:eastAsia="Arial" w:hAnsi="Arial" w:cs="Arial"/>
      <w:color w:val="000000"/>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Using Feature Structures for the study of medieval manuscripts</vt:lpstr>
    </vt:vector>
  </TitlesOfParts>
  <Company/>
  <LinksUpToDate>false</LinksUpToDate>
  <CharactersWithSpaces>5158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Feature Structures for the study of medieval manuscripts</dc:title>
  <dc:subject/>
  <dc:creator>Elsa Liste Lamas</dc:creator>
  <cp:keywords/>
  <dc:description/>
  <cp:lastModifiedBy>Bob2</cp:lastModifiedBy>
  <cp:revision>3</cp:revision>
  <cp:lastPrinted>2015-04-20T18:58:00Z</cp:lastPrinted>
  <dcterms:created xsi:type="dcterms:W3CDTF">2015-04-20T18:58:00Z</dcterms:created>
  <dcterms:modified xsi:type="dcterms:W3CDTF">2015-05-03T21:28:00Z</dcterms:modified>
</cp:coreProperties>
</file>