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9E0" w:rsidRPr="00C21775" w:rsidRDefault="009339E0" w:rsidP="00E41121">
      <w:r>
        <w:rPr>
          <w:b/>
          <w:bCs/>
          <w:sz w:val="28"/>
          <w:szCs w:val="28"/>
        </w:rPr>
        <w:t>STRATFORD — LinkedIn</w:t>
      </w:r>
    </w:p>
    <w:p w:rsidR="002905BF" w:rsidRPr="00C21775" w:rsidRDefault="002905BF" w:rsidP="00E41121">
      <w:pPr>
        <w:rPr>
          <w:bCs/>
        </w:rPr>
      </w:pPr>
      <w:r w:rsidRPr="00C21775">
        <w:rPr>
          <w:bCs/>
        </w:rPr>
        <w:t>&lt;1 figure&gt;</w:t>
      </w:r>
    </w:p>
    <w:p w:rsidR="002905BF" w:rsidRDefault="002905BF" w:rsidP="00E41121">
      <w:pPr>
        <w:rPr>
          <w:b/>
          <w:bCs/>
        </w:rPr>
      </w:pPr>
    </w:p>
    <w:p w:rsidR="009339E0" w:rsidRDefault="009339E0" w:rsidP="00E41121">
      <w:pPr>
        <w:rPr>
          <w:b/>
          <w:bCs/>
        </w:rPr>
      </w:pPr>
      <w:r w:rsidRPr="00E41121">
        <w:rPr>
          <w:b/>
          <w:bCs/>
        </w:rPr>
        <w:t xml:space="preserve">LinkedIn circa 2000 BCE: Towards a </w:t>
      </w:r>
      <w:r>
        <w:rPr>
          <w:b/>
          <w:bCs/>
        </w:rPr>
        <w:t>N</w:t>
      </w:r>
      <w:r w:rsidRPr="00E41121">
        <w:rPr>
          <w:b/>
          <w:bCs/>
        </w:rPr>
        <w:t xml:space="preserve">etwork </w:t>
      </w:r>
      <w:r>
        <w:rPr>
          <w:b/>
          <w:bCs/>
        </w:rPr>
        <w:t>M</w:t>
      </w:r>
      <w:r w:rsidRPr="00E41121">
        <w:rPr>
          <w:b/>
          <w:bCs/>
        </w:rPr>
        <w:t xml:space="preserve">odel of </w:t>
      </w:r>
      <w:proofErr w:type="spellStart"/>
      <w:r w:rsidRPr="00E41121">
        <w:rPr>
          <w:b/>
          <w:bCs/>
        </w:rPr>
        <w:t>Pušu</w:t>
      </w:r>
      <w:proofErr w:type="spellEnd"/>
      <w:r w:rsidRPr="00E41121">
        <w:rPr>
          <w:b/>
          <w:bCs/>
        </w:rPr>
        <w:t>-ken</w:t>
      </w:r>
      <w:r>
        <w:rPr>
          <w:b/>
          <w:bCs/>
        </w:rPr>
        <w:t>’</w:t>
      </w:r>
      <w:r w:rsidRPr="00E41121">
        <w:rPr>
          <w:b/>
          <w:bCs/>
        </w:rPr>
        <w:t xml:space="preserve">s </w:t>
      </w:r>
      <w:r>
        <w:rPr>
          <w:b/>
          <w:bCs/>
        </w:rPr>
        <w:t>C</w:t>
      </w:r>
      <w:r w:rsidRPr="00E41121">
        <w:rPr>
          <w:b/>
          <w:bCs/>
        </w:rPr>
        <w:t>ommercial</w:t>
      </w:r>
      <w:r>
        <w:rPr>
          <w:b/>
          <w:bCs/>
        </w:rPr>
        <w:t xml:space="preserve"> R</w:t>
      </w:r>
      <w:r w:rsidRPr="00E41121">
        <w:rPr>
          <w:b/>
          <w:bCs/>
        </w:rPr>
        <w:t>elationships in Old Assyria</w:t>
      </w:r>
      <w:r>
        <w:rPr>
          <w:b/>
          <w:bCs/>
        </w:rPr>
        <w:t xml:space="preserve"> </w:t>
      </w:r>
    </w:p>
    <w:p w:rsidR="009339E0" w:rsidRDefault="009339E0" w:rsidP="00E41121">
      <w:r w:rsidRPr="00E41121">
        <w:t xml:space="preserve">Stratford, </w:t>
      </w:r>
      <w:r>
        <w:t xml:space="preserve">E. and </w:t>
      </w:r>
      <w:r w:rsidRPr="00E41121">
        <w:t xml:space="preserve">Browne, </w:t>
      </w:r>
      <w:r>
        <w:t xml:space="preserve">J. </w:t>
      </w:r>
    </w:p>
    <w:p w:rsidR="009339E0" w:rsidRDefault="009339E0" w:rsidP="00E41121"/>
    <w:p w:rsidR="009339E0" w:rsidRDefault="009339E0" w:rsidP="00E41121">
      <w:r w:rsidRPr="00E41121">
        <w:t xml:space="preserve">Long before the Silk Road arose from Han Dynasty China, a </w:t>
      </w:r>
      <w:r>
        <w:t>‘</w:t>
      </w:r>
      <w:r w:rsidRPr="00E41121">
        <w:t>tin road</w:t>
      </w:r>
      <w:r>
        <w:t>’</w:t>
      </w:r>
      <w:r w:rsidRPr="00E41121">
        <w:t xml:space="preserve"> supported an</w:t>
      </w:r>
      <w:r>
        <w:t xml:space="preserve"> </w:t>
      </w:r>
      <w:r w:rsidRPr="00E41121">
        <w:t>eastern flow of this rare metal from Central Asia to the Aegean basin. Like the Silk Road, the</w:t>
      </w:r>
      <w:r>
        <w:t xml:space="preserve"> </w:t>
      </w:r>
      <w:r w:rsidRPr="00E41121">
        <w:t>ancient tin road operated as a relay trade where goods were transferred between groups along</w:t>
      </w:r>
      <w:r>
        <w:t xml:space="preserve"> </w:t>
      </w:r>
      <w:r w:rsidRPr="00E41121">
        <w:t>segments of the route. The basics of the Old Assyrian trade are well understood (</w:t>
      </w:r>
      <w:proofErr w:type="spellStart"/>
      <w:r w:rsidRPr="00E41121">
        <w:t>Veenhof</w:t>
      </w:r>
      <w:proofErr w:type="spellEnd"/>
      <w:r>
        <w:t xml:space="preserve"> and </w:t>
      </w:r>
      <w:proofErr w:type="spellStart"/>
      <w:r w:rsidRPr="00E41121">
        <w:t>Eidem</w:t>
      </w:r>
      <w:proofErr w:type="spellEnd"/>
      <w:r w:rsidRPr="00E41121">
        <w:t xml:space="preserve">, 2008). From their home city </w:t>
      </w:r>
      <w:proofErr w:type="spellStart"/>
      <w:r w:rsidRPr="00E41121">
        <w:t>Aššur</w:t>
      </w:r>
      <w:proofErr w:type="spellEnd"/>
      <w:r w:rsidRPr="00E41121">
        <w:t>, on the Tigris in northern Iraq, the Assyrian traders</w:t>
      </w:r>
      <w:r>
        <w:t xml:space="preserve"> </w:t>
      </w:r>
      <w:r w:rsidRPr="00E41121">
        <w:t>trucked the tin and textiles to the central plateau of modern Turkey, where they sold the goods</w:t>
      </w:r>
      <w:r>
        <w:t xml:space="preserve"> </w:t>
      </w:r>
      <w:r w:rsidRPr="00E41121">
        <w:t>through dozens of cities across the plateau. But aspects of the commercial organization are still</w:t>
      </w:r>
      <w:r>
        <w:t xml:space="preserve"> </w:t>
      </w:r>
      <w:r w:rsidRPr="00E41121">
        <w:t>debated (Larsen, 2007</w:t>
      </w:r>
      <w:r>
        <w:t>;</w:t>
      </w:r>
      <w:r w:rsidRPr="00E41121">
        <w:t xml:space="preserve"> Stratford, 2014). This paper describes a nascent project that applies</w:t>
      </w:r>
      <w:r>
        <w:t xml:space="preserve"> </w:t>
      </w:r>
      <w:r w:rsidRPr="00E41121">
        <w:t>network analysis to an Old Assyrian corpus to characterize commercial organization.</w:t>
      </w:r>
      <w:r>
        <w:t xml:space="preserve"> </w:t>
      </w:r>
    </w:p>
    <w:p w:rsidR="009339E0" w:rsidRDefault="009339E0" w:rsidP="00E41121">
      <w:pPr>
        <w:ind w:firstLine="720"/>
      </w:pPr>
      <w:r w:rsidRPr="00E41121">
        <w:t>Approximately 23,000 Old Assyrian documents exist (written in cuneiform on clay</w:t>
      </w:r>
      <w:r>
        <w:t xml:space="preserve"> </w:t>
      </w:r>
      <w:r w:rsidRPr="00E41121">
        <w:t>tablets), most written between 1900</w:t>
      </w:r>
      <w:r>
        <w:t xml:space="preserve"> and </w:t>
      </w:r>
      <w:r w:rsidRPr="00E41121">
        <w:t>1850 BCE. These documents, excavated from the site of</w:t>
      </w:r>
      <w:r>
        <w:t xml:space="preserve"> </w:t>
      </w:r>
      <w:proofErr w:type="spellStart"/>
      <w:r w:rsidRPr="00E41121">
        <w:t>Kültepe</w:t>
      </w:r>
      <w:proofErr w:type="spellEnd"/>
      <w:r w:rsidRPr="00E41121">
        <w:t xml:space="preserve"> at intervals since 1884, are stored at more than a dozen European, North American, and</w:t>
      </w:r>
      <w:r>
        <w:t xml:space="preserve"> </w:t>
      </w:r>
      <w:r w:rsidRPr="00E41121">
        <w:t>Turkish museums. Researchers have transcribed, photographed</w:t>
      </w:r>
      <w:r>
        <w:t>,</w:t>
      </w:r>
      <w:r w:rsidRPr="00E41121">
        <w:t xml:space="preserve"> and/or catalogued roughly half of</w:t>
      </w:r>
      <w:r>
        <w:t xml:space="preserve"> </w:t>
      </w:r>
      <w:r w:rsidRPr="00E41121">
        <w:t>them, though fewer have been translated into modern languages.</w:t>
      </w:r>
      <w:r>
        <w:t xml:space="preserve"> </w:t>
      </w:r>
    </w:p>
    <w:p w:rsidR="009339E0" w:rsidRDefault="009339E0" w:rsidP="00E41121">
      <w:pPr>
        <w:ind w:firstLine="720"/>
      </w:pPr>
      <w:r w:rsidRPr="00E41121">
        <w:t>Working from these transcriptions and catalogues, Dr. Edward Stratford selected 538</w:t>
      </w:r>
      <w:r>
        <w:t xml:space="preserve"> </w:t>
      </w:r>
      <w:r w:rsidRPr="00E41121">
        <w:t xml:space="preserve">documents that concerned a merchant named </w:t>
      </w:r>
      <w:proofErr w:type="spellStart"/>
      <w:r w:rsidRPr="00E41121">
        <w:t>Pušu</w:t>
      </w:r>
      <w:proofErr w:type="spellEnd"/>
      <w:r w:rsidRPr="00E41121">
        <w:t>-ken and his associate, Salim-</w:t>
      </w:r>
      <w:proofErr w:type="spellStart"/>
      <w:r w:rsidRPr="00E41121">
        <w:t>ahum</w:t>
      </w:r>
      <w:proofErr w:type="spellEnd"/>
      <w:r w:rsidRPr="00E41121">
        <w:t>. Dr.</w:t>
      </w:r>
      <w:r>
        <w:t xml:space="preserve"> </w:t>
      </w:r>
      <w:r w:rsidRPr="00E41121">
        <w:t>Stratford translated the documents from transcriptions, photographs, and tablets, using the</w:t>
      </w:r>
      <w:r>
        <w:t xml:space="preserve"> </w:t>
      </w:r>
      <w:r w:rsidRPr="00E41121">
        <w:t>University of Chicago</w:t>
      </w:r>
      <w:r>
        <w:t>’</w:t>
      </w:r>
      <w:r w:rsidRPr="00E41121">
        <w:t>s Online Cultural and Historical Research Environment (OCHRE) to</w:t>
      </w:r>
      <w:r>
        <w:t xml:space="preserve"> </w:t>
      </w:r>
      <w:r w:rsidRPr="00E41121">
        <w:t>record the text and its associated metadata.</w:t>
      </w:r>
      <w:r>
        <w:t xml:space="preserve"> </w:t>
      </w:r>
    </w:p>
    <w:p w:rsidR="009339E0" w:rsidRDefault="009339E0" w:rsidP="00E41121">
      <w:pPr>
        <w:ind w:firstLine="720"/>
      </w:pPr>
      <w:r w:rsidRPr="00E41121">
        <w:t>Recent attempts to model Old Assyrian commercial networks (</w:t>
      </w:r>
      <w:proofErr w:type="spellStart"/>
      <w:r w:rsidRPr="00E41121">
        <w:t>Bamman</w:t>
      </w:r>
      <w:proofErr w:type="spellEnd"/>
      <w:r>
        <w:t xml:space="preserve"> et al.</w:t>
      </w:r>
      <w:r w:rsidRPr="00E41121">
        <w:t>, 2014) have shown promise, but several non-trivial barriers limit the accuracy of these</w:t>
      </w:r>
      <w:r>
        <w:t xml:space="preserve"> </w:t>
      </w:r>
      <w:r w:rsidRPr="00E41121">
        <w:t>models. First, previous analyses have analyzed co-occurrence on a document-by-document basis.</w:t>
      </w:r>
      <w:r>
        <w:t xml:space="preserve"> </w:t>
      </w:r>
      <w:r w:rsidRPr="00E41121">
        <w:t xml:space="preserve">Each document, in fact, describes many </w:t>
      </w:r>
      <w:r>
        <w:t>‘</w:t>
      </w:r>
      <w:r w:rsidRPr="00E41121">
        <w:t>occurrences</w:t>
      </w:r>
      <w:r>
        <w:t>’</w:t>
      </w:r>
      <w:r w:rsidRPr="00E41121">
        <w:t>, such as financial transactions,</w:t>
      </w:r>
      <w:r>
        <w:t xml:space="preserve"> </w:t>
      </w:r>
      <w:r w:rsidRPr="00E41121">
        <w:t>commercial orders, payment disputes, etc. A more accurate analysis would define associations in</w:t>
      </w:r>
      <w:r>
        <w:t xml:space="preserve"> </w:t>
      </w:r>
      <w:r w:rsidRPr="00E41121">
        <w:t>terms of interactions between individuals rather than co-occurrence within documents.</w:t>
      </w:r>
      <w:r>
        <w:t xml:space="preserve"> </w:t>
      </w:r>
    </w:p>
    <w:p w:rsidR="009339E0" w:rsidRDefault="009339E0" w:rsidP="00E41121">
      <w:pPr>
        <w:ind w:firstLine="720"/>
      </w:pPr>
      <w:r w:rsidRPr="00E41121">
        <w:t>The second barrier to an accurate analysis of Old Assyrian trade records is the confusion</w:t>
      </w:r>
      <w:r>
        <w:t xml:space="preserve"> </w:t>
      </w:r>
      <w:r w:rsidRPr="00E41121">
        <w:t xml:space="preserve">caused by individuals who share informal appellations (see also </w:t>
      </w:r>
      <w:proofErr w:type="spellStart"/>
      <w:r w:rsidRPr="00E41121">
        <w:t>Bodard</w:t>
      </w:r>
      <w:proofErr w:type="spellEnd"/>
      <w:r>
        <w:t xml:space="preserve"> et al.</w:t>
      </w:r>
      <w:r w:rsidRPr="00E41121">
        <w:t xml:space="preserve">, 2014). For example, more than 100 individuals in Old Assyrian texts named </w:t>
      </w:r>
      <w:proofErr w:type="spellStart"/>
      <w:r w:rsidRPr="00E41121">
        <w:t>Aššur-malik</w:t>
      </w:r>
      <w:proofErr w:type="spellEnd"/>
      <w:r w:rsidRPr="00E41121">
        <w:t xml:space="preserve"> can be</w:t>
      </w:r>
      <w:r>
        <w:t xml:space="preserve"> </w:t>
      </w:r>
      <w:r w:rsidRPr="00E41121">
        <w:t xml:space="preserve">distinguished by their patronymic designations (e.g., </w:t>
      </w:r>
      <w:proofErr w:type="spellStart"/>
      <w:r w:rsidRPr="00E41121">
        <w:t>Aššur-malik</w:t>
      </w:r>
      <w:proofErr w:type="spellEnd"/>
      <w:r w:rsidRPr="00E41121">
        <w:t>, son of Al-</w:t>
      </w:r>
      <w:proofErr w:type="spellStart"/>
      <w:r w:rsidRPr="00E41121">
        <w:t>ahum</w:t>
      </w:r>
      <w:proofErr w:type="spellEnd"/>
      <w:r w:rsidRPr="00E41121">
        <w:t>). However,</w:t>
      </w:r>
      <w:r>
        <w:t xml:space="preserve"> </w:t>
      </w:r>
      <w:r w:rsidRPr="00E41121">
        <w:t>patronymics were not normally used in Old Assyrian correspondence. Experts familiar with the</w:t>
      </w:r>
      <w:r>
        <w:t xml:space="preserve"> </w:t>
      </w:r>
      <w:r w:rsidRPr="00E41121">
        <w:t>corpus must rely on context clues—geography, known associates, and specific roles—to deduce</w:t>
      </w:r>
      <w:r>
        <w:t xml:space="preserve"> </w:t>
      </w:r>
      <w:r w:rsidRPr="00E41121">
        <w:t>the identity in question.</w:t>
      </w:r>
      <w:r>
        <w:t xml:space="preserve"> </w:t>
      </w:r>
    </w:p>
    <w:p w:rsidR="009339E0" w:rsidRDefault="009339E0" w:rsidP="00E41121">
      <w:pPr>
        <w:ind w:firstLine="720"/>
      </w:pPr>
      <w:r w:rsidRPr="00E41121">
        <w:t>Despite its tremendous utility, OCHRE</w:t>
      </w:r>
      <w:r>
        <w:t>’</w:t>
      </w:r>
      <w:r w:rsidRPr="00E41121">
        <w:t>s ability to link names to individual persons—and</w:t>
      </w:r>
      <w:r>
        <w:t xml:space="preserve"> </w:t>
      </w:r>
      <w:r w:rsidRPr="00E41121">
        <w:t xml:space="preserve">thereby distinguish between two individuals with the same name—is still in development. Jeremy Browne worked with Stratford to develop a prototype database </w:t>
      </w:r>
      <w:r w:rsidRPr="00E41121">
        <w:lastRenderedPageBreak/>
        <w:t>and interface to</w:t>
      </w:r>
      <w:r>
        <w:t xml:space="preserve"> </w:t>
      </w:r>
      <w:r w:rsidRPr="00E41121">
        <w:t>extract names from the corpus and help Stratford quickly map instances of names to specific</w:t>
      </w:r>
      <w:r>
        <w:t xml:space="preserve"> </w:t>
      </w:r>
      <w:r w:rsidRPr="00E41121">
        <w:t>individuals.</w:t>
      </w:r>
      <w:r>
        <w:t xml:space="preserve"> </w:t>
      </w:r>
    </w:p>
    <w:p w:rsidR="009339E0" w:rsidRDefault="009339E0" w:rsidP="00E41121">
      <w:pPr>
        <w:ind w:firstLine="720"/>
      </w:pPr>
    </w:p>
    <w:p w:rsidR="009339E0" w:rsidRDefault="009339E0" w:rsidP="00E41121">
      <w:pPr>
        <w:rPr>
          <w:b/>
          <w:bCs/>
        </w:rPr>
      </w:pPr>
      <w:r w:rsidRPr="00E41121">
        <w:rPr>
          <w:b/>
          <w:bCs/>
        </w:rPr>
        <w:t>Building the Database and Preliminary Analysis</w:t>
      </w:r>
      <w:r>
        <w:rPr>
          <w:b/>
          <w:bCs/>
        </w:rPr>
        <w:t xml:space="preserve"> </w:t>
      </w:r>
    </w:p>
    <w:p w:rsidR="009339E0" w:rsidRDefault="009339E0" w:rsidP="00E41121">
      <w:r w:rsidRPr="00E41121">
        <w:t>This prototype relational database began with a single table to store the translated text</w:t>
      </w:r>
      <w:r>
        <w:t xml:space="preserve"> </w:t>
      </w:r>
      <w:r w:rsidRPr="00E41121">
        <w:t>segmented into over 2,000 occurrences. Browne wrote routines that extracted from the</w:t>
      </w:r>
      <w:r>
        <w:t xml:space="preserve"> </w:t>
      </w:r>
      <w:r w:rsidRPr="00E41121">
        <w:t>occurrences almost 1,000 unique non-English words, which Stratford classified as names,</w:t>
      </w:r>
      <w:r>
        <w:t xml:space="preserve"> </w:t>
      </w:r>
      <w:r w:rsidRPr="00E41121">
        <w:t xml:space="preserve">places, or technical terms (e.g., </w:t>
      </w:r>
      <w:r w:rsidRPr="00E41121">
        <w:rPr>
          <w:i/>
          <w:iCs/>
        </w:rPr>
        <w:t>minas</w:t>
      </w:r>
      <w:r w:rsidRPr="00E41121">
        <w:t>). The names—which are pertinent to this project—were</w:t>
      </w:r>
      <w:r>
        <w:t xml:space="preserve"> </w:t>
      </w:r>
      <w:r w:rsidRPr="00E41121">
        <w:t>stored in a new data table, while places and technical terms were set aside for future use. The</w:t>
      </w:r>
      <w:r>
        <w:t xml:space="preserve"> </w:t>
      </w:r>
      <w:r w:rsidRPr="00E41121">
        <w:t>routines that recorded names also recorded the association between names and occurrences.</w:t>
      </w:r>
      <w:r>
        <w:t xml:space="preserve"> </w:t>
      </w:r>
    </w:p>
    <w:p w:rsidR="009339E0" w:rsidRDefault="009339E0" w:rsidP="00E41121">
      <w:pPr>
        <w:ind w:firstLine="720"/>
      </w:pPr>
      <w:r w:rsidRPr="00E41121">
        <w:t>At this point Browne and Stratford could perform a preliminary analysis of the</w:t>
      </w:r>
      <w:r>
        <w:t xml:space="preserve"> </w:t>
      </w:r>
      <w:r w:rsidRPr="00E41121">
        <w:t>corpus. (Remember, this analysis only considers names, not individuals, within occurrences. The</w:t>
      </w:r>
      <w:r>
        <w:t xml:space="preserve"> </w:t>
      </w:r>
      <w:r w:rsidRPr="00E41121">
        <w:t>ongoing labor to disambiguate individuals from common names is described below.) Nearly half</w:t>
      </w:r>
      <w:r>
        <w:t xml:space="preserve"> </w:t>
      </w:r>
      <w:r w:rsidRPr="00E41121">
        <w:t>(287 out of 606, or 47%</w:t>
      </w:r>
      <w:r>
        <w:t>;</w:t>
      </w:r>
      <w:r w:rsidRPr="00E41121">
        <w:t xml:space="preserve"> see Figure 1) of the names found in the corpus only occur once. While</w:t>
      </w:r>
      <w:r>
        <w:t xml:space="preserve"> </w:t>
      </w:r>
      <w:r w:rsidRPr="00E41121">
        <w:t xml:space="preserve">these names represent </w:t>
      </w:r>
      <w:r>
        <w:t>‘</w:t>
      </w:r>
      <w:r w:rsidRPr="00E41121">
        <w:t>dead-end</w:t>
      </w:r>
      <w:r>
        <w:t>’</w:t>
      </w:r>
      <w:r w:rsidRPr="00E41121">
        <w:t xml:space="preserve"> nodes in the commercial network, they can reveal the</w:t>
      </w:r>
      <w:r>
        <w:t xml:space="preserve"> </w:t>
      </w:r>
      <w:r w:rsidRPr="00E41121">
        <w:t>importance of the one or more names with which they co-occur.</w:t>
      </w:r>
      <w:r>
        <w:t xml:space="preserve"> </w:t>
      </w:r>
    </w:p>
    <w:p w:rsidR="009339E0" w:rsidRDefault="009339E0" w:rsidP="00E41121"/>
    <w:p w:rsidR="009339E0" w:rsidRDefault="00C21775" w:rsidP="00E41121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629150" cy="2724150"/>
            <wp:effectExtent l="0" t="0" r="0" b="0"/>
            <wp:wrapTopAndBottom/>
            <wp:docPr id="10" name="Objec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9E0" w:rsidRDefault="00B232F8" w:rsidP="00C21775">
      <w:r>
        <w:pict>
          <v:rect id="_x0000_i1025" style="width:0;height:1.5pt" o:hralign="center" o:hrstd="t" o:hr="t" fillcolor="#a0a0a0" stroked="f"/>
        </w:pict>
      </w:r>
    </w:p>
    <w:p w:rsidR="009339E0" w:rsidRDefault="009339E0" w:rsidP="00E41121">
      <w:r w:rsidRPr="00E41121">
        <w:t>Figure 1. A histogram of name-frequency in the corpus.</w:t>
      </w:r>
      <w:r>
        <w:t xml:space="preserve"> </w:t>
      </w:r>
    </w:p>
    <w:p w:rsidR="009339E0" w:rsidRDefault="009339E0" w:rsidP="00E41121"/>
    <w:p w:rsidR="009339E0" w:rsidRDefault="009339E0" w:rsidP="00E41121">
      <w:pPr>
        <w:ind w:firstLine="720"/>
      </w:pPr>
      <w:r w:rsidRPr="00E41121">
        <w:t xml:space="preserve">Visualizing the entire network via </w:t>
      </w:r>
      <w:proofErr w:type="spellStart"/>
      <w:r w:rsidRPr="00E41121">
        <w:t>Gephi</w:t>
      </w:r>
      <w:proofErr w:type="spellEnd"/>
      <w:r w:rsidRPr="00E41121">
        <w:t xml:space="preserve"> and Elijah Meeks</w:t>
      </w:r>
      <w:r>
        <w:t>’</w:t>
      </w:r>
      <w:r w:rsidRPr="00E41121">
        <w:t xml:space="preserve"> GexfD3 library proved</w:t>
      </w:r>
      <w:r>
        <w:t xml:space="preserve"> </w:t>
      </w:r>
      <w:r w:rsidRPr="00E41121">
        <w:t xml:space="preserve">problematic because of </w:t>
      </w:r>
      <w:proofErr w:type="spellStart"/>
      <w:r w:rsidRPr="00E41121">
        <w:t>Pušu</w:t>
      </w:r>
      <w:proofErr w:type="spellEnd"/>
      <w:r w:rsidRPr="00E41121">
        <w:t>-Ken</w:t>
      </w:r>
      <w:r>
        <w:t>’</w:t>
      </w:r>
      <w:r w:rsidRPr="00E41121">
        <w:t>s and Salim-ahu</w:t>
      </w:r>
      <w:r>
        <w:t>’</w:t>
      </w:r>
      <w:r w:rsidRPr="00E41121">
        <w:t>s super-degree-centrality. Because the entire</w:t>
      </w:r>
      <w:r>
        <w:t xml:space="preserve"> </w:t>
      </w:r>
      <w:r w:rsidRPr="00E41121">
        <w:t>corpus was selected based on the documents</w:t>
      </w:r>
      <w:r>
        <w:t>’</w:t>
      </w:r>
      <w:r w:rsidRPr="00E41121">
        <w:t xml:space="preserve"> association with those individuals, they are</w:t>
      </w:r>
      <w:r>
        <w:t xml:space="preserve"> </w:t>
      </w:r>
      <w:r w:rsidRPr="00E41121">
        <w:t xml:space="preserve">connected to virtually every name in the database by one or two links. Removing </w:t>
      </w:r>
      <w:proofErr w:type="spellStart"/>
      <w:r w:rsidRPr="00E41121">
        <w:t>Pušu</w:t>
      </w:r>
      <w:proofErr w:type="spellEnd"/>
      <w:r w:rsidRPr="00E41121">
        <w:t>-Ken and</w:t>
      </w:r>
      <w:r>
        <w:t xml:space="preserve"> </w:t>
      </w:r>
      <w:r w:rsidRPr="00E41121">
        <w:t>Salim-ahu from the dataset revealed a much clearer preliminary picture of the network (see</w:t>
      </w:r>
      <w:r>
        <w:t xml:space="preserve"> </w:t>
      </w:r>
      <w:r w:rsidRPr="00E41121">
        <w:t>Figure 2). The ring of dots around the periphery represents names and occurrences who only co</w:t>
      </w:r>
      <w:r>
        <w:t>-</w:t>
      </w:r>
      <w:r w:rsidRPr="00E41121">
        <w:t>occur</w:t>
      </w:r>
      <w:r>
        <w:t xml:space="preserve"> </w:t>
      </w:r>
      <w:r w:rsidRPr="00E41121">
        <w:t xml:space="preserve">with </w:t>
      </w:r>
      <w:proofErr w:type="spellStart"/>
      <w:r w:rsidRPr="00E41121">
        <w:t>Pušu</w:t>
      </w:r>
      <w:proofErr w:type="spellEnd"/>
      <w:r w:rsidRPr="00E41121">
        <w:t>-ken and/or Salim-ahu, but the dots appearing in the intra-space may be very</w:t>
      </w:r>
      <w:r>
        <w:t xml:space="preserve"> </w:t>
      </w:r>
      <w:r w:rsidRPr="00E41121">
        <w:t>informative.</w:t>
      </w:r>
      <w:r>
        <w:t xml:space="preserve"> </w:t>
      </w:r>
    </w:p>
    <w:p w:rsidR="009339E0" w:rsidRDefault="009339E0" w:rsidP="00E41121">
      <w:pPr>
        <w:ind w:firstLine="720"/>
      </w:pPr>
      <w:r w:rsidRPr="00E41121">
        <w:lastRenderedPageBreak/>
        <w:t>This analysis may provide hints as to which names represent multiple individuals. For</w:t>
      </w:r>
      <w:r>
        <w:t xml:space="preserve"> </w:t>
      </w:r>
      <w:r w:rsidRPr="00E41121">
        <w:t xml:space="preserve">example, Figure 3 highlights the subnetwork of </w:t>
      </w:r>
      <w:proofErr w:type="spellStart"/>
      <w:r w:rsidRPr="00E41121">
        <w:t>Buzuliya</w:t>
      </w:r>
      <w:proofErr w:type="spellEnd"/>
      <w:r w:rsidRPr="00E41121">
        <w:t>, a name whose two occurrences are</w:t>
      </w:r>
      <w:r>
        <w:t xml:space="preserve"> </w:t>
      </w:r>
      <w:r w:rsidRPr="00E41121">
        <w:t xml:space="preserve">otherwise </w:t>
      </w:r>
      <w:proofErr w:type="spellStart"/>
      <w:r w:rsidRPr="00E41121">
        <w:t>geodesically</w:t>
      </w:r>
      <w:proofErr w:type="spellEnd"/>
      <w:r w:rsidRPr="00E41121">
        <w:t xml:space="preserve"> isolated. It is unlikely that one lightly connected person took part in such</w:t>
      </w:r>
      <w:r>
        <w:t xml:space="preserve"> </w:t>
      </w:r>
      <w:r w:rsidRPr="00E41121">
        <w:t xml:space="preserve">disparate events, so </w:t>
      </w:r>
      <w:proofErr w:type="spellStart"/>
      <w:r w:rsidRPr="00E41121">
        <w:t>Buzuliya</w:t>
      </w:r>
      <w:proofErr w:type="spellEnd"/>
      <w:r w:rsidRPr="00E41121">
        <w:t xml:space="preserve"> likely represent</w:t>
      </w:r>
      <w:r>
        <w:t>s</w:t>
      </w:r>
      <w:r w:rsidRPr="00E41121">
        <w:t xml:space="preserve"> two individuals.</w:t>
      </w:r>
      <w:r>
        <w:t xml:space="preserve"> </w:t>
      </w:r>
    </w:p>
    <w:p w:rsidR="009339E0" w:rsidRDefault="009339E0" w:rsidP="00E41121">
      <w:pPr>
        <w:ind w:firstLine="720"/>
      </w:pPr>
      <w:r w:rsidRPr="00E41121">
        <w:t xml:space="preserve">Figure 4 displays the constellation of occurrences in which the name </w:t>
      </w:r>
      <w:proofErr w:type="spellStart"/>
      <w:r w:rsidRPr="00E41121">
        <w:t>Lamassi</w:t>
      </w:r>
      <w:proofErr w:type="spellEnd"/>
      <w:r w:rsidRPr="00E41121">
        <w:t xml:space="preserve"> occurs. It is</w:t>
      </w:r>
      <w:r>
        <w:t xml:space="preserve"> </w:t>
      </w:r>
      <w:r w:rsidRPr="00E41121">
        <w:t>tempting to apply the above criteria here and conclude that this name cannot represent a single</w:t>
      </w:r>
      <w:r>
        <w:t xml:space="preserve"> </w:t>
      </w:r>
      <w:r w:rsidRPr="00E41121">
        <w:t xml:space="preserve">individual. However, </w:t>
      </w:r>
      <w:proofErr w:type="spellStart"/>
      <w:r w:rsidRPr="00E41121">
        <w:t>Lamassi</w:t>
      </w:r>
      <w:proofErr w:type="spellEnd"/>
      <w:r w:rsidRPr="00E41121">
        <w:t xml:space="preserve"> was the name of </w:t>
      </w:r>
      <w:proofErr w:type="spellStart"/>
      <w:r w:rsidRPr="00E41121">
        <w:t>Pušu</w:t>
      </w:r>
      <w:proofErr w:type="spellEnd"/>
      <w:r w:rsidRPr="00E41121">
        <w:t>-Ken</w:t>
      </w:r>
      <w:r>
        <w:t>’</w:t>
      </w:r>
      <w:r w:rsidRPr="00E41121">
        <w:t>s wife, who one would expect to occur</w:t>
      </w:r>
      <w:r>
        <w:t xml:space="preserve"> </w:t>
      </w:r>
      <w:r w:rsidRPr="00E41121">
        <w:t>in a diverse set of interaction</w:t>
      </w:r>
      <w:r>
        <w:t>s</w:t>
      </w:r>
      <w:r w:rsidRPr="00E41121">
        <w:t xml:space="preserve">. Despite </w:t>
      </w:r>
      <w:r>
        <w:t xml:space="preserve">the </w:t>
      </w:r>
      <w:r w:rsidRPr="00E41121">
        <w:t>variety of occurrences in which this name appears, we</w:t>
      </w:r>
      <w:r>
        <w:t xml:space="preserve"> </w:t>
      </w:r>
      <w:r w:rsidRPr="00E41121">
        <w:t>must be cautious in blindly applying such heuristics.</w:t>
      </w:r>
      <w:r>
        <w:t xml:space="preserve"> </w:t>
      </w:r>
    </w:p>
    <w:p w:rsidR="009339E0" w:rsidRDefault="009339E0" w:rsidP="00E41121">
      <w:pPr>
        <w:ind w:firstLine="720"/>
      </w:pPr>
    </w:p>
    <w:p w:rsidR="009339E0" w:rsidRDefault="009339E0" w:rsidP="00E41121">
      <w:pPr>
        <w:ind w:firstLine="720"/>
      </w:pPr>
    </w:p>
    <w:p w:rsidR="009339E0" w:rsidRDefault="00C21775" w:rsidP="00E4112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4105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9E0" w:rsidRDefault="009339E0" w:rsidP="00E41121"/>
    <w:p w:rsidR="009339E0" w:rsidRDefault="00B232F8" w:rsidP="00E41121">
      <w:r>
        <w:pict>
          <v:rect id="_x0000_i1026" style="width:0;height:1.5pt" o:hralign="center" o:hrstd="t" o:hr="t" fillcolor="#a0a0a0" stroked="f"/>
        </w:pict>
      </w:r>
    </w:p>
    <w:p w:rsidR="009339E0" w:rsidRDefault="009339E0" w:rsidP="00E41121">
      <w:r w:rsidRPr="00E41121">
        <w:t>Figure 2. The commercial</w:t>
      </w:r>
      <w:r>
        <w:t xml:space="preserve"> </w:t>
      </w:r>
      <w:r w:rsidRPr="00E41121">
        <w:t xml:space="preserve">network sans </w:t>
      </w:r>
      <w:proofErr w:type="spellStart"/>
      <w:r w:rsidRPr="00E41121">
        <w:t>Pušu</w:t>
      </w:r>
      <w:proofErr w:type="spellEnd"/>
      <w:r w:rsidRPr="00E41121">
        <w:t>-Ken.</w:t>
      </w:r>
      <w:r>
        <w:t xml:space="preserve"> </w:t>
      </w:r>
    </w:p>
    <w:p w:rsidR="009339E0" w:rsidRDefault="009339E0" w:rsidP="00E41121"/>
    <w:p w:rsidR="009339E0" w:rsidRDefault="009339E0" w:rsidP="00E41121"/>
    <w:p w:rsidR="009339E0" w:rsidRDefault="009339E0" w:rsidP="00E41121"/>
    <w:p w:rsidR="009339E0" w:rsidRDefault="009339E0" w:rsidP="00E41121"/>
    <w:p w:rsidR="009339E0" w:rsidRDefault="009339E0" w:rsidP="00E41121"/>
    <w:p w:rsidR="009339E0" w:rsidRDefault="00C21775" w:rsidP="00E4112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675" cy="40481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9E0" w:rsidRDefault="009339E0" w:rsidP="00E41121"/>
    <w:p w:rsidR="009339E0" w:rsidRDefault="00B232F8" w:rsidP="00E41121">
      <w:r>
        <w:pict>
          <v:rect id="_x0000_i1027" style="width:0;height:1.5pt" o:hralign="center" o:hrstd="t" o:hr="t" fillcolor="#a0a0a0" stroked="f"/>
        </w:pict>
      </w:r>
    </w:p>
    <w:p w:rsidR="009339E0" w:rsidRDefault="009339E0" w:rsidP="00E41121">
      <w:r w:rsidRPr="00E41121">
        <w:t>Figure 3. Indication that the</w:t>
      </w:r>
      <w:r>
        <w:t xml:space="preserve"> </w:t>
      </w:r>
      <w:r w:rsidRPr="00E41121">
        <w:t xml:space="preserve">name </w:t>
      </w:r>
      <w:proofErr w:type="spellStart"/>
      <w:r w:rsidRPr="00E41121">
        <w:rPr>
          <w:i/>
          <w:iCs/>
        </w:rPr>
        <w:t>Buzuliya</w:t>
      </w:r>
      <w:proofErr w:type="spellEnd"/>
      <w:r w:rsidRPr="00E41121">
        <w:rPr>
          <w:i/>
          <w:iCs/>
        </w:rPr>
        <w:t xml:space="preserve"> </w:t>
      </w:r>
      <w:r w:rsidRPr="00E41121">
        <w:t>refers to two</w:t>
      </w:r>
      <w:r>
        <w:t xml:space="preserve"> </w:t>
      </w:r>
      <w:r w:rsidRPr="00E41121">
        <w:t>people.</w:t>
      </w:r>
      <w:r>
        <w:t xml:space="preserve"> </w:t>
      </w:r>
    </w:p>
    <w:p w:rsidR="009339E0" w:rsidRDefault="009339E0" w:rsidP="00E41121"/>
    <w:p w:rsidR="009339E0" w:rsidRDefault="009339E0" w:rsidP="00E41121"/>
    <w:p w:rsidR="009339E0" w:rsidRPr="00E41121" w:rsidRDefault="00C21775" w:rsidP="00E4112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4114800"/>
            <wp:effectExtent l="0" t="0" r="0" b="0"/>
            <wp:wrapTopAndBottom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9E0" w:rsidRDefault="009339E0" w:rsidP="00E41121"/>
    <w:p w:rsidR="009339E0" w:rsidRDefault="00B232F8" w:rsidP="00E41121">
      <w:r>
        <w:pict>
          <v:rect id="_x0000_i1028" style="width:0;height:1.5pt" o:hralign="center" o:hrstd="t" o:hr="t" fillcolor="#a0a0a0" stroked="f"/>
        </w:pict>
      </w:r>
    </w:p>
    <w:p w:rsidR="009339E0" w:rsidRDefault="009339E0" w:rsidP="00E41121">
      <w:r w:rsidRPr="00E41121">
        <w:t xml:space="preserve">Figure 4. </w:t>
      </w:r>
      <w:proofErr w:type="spellStart"/>
      <w:r w:rsidRPr="00E41121">
        <w:t>Lamassi</w:t>
      </w:r>
      <w:r>
        <w:t>’</w:t>
      </w:r>
      <w:r w:rsidRPr="00E41121">
        <w:t>s</w:t>
      </w:r>
      <w:proofErr w:type="spellEnd"/>
      <w:r>
        <w:t xml:space="preserve"> </w:t>
      </w:r>
      <w:r w:rsidRPr="00E41121">
        <w:t>subnetwork.</w:t>
      </w:r>
      <w:r>
        <w:t xml:space="preserve"> </w:t>
      </w:r>
    </w:p>
    <w:p w:rsidR="009339E0" w:rsidRDefault="009339E0" w:rsidP="00E41121"/>
    <w:p w:rsidR="009339E0" w:rsidRDefault="009339E0" w:rsidP="00E41121">
      <w:pPr>
        <w:rPr>
          <w:b/>
          <w:bCs/>
        </w:rPr>
      </w:pPr>
      <w:r w:rsidRPr="00E41121">
        <w:rPr>
          <w:b/>
          <w:bCs/>
        </w:rPr>
        <w:t>Name Disambiguation Interface</w:t>
      </w:r>
      <w:r>
        <w:rPr>
          <w:b/>
          <w:bCs/>
        </w:rPr>
        <w:t xml:space="preserve"> </w:t>
      </w:r>
    </w:p>
    <w:p w:rsidR="009339E0" w:rsidRDefault="009339E0" w:rsidP="00E41121">
      <w:r w:rsidRPr="00E41121">
        <w:t xml:space="preserve">The database was expanded with the addition of a </w:t>
      </w:r>
      <w:proofErr w:type="spellStart"/>
      <w:r w:rsidRPr="00E41121">
        <w:t>persons</w:t>
      </w:r>
      <w:proofErr w:type="spellEnd"/>
      <w:r w:rsidRPr="00E41121">
        <w:t xml:space="preserve"> table that contained</w:t>
      </w:r>
      <w:r>
        <w:t xml:space="preserve"> </w:t>
      </w:r>
      <w:r w:rsidRPr="00E41121">
        <w:t>patronymic designations compiled by Stratford. Browne wrote routines that attempted to</w:t>
      </w:r>
      <w:r>
        <w:t xml:space="preserve"> </w:t>
      </w:r>
      <w:r w:rsidRPr="00E41121">
        <w:t>match these patronymics to names extracted from the corpus. If a given name in a patronymic</w:t>
      </w:r>
      <w:r>
        <w:t xml:space="preserve"> </w:t>
      </w:r>
      <w:r w:rsidRPr="00E41121">
        <w:t>was not found in any other patronymic, the system would link that name and all of its associated</w:t>
      </w:r>
      <w:r>
        <w:t xml:space="preserve"> </w:t>
      </w:r>
      <w:r w:rsidRPr="00E41121">
        <w:t>occurrences with that patronymic. Also, if a name only occurred once in the corpus, and no</w:t>
      </w:r>
      <w:r>
        <w:t xml:space="preserve"> </w:t>
      </w:r>
      <w:r w:rsidRPr="00E41121">
        <w:t>patronymic contained that name, then the name was added as its own patronymic, and its</w:t>
      </w:r>
      <w:r>
        <w:t xml:space="preserve"> </w:t>
      </w:r>
      <w:r w:rsidRPr="00E41121">
        <w:t>occurrence was linked to that new patronymic.</w:t>
      </w:r>
      <w:r>
        <w:t xml:space="preserve"> </w:t>
      </w:r>
    </w:p>
    <w:p w:rsidR="009339E0" w:rsidRDefault="009339E0" w:rsidP="00E41121">
      <w:pPr>
        <w:ind w:firstLine="720"/>
      </w:pPr>
      <w:r w:rsidRPr="00E41121">
        <w:t>These procedures accounted for almost 300 of the 606 names found in the corpus. As the</w:t>
      </w:r>
      <w:r>
        <w:t xml:space="preserve"> </w:t>
      </w:r>
      <w:r w:rsidRPr="00E41121">
        <w:t>Old Assyrian expert, Stratford must comb through the remaining names. To assist Stratford, Browne created an AJAX-based web form. The interface presents two select</w:t>
      </w:r>
      <w:r>
        <w:t xml:space="preserve"> </w:t>
      </w:r>
      <w:r w:rsidRPr="00E41121">
        <w:t>boxes: a box above displaying the names in the corpus, and a box below displaying the known</w:t>
      </w:r>
      <w:r>
        <w:t xml:space="preserve"> </w:t>
      </w:r>
      <w:r w:rsidRPr="00E41121">
        <w:t>patronymics. There is also a small form at the bottom to add new patronymics to the data table</w:t>
      </w:r>
      <w:r>
        <w:t xml:space="preserve"> </w:t>
      </w:r>
      <w:r w:rsidRPr="00E41121">
        <w:t>(see Figure 5).</w:t>
      </w:r>
      <w:r>
        <w:t xml:space="preserve"> </w:t>
      </w:r>
    </w:p>
    <w:p w:rsidR="009339E0" w:rsidRDefault="009339E0" w:rsidP="00E41121">
      <w:pPr>
        <w:ind w:firstLine="720"/>
      </w:pPr>
      <w:r w:rsidRPr="00E41121">
        <w:t>When the user clicks on either a name or a patronymic, the text from its associated</w:t>
      </w:r>
      <w:r>
        <w:t xml:space="preserve"> </w:t>
      </w:r>
      <w:r w:rsidRPr="00E41121">
        <w:t>occurrences appears on the right. For names, the occurrences appear with the name highlighted</w:t>
      </w:r>
      <w:r>
        <w:t xml:space="preserve"> </w:t>
      </w:r>
      <w:r w:rsidRPr="00E41121">
        <w:t>in blue. The user may click on any of the occurrences displayed for the selected name, and link</w:t>
      </w:r>
      <w:r>
        <w:t xml:space="preserve"> </w:t>
      </w:r>
      <w:r w:rsidRPr="00E41121">
        <w:t>them to the selected patronymic.</w:t>
      </w:r>
      <w:r>
        <w:t xml:space="preserve"> </w:t>
      </w:r>
    </w:p>
    <w:p w:rsidR="009339E0" w:rsidRDefault="009339E0" w:rsidP="00E41121">
      <w:pPr>
        <w:ind w:firstLine="720"/>
      </w:pPr>
    </w:p>
    <w:p w:rsidR="009339E0" w:rsidRPr="00E41121" w:rsidRDefault="00C21775" w:rsidP="00E41121">
      <w:r>
        <w:rPr>
          <w:noProof/>
        </w:rPr>
        <w:drawing>
          <wp:inline distT="0" distB="0" distL="0" distR="0">
            <wp:extent cx="5419725" cy="401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E0" w:rsidRDefault="00B232F8" w:rsidP="00E41121">
      <w:r>
        <w:pict>
          <v:rect id="_x0000_i1029" style="width:0;height:1.5pt" o:hralign="center" o:hrstd="t" o:hr="t" fillcolor="#a0a0a0" stroked="f"/>
        </w:pict>
      </w:r>
    </w:p>
    <w:p w:rsidR="009339E0" w:rsidRDefault="009339E0" w:rsidP="00E41121">
      <w:r w:rsidRPr="00E41121">
        <w:t>Figure 5. The name disambiguation interface.</w:t>
      </w:r>
      <w:r>
        <w:t xml:space="preserve"> </w:t>
      </w:r>
    </w:p>
    <w:p w:rsidR="009339E0" w:rsidRDefault="009339E0" w:rsidP="00E41121"/>
    <w:p w:rsidR="009339E0" w:rsidRDefault="009339E0" w:rsidP="00E41121">
      <w:pPr>
        <w:ind w:firstLine="720"/>
      </w:pPr>
      <w:r w:rsidRPr="00E41121">
        <w:t>Stratford will disambiguate homonymous individuals, and, by the end of 2014, he and</w:t>
      </w:r>
      <w:r>
        <w:t xml:space="preserve"> </w:t>
      </w:r>
      <w:r w:rsidRPr="00E41121">
        <w:t>Browne should have more detailed and accurate analyses of this 4</w:t>
      </w:r>
      <w:r>
        <w:t>,</w:t>
      </w:r>
      <w:r w:rsidRPr="00E41121">
        <w:t>000-year-old commercial</w:t>
      </w:r>
      <w:r>
        <w:t xml:space="preserve"> </w:t>
      </w:r>
      <w:r w:rsidRPr="00E41121">
        <w:t>network to share. It is possible that, as happened with Jackson</w:t>
      </w:r>
      <w:r>
        <w:t>’</w:t>
      </w:r>
      <w:r w:rsidRPr="00E41121">
        <w:t>s (2014) analysis of medieval</w:t>
      </w:r>
      <w:r>
        <w:t xml:space="preserve"> </w:t>
      </w:r>
      <w:r w:rsidRPr="00E41121">
        <w:t>Scottish charters, previously unknown connections and communities will be revealed.</w:t>
      </w:r>
      <w:r>
        <w:t xml:space="preserve"> </w:t>
      </w:r>
    </w:p>
    <w:p w:rsidR="009339E0" w:rsidRDefault="009339E0" w:rsidP="00E41121">
      <w:pPr>
        <w:ind w:firstLine="720"/>
      </w:pPr>
    </w:p>
    <w:p w:rsidR="009339E0" w:rsidRDefault="009339E0" w:rsidP="00E41121">
      <w:pPr>
        <w:rPr>
          <w:b/>
          <w:bCs/>
        </w:rPr>
      </w:pPr>
      <w:r w:rsidRPr="00E41121">
        <w:rPr>
          <w:b/>
          <w:bCs/>
        </w:rPr>
        <w:t>Moving On</w:t>
      </w:r>
      <w:r>
        <w:rPr>
          <w:b/>
          <w:bCs/>
        </w:rPr>
        <w:t xml:space="preserve"> </w:t>
      </w:r>
    </w:p>
    <w:p w:rsidR="009339E0" w:rsidRDefault="009339E0" w:rsidP="00E41121">
      <w:r w:rsidRPr="00E41121">
        <w:t>Besides the individual-disambiguated network analysis, Browne and Stratford</w:t>
      </w:r>
      <w:r>
        <w:t xml:space="preserve"> </w:t>
      </w:r>
      <w:r w:rsidRPr="00E41121">
        <w:t>plan to map specific business transactions and assets to further characterize Old Assyrian</w:t>
      </w:r>
      <w:r>
        <w:t xml:space="preserve"> </w:t>
      </w:r>
      <w:r w:rsidRPr="00E41121">
        <w:t xml:space="preserve">commerce and society. Methods that </w:t>
      </w:r>
      <w:proofErr w:type="spellStart"/>
      <w:r w:rsidRPr="00E41121">
        <w:t>Suen</w:t>
      </w:r>
      <w:proofErr w:type="spellEnd"/>
      <w:r w:rsidRPr="00E41121">
        <w:t xml:space="preserve">, </w:t>
      </w:r>
      <w:proofErr w:type="spellStart"/>
      <w:r w:rsidRPr="00E41121">
        <w:t>Luenzel</w:t>
      </w:r>
      <w:proofErr w:type="spellEnd"/>
      <w:r w:rsidRPr="00E41121">
        <w:t>, and Gil (201</w:t>
      </w:r>
      <w:r>
        <w:t>3</w:t>
      </w:r>
      <w:r w:rsidRPr="00E41121">
        <w:t>) used to analyze an array of</w:t>
      </w:r>
      <w:r>
        <w:t xml:space="preserve"> </w:t>
      </w:r>
      <w:r w:rsidRPr="00E41121">
        <w:t>media may be adapted to uncover nuances between various types of transactions. The OCHRE</w:t>
      </w:r>
      <w:r>
        <w:t xml:space="preserve"> </w:t>
      </w:r>
      <w:r w:rsidRPr="00E41121">
        <w:t>metadata for the original clay tablets describe features of handwriting style, so there is an</w:t>
      </w:r>
      <w:r>
        <w:t xml:space="preserve"> </w:t>
      </w:r>
      <w:r w:rsidRPr="00E41121">
        <w:t xml:space="preserve">opportunity for </w:t>
      </w:r>
      <w:r>
        <w:t>‘</w:t>
      </w:r>
      <w:proofErr w:type="spellStart"/>
      <w:r w:rsidRPr="00E41121">
        <w:t>transcriptionship</w:t>
      </w:r>
      <w:proofErr w:type="spellEnd"/>
      <w:r>
        <w:t>’</w:t>
      </w:r>
      <w:r w:rsidRPr="00E41121">
        <w:t xml:space="preserve"> attribution. Ongoing spectral analyses of the clay tablets may</w:t>
      </w:r>
      <w:r>
        <w:t xml:space="preserve"> </w:t>
      </w:r>
      <w:r w:rsidRPr="00E41121">
        <w:t>reveal the place of transcription as well. Finally, Stratford and Browne are investigating</w:t>
      </w:r>
      <w:r>
        <w:t xml:space="preserve"> </w:t>
      </w:r>
      <w:r w:rsidRPr="00E41121">
        <w:t>various metadata standards such as SNAP:DRGN (</w:t>
      </w:r>
      <w:proofErr w:type="spellStart"/>
      <w:r w:rsidRPr="00E41121">
        <w:t>Bodard</w:t>
      </w:r>
      <w:proofErr w:type="spellEnd"/>
      <w:r>
        <w:t xml:space="preserve"> et al.,</w:t>
      </w:r>
      <w:r w:rsidRPr="00E41121">
        <w:t xml:space="preserve"> 2014) to allow</w:t>
      </w:r>
      <w:r>
        <w:t xml:space="preserve"> </w:t>
      </w:r>
      <w:r w:rsidRPr="00E41121">
        <w:t>OCHRE and the prototype database to interoperate with other such corpus systems.</w:t>
      </w:r>
      <w:r>
        <w:t xml:space="preserve"> </w:t>
      </w:r>
    </w:p>
    <w:p w:rsidR="009339E0" w:rsidRDefault="009339E0" w:rsidP="00E41121"/>
    <w:p w:rsidR="009339E0" w:rsidRDefault="009339E0" w:rsidP="00E41121">
      <w:pPr>
        <w:rPr>
          <w:b/>
          <w:bCs/>
        </w:rPr>
      </w:pPr>
      <w:r>
        <w:rPr>
          <w:b/>
          <w:bCs/>
        </w:rPr>
        <w:t xml:space="preserve">References </w:t>
      </w:r>
    </w:p>
    <w:p w:rsidR="009339E0" w:rsidRDefault="009339E0" w:rsidP="008416F9">
      <w:proofErr w:type="spellStart"/>
      <w:r>
        <w:rPr>
          <w:b/>
        </w:rPr>
        <w:lastRenderedPageBreak/>
        <w:t>Bamman</w:t>
      </w:r>
      <w:proofErr w:type="spellEnd"/>
      <w:r>
        <w:rPr>
          <w:b/>
        </w:rPr>
        <w:t>, D., Anderson, A. and</w:t>
      </w:r>
      <w:r w:rsidRPr="00E41121">
        <w:rPr>
          <w:b/>
        </w:rPr>
        <w:t xml:space="preserve"> Smith, N.</w:t>
      </w:r>
      <w:r w:rsidRPr="00E41121">
        <w:t xml:space="preserve"> (2013). </w:t>
      </w:r>
      <w:r w:rsidRPr="00C21775">
        <w:rPr>
          <w:iCs/>
        </w:rPr>
        <w:t>Inferring Social Rank in an Old Assyrian Trade Network</w:t>
      </w:r>
      <w:r w:rsidRPr="008416F9">
        <w:t xml:space="preserve">. </w:t>
      </w:r>
      <w:r w:rsidRPr="00E41121">
        <w:t xml:space="preserve">Paper presented at </w:t>
      </w:r>
      <w:r w:rsidRPr="00C21775">
        <w:rPr>
          <w:i/>
        </w:rPr>
        <w:t>DH 2013</w:t>
      </w:r>
      <w:r w:rsidRPr="00E41121">
        <w:t>, Lincoln,</w:t>
      </w:r>
      <w:r>
        <w:t xml:space="preserve"> NE.</w:t>
      </w:r>
    </w:p>
    <w:p w:rsidR="009339E0" w:rsidRDefault="009339E0" w:rsidP="00E41121">
      <w:proofErr w:type="spellStart"/>
      <w:r w:rsidRPr="00C21775">
        <w:rPr>
          <w:b/>
        </w:rPr>
        <w:t>Bodard</w:t>
      </w:r>
      <w:proofErr w:type="spellEnd"/>
      <w:r w:rsidRPr="00C21775">
        <w:rPr>
          <w:b/>
        </w:rPr>
        <w:t xml:space="preserve">, G., </w:t>
      </w:r>
      <w:proofErr w:type="spellStart"/>
      <w:r w:rsidRPr="00C21775">
        <w:rPr>
          <w:b/>
        </w:rPr>
        <w:t>Depauw</w:t>
      </w:r>
      <w:proofErr w:type="spellEnd"/>
      <w:r w:rsidRPr="00C21775">
        <w:rPr>
          <w:b/>
        </w:rPr>
        <w:t>, M.</w:t>
      </w:r>
      <w:r>
        <w:rPr>
          <w:b/>
        </w:rPr>
        <w:t xml:space="preserve"> and </w:t>
      </w:r>
      <w:proofErr w:type="spellStart"/>
      <w:r w:rsidRPr="00C21775">
        <w:rPr>
          <w:b/>
        </w:rPr>
        <w:t>Rahtz</w:t>
      </w:r>
      <w:proofErr w:type="spellEnd"/>
      <w:r w:rsidRPr="00C21775">
        <w:rPr>
          <w:b/>
        </w:rPr>
        <w:t>, S.</w:t>
      </w:r>
      <w:r w:rsidRPr="00E41121">
        <w:t xml:space="preserve"> (2014)</w:t>
      </w:r>
      <w:r>
        <w:t>.</w:t>
      </w:r>
      <w:r w:rsidRPr="00E41121">
        <w:t xml:space="preserve"> </w:t>
      </w:r>
      <w:r w:rsidRPr="00C21775">
        <w:rPr>
          <w:iCs/>
        </w:rPr>
        <w:t>SNAP:DRGN</w:t>
      </w:r>
      <w:r w:rsidRPr="008416F9">
        <w:rPr>
          <w:iCs/>
        </w:rPr>
        <w:t>—</w:t>
      </w:r>
      <w:r w:rsidRPr="00C21775">
        <w:rPr>
          <w:iCs/>
        </w:rPr>
        <w:t xml:space="preserve">Standard for Networking </w:t>
      </w:r>
      <w:r>
        <w:rPr>
          <w:iCs/>
        </w:rPr>
        <w:t>A</w:t>
      </w:r>
      <w:r w:rsidRPr="00C21775">
        <w:rPr>
          <w:iCs/>
        </w:rPr>
        <w:t xml:space="preserve">ncient </w:t>
      </w:r>
      <w:proofErr w:type="spellStart"/>
      <w:r>
        <w:rPr>
          <w:iCs/>
        </w:rPr>
        <w:t>P</w:t>
      </w:r>
      <w:r w:rsidRPr="00C21775">
        <w:rPr>
          <w:iCs/>
        </w:rPr>
        <w:t>rosopographies</w:t>
      </w:r>
      <w:proofErr w:type="spellEnd"/>
      <w:r w:rsidRPr="00C21775">
        <w:rPr>
          <w:iCs/>
        </w:rPr>
        <w:t xml:space="preserve">: Data and </w:t>
      </w:r>
      <w:r>
        <w:rPr>
          <w:iCs/>
        </w:rPr>
        <w:t>R</w:t>
      </w:r>
      <w:r w:rsidRPr="00C21775">
        <w:rPr>
          <w:iCs/>
        </w:rPr>
        <w:t xml:space="preserve">elations in Greco-Roman </w:t>
      </w:r>
      <w:r>
        <w:rPr>
          <w:iCs/>
        </w:rPr>
        <w:t>N</w:t>
      </w:r>
      <w:r w:rsidRPr="00C21775">
        <w:rPr>
          <w:iCs/>
        </w:rPr>
        <w:t>ames</w:t>
      </w:r>
      <w:r w:rsidRPr="008416F9">
        <w:t>.</w:t>
      </w:r>
      <w:r w:rsidRPr="00E41121">
        <w:t xml:space="preserve"> Poster presented at</w:t>
      </w:r>
      <w:r>
        <w:t xml:space="preserve"> </w:t>
      </w:r>
      <w:r w:rsidRPr="00C21775">
        <w:rPr>
          <w:i/>
        </w:rPr>
        <w:t>DH 2014</w:t>
      </w:r>
      <w:r>
        <w:t>, Lausanne.</w:t>
      </w:r>
    </w:p>
    <w:p w:rsidR="009339E0" w:rsidRDefault="009339E0" w:rsidP="00E41121">
      <w:r w:rsidRPr="00C21775">
        <w:rPr>
          <w:b/>
        </w:rPr>
        <w:t>Jackson, C.</w:t>
      </w:r>
      <w:r w:rsidRPr="00E41121">
        <w:t xml:space="preserve"> (2014). </w:t>
      </w:r>
      <w:r w:rsidRPr="00C21775">
        <w:rPr>
          <w:iCs/>
        </w:rPr>
        <w:t xml:space="preserve">Using </w:t>
      </w:r>
      <w:r>
        <w:rPr>
          <w:iCs/>
        </w:rPr>
        <w:t>S</w:t>
      </w:r>
      <w:r w:rsidRPr="00C21775">
        <w:rPr>
          <w:iCs/>
        </w:rPr>
        <w:t xml:space="preserve">ocial </w:t>
      </w:r>
      <w:r>
        <w:rPr>
          <w:iCs/>
        </w:rPr>
        <w:t>N</w:t>
      </w:r>
      <w:r w:rsidRPr="00C21775">
        <w:rPr>
          <w:iCs/>
        </w:rPr>
        <w:t xml:space="preserve">etwork </w:t>
      </w:r>
      <w:r>
        <w:rPr>
          <w:iCs/>
        </w:rPr>
        <w:t>A</w:t>
      </w:r>
      <w:r w:rsidRPr="00C21775">
        <w:rPr>
          <w:iCs/>
        </w:rPr>
        <w:t xml:space="preserve">nalysis to </w:t>
      </w:r>
      <w:r>
        <w:rPr>
          <w:iCs/>
        </w:rPr>
        <w:t>R</w:t>
      </w:r>
      <w:r w:rsidRPr="00C21775">
        <w:rPr>
          <w:iCs/>
        </w:rPr>
        <w:t xml:space="preserve">eveal </w:t>
      </w:r>
      <w:r>
        <w:rPr>
          <w:iCs/>
        </w:rPr>
        <w:t>U</w:t>
      </w:r>
      <w:r w:rsidRPr="00C21775">
        <w:rPr>
          <w:iCs/>
        </w:rPr>
        <w:t xml:space="preserve">nseen </w:t>
      </w:r>
      <w:r>
        <w:rPr>
          <w:iCs/>
        </w:rPr>
        <w:t>R</w:t>
      </w:r>
      <w:r w:rsidRPr="00C21775">
        <w:rPr>
          <w:iCs/>
        </w:rPr>
        <w:t xml:space="preserve">elationships in </w:t>
      </w:r>
      <w:r>
        <w:rPr>
          <w:iCs/>
        </w:rPr>
        <w:t>M</w:t>
      </w:r>
      <w:r w:rsidRPr="00C21775">
        <w:rPr>
          <w:iCs/>
        </w:rPr>
        <w:t>edieval Scotland.</w:t>
      </w:r>
      <w:r w:rsidRPr="00E41121">
        <w:rPr>
          <w:i/>
          <w:iCs/>
        </w:rPr>
        <w:t xml:space="preserve"> </w:t>
      </w:r>
      <w:r w:rsidRPr="00E41121">
        <w:t>Paper presented at</w:t>
      </w:r>
      <w:r>
        <w:t xml:space="preserve"> </w:t>
      </w:r>
      <w:r w:rsidRPr="008416F9">
        <w:rPr>
          <w:i/>
        </w:rPr>
        <w:t>DH 2014</w:t>
      </w:r>
      <w:r>
        <w:t>, Lausanne.</w:t>
      </w:r>
    </w:p>
    <w:p w:rsidR="009339E0" w:rsidRDefault="009339E0" w:rsidP="00E41121">
      <w:r w:rsidRPr="00C21775">
        <w:rPr>
          <w:b/>
        </w:rPr>
        <w:t>Larsen, M</w:t>
      </w:r>
      <w:r>
        <w:rPr>
          <w:b/>
        </w:rPr>
        <w:t xml:space="preserve">. T. </w:t>
      </w:r>
      <w:r w:rsidRPr="00E41121">
        <w:t xml:space="preserve">(2007). Individual and Family in Old Assyrian Society. </w:t>
      </w:r>
      <w:r w:rsidRPr="00E41121">
        <w:rPr>
          <w:i/>
          <w:iCs/>
        </w:rPr>
        <w:t>Journal of</w:t>
      </w:r>
      <w:r>
        <w:rPr>
          <w:i/>
          <w:iCs/>
        </w:rPr>
        <w:t xml:space="preserve"> </w:t>
      </w:r>
      <w:r w:rsidRPr="00E41121">
        <w:rPr>
          <w:i/>
          <w:iCs/>
        </w:rPr>
        <w:t>Cuneiform Studies</w:t>
      </w:r>
      <w:r>
        <w:rPr>
          <w:i/>
          <w:iCs/>
        </w:rPr>
        <w:t>,</w:t>
      </w:r>
      <w:r w:rsidRPr="00E41121">
        <w:rPr>
          <w:i/>
          <w:iCs/>
        </w:rPr>
        <w:t xml:space="preserve"> </w:t>
      </w:r>
      <w:r w:rsidRPr="00C21775">
        <w:rPr>
          <w:b/>
        </w:rPr>
        <w:t>59</w:t>
      </w:r>
      <w:r w:rsidRPr="00E41121">
        <w:t xml:space="preserve"> (January): 93–106.</w:t>
      </w:r>
      <w:r>
        <w:t xml:space="preserve"> </w:t>
      </w:r>
    </w:p>
    <w:p w:rsidR="009339E0" w:rsidRDefault="009339E0" w:rsidP="00E41121">
      <w:r w:rsidRPr="00C21775">
        <w:rPr>
          <w:b/>
        </w:rPr>
        <w:t>Stratford, E</w:t>
      </w:r>
      <w:r>
        <w:rPr>
          <w:b/>
        </w:rPr>
        <w:t xml:space="preserve">. </w:t>
      </w:r>
      <w:r w:rsidRPr="00E41121">
        <w:t>(2014).</w:t>
      </w:r>
      <w:r>
        <w:t xml:space="preserve"> ‘</w:t>
      </w:r>
      <w:r w:rsidRPr="00E41121">
        <w:t>Make Them Pay</w:t>
      </w:r>
      <w:r>
        <w:t>’</w:t>
      </w:r>
      <w:r w:rsidRPr="00E41121">
        <w:t>: Charting the Social Topography of an Old</w:t>
      </w:r>
      <w:r>
        <w:t xml:space="preserve"> </w:t>
      </w:r>
      <w:r w:rsidRPr="00E41121">
        <w:t xml:space="preserve">Assyrian Caravan Cycle. </w:t>
      </w:r>
      <w:r w:rsidRPr="00E41121">
        <w:rPr>
          <w:i/>
          <w:iCs/>
        </w:rPr>
        <w:t>Journal of Cuneiform Studies</w:t>
      </w:r>
      <w:r>
        <w:rPr>
          <w:i/>
          <w:iCs/>
        </w:rPr>
        <w:t>,</w:t>
      </w:r>
      <w:r w:rsidRPr="00E41121">
        <w:rPr>
          <w:i/>
          <w:iCs/>
        </w:rPr>
        <w:t xml:space="preserve"> </w:t>
      </w:r>
      <w:r w:rsidRPr="00C21775">
        <w:rPr>
          <w:b/>
        </w:rPr>
        <w:t>66</w:t>
      </w:r>
      <w:r w:rsidRPr="00E41121">
        <w:t xml:space="preserve"> (January): 11–38.</w:t>
      </w:r>
      <w:r>
        <w:t xml:space="preserve"> </w:t>
      </w:r>
    </w:p>
    <w:p w:rsidR="009339E0" w:rsidRDefault="009339E0" w:rsidP="00E41121">
      <w:proofErr w:type="spellStart"/>
      <w:r w:rsidRPr="00C21775">
        <w:rPr>
          <w:b/>
        </w:rPr>
        <w:t>Suen</w:t>
      </w:r>
      <w:proofErr w:type="spellEnd"/>
      <w:r w:rsidRPr="00C21775">
        <w:rPr>
          <w:b/>
        </w:rPr>
        <w:t xml:space="preserve">, C., </w:t>
      </w:r>
      <w:proofErr w:type="spellStart"/>
      <w:r w:rsidRPr="00C21775">
        <w:rPr>
          <w:b/>
        </w:rPr>
        <w:t>Luenzel</w:t>
      </w:r>
      <w:proofErr w:type="spellEnd"/>
      <w:r w:rsidRPr="00C21775">
        <w:rPr>
          <w:b/>
        </w:rPr>
        <w:t>, L.</w:t>
      </w:r>
      <w:r>
        <w:rPr>
          <w:b/>
        </w:rPr>
        <w:t xml:space="preserve"> and</w:t>
      </w:r>
      <w:r w:rsidRPr="00C21775">
        <w:rPr>
          <w:b/>
        </w:rPr>
        <w:t xml:space="preserve"> Gil, S.</w:t>
      </w:r>
      <w:r w:rsidRPr="00E41121">
        <w:t xml:space="preserve"> (2013). </w:t>
      </w:r>
      <w:r w:rsidRPr="00C21775">
        <w:rPr>
          <w:iCs/>
        </w:rPr>
        <w:t>Extraction and Analysis of Character Interaction Networks From Plays and Movies</w:t>
      </w:r>
      <w:r w:rsidRPr="008416F9">
        <w:t>.</w:t>
      </w:r>
      <w:r w:rsidRPr="00E41121">
        <w:t xml:space="preserve"> Paper presented at </w:t>
      </w:r>
      <w:r w:rsidRPr="008416F9">
        <w:rPr>
          <w:i/>
        </w:rPr>
        <w:t>DH 2013</w:t>
      </w:r>
      <w:r w:rsidRPr="00E41121">
        <w:t>, Lincoln,</w:t>
      </w:r>
      <w:r>
        <w:t xml:space="preserve"> NE.</w:t>
      </w:r>
    </w:p>
    <w:p w:rsidR="009339E0" w:rsidRPr="00E41121" w:rsidRDefault="009339E0" w:rsidP="00E41121">
      <w:proofErr w:type="spellStart"/>
      <w:r w:rsidRPr="00C21775">
        <w:rPr>
          <w:b/>
        </w:rPr>
        <w:t>Veenhof</w:t>
      </w:r>
      <w:proofErr w:type="spellEnd"/>
      <w:r w:rsidRPr="00C21775">
        <w:rPr>
          <w:b/>
        </w:rPr>
        <w:t>, K. R.</w:t>
      </w:r>
      <w:r>
        <w:rPr>
          <w:b/>
        </w:rPr>
        <w:t xml:space="preserve"> </w:t>
      </w:r>
      <w:r w:rsidRPr="00C21775">
        <w:rPr>
          <w:b/>
        </w:rPr>
        <w:t xml:space="preserve">and </w:t>
      </w:r>
      <w:proofErr w:type="spellStart"/>
      <w:r w:rsidRPr="00C21775">
        <w:rPr>
          <w:b/>
        </w:rPr>
        <w:t>Eidem</w:t>
      </w:r>
      <w:proofErr w:type="spellEnd"/>
      <w:r>
        <w:rPr>
          <w:b/>
        </w:rPr>
        <w:t>, J.</w:t>
      </w:r>
      <w:r w:rsidRPr="00E41121">
        <w:t xml:space="preserve"> (2008). </w:t>
      </w:r>
      <w:r w:rsidRPr="00E41121">
        <w:rPr>
          <w:i/>
          <w:iCs/>
        </w:rPr>
        <w:t>Mesopotamia: The Old Assyrian Period</w:t>
      </w:r>
      <w:r w:rsidRPr="00E41121">
        <w:t>. Academic Press</w:t>
      </w:r>
      <w:r>
        <w:t xml:space="preserve">, </w:t>
      </w:r>
      <w:r w:rsidRPr="00E41121">
        <w:t>Fribourg.</w:t>
      </w:r>
      <w:r>
        <w:t xml:space="preserve"> </w:t>
      </w:r>
      <w:r w:rsidR="00B232F8">
        <w:t xml:space="preserve"> </w:t>
      </w:r>
      <w:bookmarkStart w:id="0" w:name="_GoBack"/>
      <w:bookmarkEnd w:id="0"/>
    </w:p>
    <w:sectPr w:rsidR="009339E0" w:rsidRPr="00E41121" w:rsidSect="00E41121">
      <w:pgSz w:w="12240" w:h="15840" w:code="1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XXDAX+TimesNewRomanPS-Bold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04"/>
    <w:rsid w:val="002905BF"/>
    <w:rsid w:val="00731EA7"/>
    <w:rsid w:val="00742C04"/>
    <w:rsid w:val="008416F9"/>
    <w:rsid w:val="009339E0"/>
    <w:rsid w:val="00B232F8"/>
    <w:rsid w:val="00C21775"/>
    <w:rsid w:val="00D131EC"/>
    <w:rsid w:val="00E4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5916ED6D-F439-47B8-BBCF-0BCD6EB9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XXDAX+TimesNewRomanPS-BoldMT" w:hAnsi="TXXDAX+TimesNewRomanPS-BoldMT" w:cs="TXXDAX+TimesNewRomanPS-BoldMT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55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553" w:lineRule="atLeast"/>
    </w:pPr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5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5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533622559652928"/>
          <c:y val="3.6231884057971016E-2"/>
          <c:w val="0.83080260303687636"/>
          <c:h val="0.7355072463768116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effectLst/>
          </c:spPr>
          <c:invertIfNegative val="0"/>
          <c:cat>
            <c:strRef>
              <c:f>Sheet1!$F$11:$J$11</c:f>
              <c:strCache>
                <c:ptCount val="5"/>
                <c:pt idx="0">
                  <c:v>1</c:v>
                </c:pt>
                <c:pt idx="1">
                  <c:v>2-5</c:v>
                </c:pt>
                <c:pt idx="2">
                  <c:v>6-25</c:v>
                </c:pt>
                <c:pt idx="3">
                  <c:v>26-100</c:v>
                </c:pt>
                <c:pt idx="4">
                  <c:v>&gt;100</c:v>
                </c:pt>
              </c:strCache>
            </c:strRef>
          </c:cat>
          <c:val>
            <c:numRef>
              <c:f>Sheet1!$F$12:$J$12</c:f>
              <c:numCache>
                <c:formatCode>General</c:formatCode>
                <c:ptCount val="5"/>
                <c:pt idx="0">
                  <c:v>287</c:v>
                </c:pt>
                <c:pt idx="1">
                  <c:v>166</c:v>
                </c:pt>
                <c:pt idx="2">
                  <c:v>105</c:v>
                </c:pt>
                <c:pt idx="3">
                  <c:v>37</c:v>
                </c:pt>
                <c:pt idx="4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35178776"/>
        <c:axId val="235182304"/>
      </c:barChart>
      <c:catAx>
        <c:axId val="235178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times</a:t>
                </a:r>
                <a:r>
                  <a:rPr lang="en-US" baseline="0"/>
                  <a:t> the names appear in the corpus</a:t>
                </a:r>
                <a:endParaRPr lang="en-US"/>
              </a:p>
            </c:rich>
          </c:tx>
          <c:overlay val="0"/>
          <c:spPr>
            <a:noFill/>
            <a:ln w="25348">
              <a:noFill/>
            </a:ln>
          </c:spPr>
        </c:title>
        <c:numFmt formatCode="General" sourceLinked="0"/>
        <c:majorTickMark val="out"/>
        <c:minorTickMark val="none"/>
        <c:tickLblPos val="nextTo"/>
        <c:crossAx val="235182304"/>
        <c:crosses val="autoZero"/>
        <c:auto val="1"/>
        <c:lblAlgn val="ctr"/>
        <c:lblOffset val="100"/>
        <c:noMultiLvlLbl val="0"/>
      </c:catAx>
      <c:valAx>
        <c:axId val="235182304"/>
        <c:scaling>
          <c:orientation val="minMax"/>
          <c:max val="3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names</a:t>
                </a:r>
              </a:p>
            </c:rich>
          </c:tx>
          <c:overlay val="0"/>
          <c:spPr>
            <a:noFill/>
            <a:ln w="25348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351787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cp:lastPrinted>2015-04-13T16:10:00Z</cp:lastPrinted>
  <dcterms:created xsi:type="dcterms:W3CDTF">2015-04-19T13:01:00Z</dcterms:created>
  <dcterms:modified xsi:type="dcterms:W3CDTF">2015-05-03T15:55:00Z</dcterms:modified>
</cp:coreProperties>
</file>